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0.13 | 11 October 2026</w:t>
      </w:r>
    </w:p>
    <w:p>
      <w:pPr>
        <w:pStyle w:val="CoverSummary"/>
        <w:widowControl/>
      </w:pPr>
      <w:r>
        <w:t>Evidence window: retained prototype history through the developer’s 11 October Receiving C1 closure and separately published A30WS human promotion. Earlier REVISE, measurements and NOT RUN entries remain dated evidence; later decisions explicitly supersede current gate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center"/>
          </w:tcPr>
          <w:p>
            <w:r>
              <w:t>Preliminary GDD v0.13</w:t>
            </w:r>
          </w:p>
        </w:tc>
        <w:tc>
          <w:tcPr>
            <w:tcW w:type="dxa" w:w="6120"/>
            <w:vAlign w:val="center"/>
          </w:tcPr>
          <w:p>
            <w:r>
              <w:t>Current overall gameplay, design and scope authority.</w:t>
            </w:r>
          </w:p>
        </w:tc>
      </w:tr>
      <w:tr>
        <w:trPr>
          <w:cantSplit/>
        </w:trPr>
        <w:tc>
          <w:tcPr>
            <w:tcW w:type="dxa" w:w="3744"/>
            <w:vAlign w:val="center"/>
            <w:shd w:fill="F6F8F9"/>
          </w:tcPr>
          <w:p>
            <w:r>
              <w:t>Visual Design &amp; World-Building Direction v0.10</w:t>
            </w:r>
          </w:p>
        </w:tc>
        <w:tc>
          <w:tcPr>
            <w:tcW w:type="dxa" w:w="6120"/>
            <w:vAlign w:val="center"/>
            <w:shd w:fill="F6F8F9"/>
          </w:tcPr>
          <w:p>
            <w:r>
              <w:t>Current environment, world, spatial and material authority.</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later Stage B presenter and freight-fixture validation supersedes historical physical-presentation proposals.</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v0.13 records Receiving C1 CLOSED / HUMAN-PROMOTED as the bounded production environment/art milestone, including accepted initial manual wear and published A30WS. Storage, fixed ladder, Stage A/B and EAF1–EAF5 stay promoted; C1A stays parked. Stage C physical delivery/queue/theatre and live screen data remain future.</w:t>
      </w:r>
    </w:p>
    <w:p>
      <w:r>
        <w:br w:type="page"/>
      </w:r>
    </w:p>
    <w:p>
      <w:pPr>
        <w:pStyle w:val="Heading1"/>
        <w:widowControl/>
      </w:pPr>
      <w:r>
        <w:t>Executive summary</w:t>
      </w:r>
    </w:p>
    <w:p>
      <w:pPr>
        <w:widowControl/>
      </w:pPr>
      <w:r>
        <w:t>The representative storage and content foundation remains human-promoted. The fixed-line ladder is now human-promoted for selected authored taller installations, and the Gallery B ModularRack plus FixedLadder bridge is promoted as the real-wing Stage B storage-destination baseline. Neither decision grants universal ladder coverage or general climbing.</w:t>
      </w:r>
    </w:p>
    <w:p>
      <w:pPr>
        <w:widowControl/>
      </w:pPr>
      <w:r>
        <w:t>Receiving Stage A remains the implemented, technically verified and human-promoted upstream content/lifecycle foundation. Expedition commits exact content; Receiving presents it without filler, omission, replacement or loot bias. The deterministic TAKE-only Stage B deck and freight fixtures remain promoted. Irregular frozen piles remain human-rejected production research.</w:t>
      </w:r>
    </w:p>
    <w:p>
      <w:pPr>
        <w:widowControl/>
      </w:pPr>
      <w:r>
        <w:t>EAF1–EAF5 remain promoted in their recorded scopes. Receiving C1 is now CLOSED / HUMAN-PROMOTED: the developer accepted the P05_C02 compact room, widened lift/deck, infrastructure/furnishings and collision, initial manual wear, passive CRT/decorative plaque and published A30WS collectively. Section 32 retains the dated 10 October checkpoint; §33 records later closure, evidence and accepted debt.</w:t>
      </w:r>
    </w:p>
    <w:p>
      <w:pPr>
        <w:widowControl/>
      </w:pPr>
      <w:r>
        <w:t>The 13 September asset-led shell remains visually rejected and C1A stays parked/unpromoted. The developer explicitly closed Receiving C1 on 11 October. GDD v0.13 and VDD v0.10 are current companion authorities. This reconciliation records that human decision; it starts no implementation and authorizes no publication.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recorded scope; Fuel eligible in correctly authored hosts, Gloves and Pants blocked.</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 bounded fixed-line architecture.</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in Stage A scope; full save/journal work remains later.</w:t>
            </w:r>
          </w:p>
        </w:tc>
      </w:tr>
      <w:tr>
        <w:trPr>
          <w:cantSplit/>
        </w:trPr>
        <w:tc>
          <w:tcPr>
            <w:tcW w:type="dxa" w:w="3024"/>
            <w:vAlign w:val="top"/>
          </w:tcPr>
          <w:p>
            <w:pPr>
              <w:pStyle w:val="TableText"/>
              <w:keepNext w:val="0"/>
              <w:widowControl/>
            </w:pPr>
            <w:r>
              <w:rPr>
                <w:rFonts w:ascii="Lato" w:hAnsi="Lato"/>
                <w:b/>
                <w:color w:val="25323A"/>
                <w:sz w:val="18"/>
              </w:rPr>
              <w:t>Receiving Stage B presenter</w:t>
            </w:r>
          </w:p>
        </w:tc>
        <w:tc>
          <w:tcPr>
            <w:tcW w:type="dxa" w:w="6840"/>
            <w:vAlign w:val="top"/>
          </w:tcPr>
          <w:p>
            <w:pPr>
              <w:pStyle w:val="TableText"/>
              <w:keepNext w:val="0"/>
              <w:widowControl/>
            </w:pPr>
            <w:r>
              <w:rPr>
                <w:rFonts w:ascii="Lato" w:hAnsi="Lato"/>
                <w:b w:val="0"/>
                <w:color w:val="25323A"/>
                <w:sz w:val="18"/>
              </w:rPr>
              <w:t>IMPLEMENTED / TECHNICALLY VERIFIED / HUMAN-PROMOTED deterministic seeded TAKE-only deck.</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Receiving-only crates and pallets.</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retained as isolated research.</w:t>
            </w:r>
          </w:p>
        </w:tc>
      </w:tr>
      <w:tr>
        <w:trPr>
          <w:cantSplit/>
        </w:trPr>
        <w:tc>
          <w:tcPr>
            <w:tcW w:type="dxa" w:w="3024"/>
            <w:vAlign w:val="top"/>
            <w:shd w:fill="F6F8F9"/>
          </w:tcPr>
          <w:p>
            <w:pPr>
              <w:pStyle w:val="TableText"/>
              <w:keepNext w:val="0"/>
              <w:widowControl/>
            </w:pPr>
            <w:r>
              <w:rPr>
                <w:rFonts w:ascii="Lato" w:hAnsi="Lato"/>
                <w:b/>
                <w:color w:val="25323A"/>
                <w:sz w:val="18"/>
              </w:rPr>
              <w:t>EAF1–EAF4</w:t>
            </w:r>
          </w:p>
        </w:tc>
        <w:tc>
          <w:tcPr>
            <w:tcW w:type="dxa" w:w="6840"/>
            <w:vAlign w:val="top"/>
            <w:shd w:fill="F6F8F9"/>
          </w:tcPr>
          <w:p>
            <w:pPr>
              <w:pStyle w:val="TableText"/>
              <w:keepNext w:val="0"/>
              <w:widowControl/>
            </w:pPr>
            <w:r>
              <w:rPr>
                <w:rFonts w:ascii="Lato" w:hAnsi="Lato"/>
                <w:b w:val="0"/>
                <w:color w:val="25323A"/>
                <w:sz w:val="18"/>
              </w:rPr>
              <w:t>HUMAN-PROMOTED in recorded scopes; EAF4 editor authoring/scalar uses completed and HUMAN-ACCEPTED.</w:t>
            </w:r>
          </w:p>
        </w:tc>
      </w:tr>
      <w:tr>
        <w:trPr>
          <w:cantSplit/>
        </w:trPr>
        <w:tc>
          <w:tcPr>
            <w:tcW w:type="dxa" w:w="3024"/>
            <w:vAlign w:val="top"/>
          </w:tcPr>
          <w:p>
            <w:pPr>
              <w:pStyle w:val="TableText"/>
              <w:keepNext w:val="0"/>
              <w:widowControl/>
            </w:pPr>
            <w:r>
              <w:rPr>
                <w:rFonts w:ascii="Lato" w:hAnsi="Lato"/>
                <w:b/>
                <w:color w:val="25323A"/>
                <w:sz w:val="18"/>
              </w:rPr>
              <w:t>EAF5</w:t>
            </w:r>
          </w:p>
        </w:tc>
        <w:tc>
          <w:tcPr>
            <w:tcW w:type="dxa" w:w="6840"/>
            <w:vAlign w:val="top"/>
          </w:tcPr>
          <w:p>
            <w:pPr>
              <w:pStyle w:val="TableText"/>
              <w:keepNext w:val="0"/>
              <w:widowControl/>
            </w:pPr>
            <w:r>
              <w:rPr>
                <w:rFonts w:ascii="Lato" w:hAnsi="Lato"/>
                <w:b w:val="0"/>
                <w:color w:val="25323A"/>
                <w:sz w:val="18"/>
              </w:rPr>
              <w:t>IMPLEMENTED / TECHNICALLY VERIFIED / HUMAN-PROMOTED / CLOSED architectural proof.</w:t>
            </w:r>
          </w:p>
        </w:tc>
      </w:tr>
      <w:tr>
        <w:trPr>
          <w:cantSplit/>
        </w:trPr>
        <w:tc>
          <w:tcPr>
            <w:tcW w:type="dxa" w:w="3024"/>
            <w:vAlign w:val="top"/>
            <w:shd w:fill="F6F8F9"/>
          </w:tcPr>
          <w:p>
            <w:pPr>
              <w:pStyle w:val="TableText"/>
              <w:keepNext w:val="0"/>
              <w:widowControl/>
            </w:pPr>
            <w:r>
              <w:rPr>
                <w:rFonts w:ascii="Lato" w:hAnsi="Lato"/>
                <w:b/>
                <w:color w:val="25323A"/>
                <w:sz w:val="18"/>
              </w:rPr>
              <w:t>C1A</w:t>
            </w:r>
          </w:p>
        </w:tc>
        <w:tc>
          <w:tcPr>
            <w:tcW w:type="dxa" w:w="6840"/>
            <w:vAlign w:val="top"/>
            <w:shd w:fill="F6F8F9"/>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tcPr>
          <w:p>
            <w:pPr>
              <w:pStyle w:val="TableText"/>
              <w:keepNext w:val="0"/>
              <w:widowControl/>
            </w:pPr>
            <w:r>
              <w:rPr>
                <w:rFonts w:ascii="Lato" w:hAnsi="Lato"/>
                <w:b/>
                <w:color w:val="25323A"/>
                <w:sz w:val="18"/>
              </w:rPr>
              <w:t>Receiving C1</w:t>
            </w:r>
          </w:p>
        </w:tc>
        <w:tc>
          <w:tcPr>
            <w:tcW w:type="dxa" w:w="6840"/>
            <w:vAlign w:val="top"/>
          </w:tcPr>
          <w:p>
            <w:pPr>
              <w:pStyle w:val="TableText"/>
              <w:keepNext w:val="0"/>
              <w:widowControl/>
            </w:pPr>
            <w:r>
              <w:rPr>
                <w:rFonts w:ascii="Lato" w:hAnsi="Lato"/>
                <w:b w:val="0"/>
                <w:color w:val="25323A"/>
                <w:sz w:val="18"/>
              </w:rPr>
              <w:t>CLOSED / HUMAN-PROMOTED by the developer on 11 October as the bounded production environment/art milestone, including published A30WS. Minor art changes do not automatically reopen C1. [§33]</w:t>
            </w:r>
          </w:p>
        </w:tc>
      </w:tr>
      <w:tr>
        <w:trPr>
          <w:cantSplit/>
        </w:trPr>
        <w:tc>
          <w:tcPr>
            <w:tcW w:type="dxa" w:w="3024"/>
            <w:vAlign w:val="top"/>
            <w:shd w:fill="F6F8F9"/>
          </w:tcPr>
          <w:p>
            <w:pPr>
              <w:pStyle w:val="TableText"/>
              <w:keepNext w:val="0"/>
              <w:widowControl/>
            </w:pPr>
            <w:r>
              <w:rPr>
                <w:rFonts w:ascii="Lato" w:hAnsi="Lato"/>
                <w:b/>
                <w:color w:val="25323A"/>
                <w:sz w:val="18"/>
              </w:rPr>
              <w:t>Receiving Stage C queue/theatre</w:t>
            </w:r>
          </w:p>
        </w:tc>
        <w:tc>
          <w:tcPr>
            <w:tcW w:type="dxa" w:w="6840"/>
            <w:vAlign w:val="top"/>
            <w:shd w:fill="F6F8F9"/>
          </w:tcPr>
          <w:p>
            <w:pPr>
              <w:pStyle w:val="TableText"/>
              <w:keepNext w:val="0"/>
              <w:widowControl/>
            </w:pPr>
            <w:r>
              <w:rPr>
                <w:rFonts w:ascii="Lato" w:hAnsi="Lato"/>
                <w:b w:val="0"/>
                <w:color w:val="25323A"/>
                <w:sz w:val="18"/>
              </w:rPr>
              <w:t>FUTURE: next distinct Receiving gameplay slice when separately authorized; physical activation/queue pressure/theatre and real screen data are not shipped by C1 closure.</w:t>
            </w:r>
          </w:p>
        </w:tc>
      </w:tr>
    </w:tbl>
    <w:p>
      <w:pPr>
        <w:spacing w:after="60" w:before="0" w:line="40" w:lineRule="exact"/>
      </w:pPr>
      <w:r>
        <w:rPr>
          <w:sz w:val="4"/>
        </w:rPr>
      </w:r>
    </w:p>
    <w:p>
      <w:pPr>
        <w:pStyle w:val="Heading1"/>
        <w:widowControl/>
      </w:pPr>
      <w:r>
        <w:t>1. Evidence status and design authority</w:t>
      </w:r>
    </w:p>
    <w:p>
      <w:pPr>
        <w:keepLines/>
      </w:pPr>
      <w:r>
        <w:t>HUMAN-REVIEWED is a developer judgement; HUMAN-PROMOTED is acceptance of a bounded scope. Technical checks alone do not promote. Historical checkpoints remain time-local; §30 and §33 provide current status, with §32 explicitly retaining the 10 October then-open C1 evidence.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Final shipped lift dimensions, later freight fixtures, Dispatch final furnishing and sill material; live screen data/vocabulary and physical Stage C activation/pressure/theatre remain future. C1 environment/art itself is closed.</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Accepted A30WS cold/first-cargo cost, pre-existing Gallery A navigation failure, unrun editor capture/automation, Gloves/Pants, held/HUD quality and multi-column support. [§33]</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preserves the 17 September loot_000015 drift record and is superseded by the resolved maintenance result in §24.2. The 42-definition total, explicit 40-ID gameplay and Receiving pool, and blocked Gloves/Pants cases remain distinct quantities.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r>
        <w:t>29 September supersession: this was the pre-EAF evidence state. EAF1–EAF5 subsequently proved the environment material-review, structural-substrate, curated-material, wear, and Receiving architectural-proof pipeline. See §§28–29 for the current result.</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In the continuing wing, F6 developer grids are retained and default off; F7 is suppressed. Historical fixtures retain only their recorded debug behavior.</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Bounded debt at that checkpoint, not a new design decision. The later maintenance pass preserved the intended metadata and completed the reconciliation recorded in §24.2.</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v0.10 retains the zoning rules promoted in the earlier storage gate. The representative catalogue evidence supports preserving that policy; service-space, greybox and continuing-wing updates do not reopen storage mechanics.</w:t>
      </w:r>
    </w:p>
    <w:p>
      <w:pPr>
        <w:pStyle w:val="Heading1"/>
        <w:widowControl/>
      </w:pPr>
      <w:r>
        <w:t>7. Validated assumptions and unresolved questions</w:t>
      </w:r>
    </w:p>
    <w:p>
      <w:pPr/>
      <w:r>
        <w:t>29 September supersession: the following question table is a 21 September checkpoint. Fixed ladder, Stage B presentation and EAF1–EAF5 progressed afterward; §§26–30 carry their current status.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reuse the review-scene supply setup and validate new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center"/>
          </w:tcPr>
          <w:p>
            <w:r>
              <w:t>Crouch / ladders</w:t>
            </w:r>
          </w:p>
        </w:tc>
        <w:tc>
          <w:tcPr>
            <w:tcW w:type="dxa" w:w="3816"/>
            <w:vAlign w:val="center"/>
          </w:tcPr>
          <w:p>
            <w:r>
              <w:t>Crouch remains deferred. A fixed floor-position ladder serving selected taller racks is approved for one proof. No general climbing, jumping, movable/sliding ladder, animation, visible hands, fall system or shelf-top traversal is promoted.</w:t>
            </w:r>
          </w:p>
        </w:tc>
        <w:tc>
          <w:tcPr>
            <w:tcW w:type="dxa" w:w="3701"/>
            <w:vAlign w:val="center"/>
          </w:tcPr>
          <w:p>
            <w:r>
              <w:t>Run the single-rack proof and obtain a human decision. Validate yaw clamp, climb speed, selected installation geometry and human acceptability.</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center"/>
          </w:tcPr>
          <w:p>
            <w:r>
              <w:t>Footprint authoring</w:t>
            </w:r>
          </w:p>
        </w:tc>
        <w:tc>
          <w:tcPr>
            <w:tcW w:type="dxa" w:w="3816"/>
            <w:vAlign w:val="center"/>
          </w:tcPr>
          <w:p>
            <w:r>
              <w:t>The 11 September 28/12 split remains historical. Current 21 September reconciliation covers all 40 eligible definitions: 21 default / 19 custom poses and 27 geometry / 13 deliberate Footprint overrides; Gloves and Pants remain blocked.</w:t>
            </w:r>
          </w:p>
        </w:tc>
        <w:tc>
          <w:tcPr>
            <w:tcW w:type="dxa" w:w="3701"/>
            <w:vAlign w:val="center"/>
          </w:tcPr>
          <w:p>
            <w:r>
              <w:t>Use the canonical pose workbench for new content. Preserve explicit authored Footprint and human approval; reopen only when a source or intentional pose change invalidates dependent evidence.</w:t>
            </w:r>
          </w:p>
        </w:tc>
      </w:tr>
      <w:tr>
        <w:trPr>
          <w:cantSplit/>
        </w:trPr>
        <w:tc>
          <w:tcPr>
            <w:tcW w:type="dxa" w:w="2347"/>
            <w:vAlign w:val="center"/>
            <w:shd w:fill="F6F8F9"/>
          </w:tcPr>
          <w:p>
            <w:r>
              <w:t>Full game systems</w:t>
            </w:r>
          </w:p>
        </w:tc>
        <w:tc>
          <w:tcPr>
            <w:tcW w:type="dxa" w:w="3816"/>
            <w:vAlign w:val="center"/>
            <w:shd w:fill="F6F8F9"/>
          </w:tcPr>
          <w:p>
            <w:r>
              <w:t>Stage A data/lifecycle, neutral wing and the Storage Authoring Foundation are complete. Physical Receiving, timed obligations, economy and full-system saves remain unvalidated.</w:t>
            </w:r>
          </w:p>
        </w:tc>
        <w:tc>
          <w:tcPr>
            <w:tcW w:type="dxa" w:w="3701"/>
            <w:vAlign w:val="center"/>
            <w:shd w:fill="F6F8F9"/>
          </w:tcPr>
          <w:p>
            <w:r>
              <w:t>Single-rack fixed-ladder proof -&gt; human ladder decision -&gt; functional Receiving unless a concrete storage blocker appears, then timed obligations.</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and the completed continuing gameplay integration. Test review-scene supply reuse, reusable rack authoring and bounded ladder interaction,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counts remain the historical 11 September checkpoint and must not be read as current. Section 20 records the later Fuel Canister drift. Section 25.5 supersedes current pose/Footprint status with the 21 September full human reconciliation: 21 default / 19 custom poses and 27 geometry / 13 deliberate overrides across the same 40 eligible definitions.</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Historical status qualifier: at the 13 September checkpoint, the content architecture remained promoted while loot_000015 still required an evidence refresh. Stage A was complete and the Stage-B shell described below was visually rejected. Section 24.2 records the later Fuel resolution;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r>
        <w:t>29 September supersession: this chronology ends at the 21 September foundation close-out. The later ladder, Receiving Stage B and EAF1–EAF5 records continue in §§26–29.</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r>
        <w:trPr>
          <w:cantSplit/>
        </w:trPr>
        <w:tc>
          <w:tcPr>
            <w:tcW w:type="dxa" w:w="2376"/>
            <w:vAlign w:val="center"/>
          </w:tcPr>
          <w:p>
            <w:r>
              <w:t>20 September: review-scene supply reuse</w:t>
            </w:r>
          </w:p>
        </w:tc>
        <w:tc>
          <w:tcPr>
            <w:tcW w:type="dxa" w:w="7488"/>
            <w:vAlign w:val="center"/>
          </w:tcPr>
          <w:p>
            <w:r>
              <w:t>Human PROMOTE. The shelf review now reuses the composed DevelopmentSetup from wing_gameplay.tscn and retires the active cabinet-only fixture path.</w:t>
            </w:r>
          </w:p>
        </w:tc>
      </w:tr>
      <w:tr>
        <w:trPr>
          <w:cantSplit/>
        </w:trPr>
        <w:tc>
          <w:tcPr>
            <w:tcW w:type="dxa" w:w="2376"/>
            <w:vAlign w:val="center"/>
          </w:tcPr>
          <w:p>
            <w:r>
              <w:t>20 September: reusable ModularRack</w:t>
            </w:r>
          </w:p>
        </w:tc>
        <w:tc>
          <w:tcPr>
            <w:tcW w:type="dxa" w:w="7488"/>
            <w:vAlign w:val="center"/>
          </w:tcPr>
          <w:p>
            <w:r>
              <w:t>Human PROMOTE. Shelf-empty reusable scaffold, local editable shelf wrappers, Rack02 deck calibration and F6 alignment accepted.</w:t>
            </w:r>
          </w:p>
        </w:tc>
      </w:tr>
      <w:tr>
        <w:trPr>
          <w:cantSplit/>
        </w:trPr>
        <w:tc>
          <w:tcPr>
            <w:tcW w:type="dxa" w:w="2376"/>
            <w:vAlign w:val="center"/>
          </w:tcPr>
          <w:p>
            <w:r>
              <w:t>21 September: unit orientation and zoning</w:t>
            </w:r>
          </w:p>
        </w:tc>
        <w:tc>
          <w:tcPr>
            <w:tcW w:type="dxa" w:w="7488"/>
            <w:vAlign w:val="center"/>
          </w:tcPr>
          <w:p>
            <w:r>
              <w:t>Human PROMOTE. One four-state orientation per unit, stable zoning view from authored Front and semantic-to-physical mapping accepted across rack, shelf and locker.</w:t>
            </w:r>
          </w:p>
        </w:tc>
      </w:tr>
      <w:tr>
        <w:trPr>
          <w:cantSplit/>
        </w:trPr>
        <w:tc>
          <w:tcPr>
            <w:tcW w:type="dxa" w:w="2376"/>
            <w:vAlign w:val="center"/>
          </w:tcPr>
          <w:p>
            <w:r>
              <w:t>21 September: canonical item pose and catalogue review</w:t>
            </w:r>
          </w:p>
        </w:tc>
        <w:tc>
          <w:tcPr>
            <w:tcW w:type="dxa" w:w="7488"/>
            <w:vAlign w:val="center"/>
          </w:tcPr>
          <w:p>
            <w:r>
              <w:t>Human PROMOTE. Canonical +Z Front, separate packing turn, combined physical parity, placed-state stability, corrected workbench and full 40-item review accepted.</w:t>
            </w:r>
          </w:p>
        </w:tc>
      </w:tr>
      <w:tr>
        <w:trPr>
          <w:cantSplit/>
        </w:trPr>
        <w:tc>
          <w:tcPr>
            <w:tcW w:type="dxa" w:w="2376"/>
            <w:vAlign w:val="center"/>
          </w:tcPr>
          <w:p>
            <w:r>
              <w:t>21 September: synchronized foundation close-out</w:t>
            </w:r>
          </w:p>
        </w:tc>
        <w:tc>
          <w:tcPr>
            <w:tcW w:type="dxa" w:w="7488"/>
            <w:vAlign w:val="center"/>
          </w:tcPr>
          <w:p>
            <w:r>
              <w:t>Current promoted main reference ac335d5ccf8d3e519f1025d26ea12b971c3820d6. Fixed-ladder proof becomes the active gate.</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r>
        <w:t>29 September supersession: Stage A data/lifecycle findings remain valid. The fixed-ladder gate and physical Stage B proposals below are historical; §§26–27 record the promoted ladder and deterministic Receiving presenter. Stage C queue/theatre remains later work.</w:t>
      </w:r>
    </w:p>
    <w:p>
      <w:pPr>
        <w:pStyle w:val="Heading2"/>
        <w:widowControl/>
      </w:pPr>
      <w:r>
        <w:t>16.1 Why Receiving precedes the wider Systems MVP</w:t>
      </w:r>
    </w:p>
    <w:p>
      <w:pPr>
        <w:widowControl/>
      </w:pPr>
      <w:r>
        <w:t>The systems roadmap remains Receiving/Elevator -&gt; first real timed request -&gt; expedition-produced batches -&gt; broader Systems MVP. Bookkeeping, seeded wing integration, default entry and the Storage Authoring Foundation are complete. Before physical Receiving, the current sequence is the single-rack fixed-ladder proof and human ladder decision.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r>
        <w:t>29 September supersession: the isolated rigid-body pile proposal below was superseded after human rejection of irregular frozen piles. §27 records the promoted deterministic TAKE-only presenter and fixtures; do not treat this older proposal as current production direction.</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r>
        <w:t>29 September supersession: this first asset-led shell remains human-rejected. EAF5 later proved an isolated structural recipe and authoring pipeline (§29); production Receiving visual migration remains for C1.</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historical report's authoring-status figures, not a documented mutually exclusive partition summing to the catalogue size. Preserve that exact evidence without projecting the later Fuel resolution backward; §24.2 records the completed reconciliation.</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v0.7 retains the established world/material grammar and dedicated service spaces, records the accepted in-engine layout, and adds the current storage-installation and ergonomics direction. The original V3/V2 images and v0.5 record remain historical references. Human spatial promotion applies to the accepted geometry, not final art, furnished production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[A17]. Later Stage B evidence promoted the deterministic TAKE-only presenter and functional freight fixtures, including the current 3.4 m Receiving-only fixture reach; see §27.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Historical 17 September debt checkpoint superseded by Section 24</w:t>
      </w:r>
    </w:p>
    <w:p>
      <w:pPr/>
      <w:r>
        <w:t>29 September supersession: this debt and gate sequence remains historical. Current dispositions for ladder, Receiving Stage B and EAF1–EAF5 are in §§26–30.</w:t>
      </w:r>
    </w:p>
    <w:p>
      <w:pPr>
        <w:pStyle w:val="Heading2"/>
        <w:widowControl/>
      </w:pPr>
      <w:r>
        <w:t>20.1 Historical loot_000015 reconciliation checkpoint</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At this checkpoint, the proposed next action was to inspect the source/import/runtime representation, verify intended geometry and pickup/catalogue registration, then use the established review/sync/apply workflow to restore valid evidence. Section 24.2 records that this reconciliation was later completed without silently changing the 40-ID runtime pool or altering gameplay to accommodate a fingerprint.</w:t>
      </w:r>
    </w:p>
    <w:p>
      <w:pPr>
        <w:widowControl/>
      </w:pPr>
      <w:r>
        <w:t>At the 17 September checkpoint, this did not need to interrupt layout or art discussion, but remained required before clean full-pool Receiving validation. Gloves and Pants were separate blocked content cases. Section 24.2 supersedes this pending status; no later result is projected backward into the historical reports.</w:t>
      </w:r>
    </w:p>
    <w:p>
      <w:pPr>
        <w:pStyle w:val="Heading2"/>
        <w:widowControl/>
      </w:pPr>
      <w:r>
        <w:t>20.2 Historical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Then-current spatial/art authority at the 17 September checkpoint: accepted greybox, retained service-space concept and dead-end deferral. Production materials and furnishing remained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Then-current documentation pair at the 17 September checkpoint; human spatial acceptance, scoped runtime/static evidence and the seeded-storage prerequisite were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was still 8ee62bd3 at that read-only inspection. Close-out publication had been requested but was not performed in that historical document edit.</w:t>
            </w:r>
          </w:p>
        </w:tc>
      </w:tr>
    </w:tbl>
    <w:p>
      <w:pPr>
        <w:spacing w:after="60" w:before="0" w:line="40" w:lineRule="exact"/>
      </w:pPr>
      <w:r>
        <w:rPr>
          <w:sz w:val="4"/>
        </w:rPr>
      </w:r>
    </w:p>
    <w:p>
      <w:pPr>
        <w:pStyle w:val="Heading2"/>
        <w:widowControl/>
      </w:pPr>
      <w:r>
        <w:t>20.3 Historical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val="0"/>
        <w:widowControl/>
      </w:pPr>
      <w:r>
        <w:t>21. Revision and evidence-source register</w:t>
      </w:r>
    </w:p>
    <w:p>
      <w:pPr>
        <w:pStyle w:val="Heading2"/>
        <w:widowControl/>
      </w:pPr>
      <w:r>
        <w:t>21.1 How v0.8 updated the 17 September record</w:t>
      </w:r>
    </w:p>
    <w:p>
      <w:pPr>
        <w:widowControl/>
      </w:pPr>
      <w:r>
        <w:t>v0.8 preserved the earlier storage/content and visual-failure history, recorded three revision rounds plus the Medical-only success, and updated the then-current state to human spatial PROMOTE. It distinguished reported runtime results, independent archive checks and a read-only remote inspection. Its required sequence was bookkeeping/synchronization -&gt; seeded storage integration -&gt; Receiving. Section 24 supersedes that sequence and records the later completed steps.</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GDD v0.8 was the then-current companion at the 17 September checkpoint.</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their then-current status and roadmap were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17 September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at that checkpoint: the prototype repository listed only main at 8ee62bd3; the then-current tracked root/docs/player/storage bootstrap was inspected. No remote write or local-runtime verification was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GDD v0.8 and Visual Direction v0.5 were the then-current scope and spatial authorities at the 17 September checkpoint; they did not establish that the next bridge was implemented. GDD v0.9 and Visual Direction v0.6 later superseded that checkpoint on 20 September; the current companions are GDD v0.10 and Visual Direction v0.7.</w:t>
            </w:r>
          </w:p>
        </w:tc>
      </w:tr>
      <w:tr>
        <w:trPr>
          <w:cantSplit/>
        </w:trPr>
        <w:tc>
          <w:tcPr>
            <w:tcW w:type="dxa" w:w="1224"/>
            <w:vAlign w:val="center"/>
            <w:shd w:fill="F6F8F9"/>
          </w:tcPr>
          <w:p>
            <w:r>
              <w:t>SA20</w:t>
            </w:r>
          </w:p>
        </w:tc>
        <w:tc>
          <w:tcPr>
            <w:tcW w:type="dxa" w:w="8640"/>
            <w:vAlign w:val="center"/>
            <w:shd w:fill="F6F8F9"/>
          </w:tcPr>
          <w:p>
            <w:r>
              <w:t>docs/testing/review-scene-supply-reuse-validation.md and docs/testing/modular-rack-authoring-validation.md: promoted review supply reuse, reusable rack workflow, Rack02 calibration and bounded scope.</w:t>
            </w:r>
          </w:p>
        </w:tc>
      </w:tr>
      <w:tr>
        <w:trPr>
          <w:cantSplit/>
        </w:trPr>
        <w:tc>
          <w:tcPr>
            <w:tcW w:type="dxa" w:w="1224"/>
            <w:vAlign w:val="center"/>
            <w:shd w:fill="F6F8F9"/>
          </w:tcPr>
          <w:p>
            <w:r>
              <w:t>OZ21</w:t>
            </w:r>
          </w:p>
        </w:tc>
        <w:tc>
          <w:tcPr>
            <w:tcW w:type="dxa" w:w="8640"/>
            <w:vAlign w:val="center"/>
            <w:shd w:fill="F6F8F9"/>
          </w:tcPr>
          <w:p>
            <w:r>
              <w:t>docs/testing/storage-unit-orientation-zoning-validation.md and its approved design spec: promoted four-state unit Front, semantic zoning mapping, persistence and physical-grid preservation.</w:t>
            </w:r>
          </w:p>
        </w:tc>
      </w:tr>
      <w:tr>
        <w:trPr>
          <w:cantSplit/>
        </w:trPr>
        <w:tc>
          <w:tcPr>
            <w:tcW w:type="dxa" w:w="1224"/>
            <w:vAlign w:val="center"/>
            <w:shd w:fill="F6F8F9"/>
          </w:tcPr>
          <w:p>
            <w:r>
              <w:t>CP21</w:t>
            </w:r>
          </w:p>
        </w:tc>
        <w:tc>
          <w:tcPr>
            <w:tcW w:type="dxa" w:w="8640"/>
            <w:vAlign w:val="center"/>
            <w:shd w:fill="F6F8F9"/>
          </w:tcPr>
          <w:p>
            <w:r>
              <w:t>docs/testing/canonical-item-storage-pose-validation.md and its approved design spec: canonical +Z Front, packing separation, footprint parity, workbench correction and final catalogue reconciliation.</w:t>
            </w:r>
          </w:p>
        </w:tc>
      </w:tr>
      <w:tr>
        <w:trPr>
          <w:cantSplit/>
        </w:trPr>
        <w:tc>
          <w:tcPr>
            <w:tcW w:type="dxa" w:w="1224"/>
            <w:vAlign w:val="center"/>
            <w:shd w:fill="F6F8F9"/>
          </w:tcPr>
          <w:p>
            <w:r>
              <w:t>M21</w:t>
            </w:r>
          </w:p>
        </w:tc>
        <w:tc>
          <w:tcPr>
            <w:tcW w:type="dxa" w:w="8640"/>
            <w:vAlign w:val="center"/>
            <w:shd w:fill="F6F8F9"/>
          </w:tcPr>
          <w:p>
            <w:r>
              <w:t>Synchronized remote main close-out reference ac335d5ccf8d3e519f1025d26ea12b971c3820d6.</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r>
        <w:t>Current storage-authoring evidence: docs/testing/review-scene-supply-reuse-validation.md; docs/testing/modular-rack-authoring-validation.md; docs/testing/storage-unit-orientation-zoning-validation.md; docs/testing/canonical-item-storage-pose-validation.md. Current designs: docs/superpowers/specs/2026-09-20-modular-rack-authoring-design.md; docs/superpowers/specs/2026-09-20-storage-unit-orientation-zoning-basis-design.md; docs/superpowers/specs/2026-09-21-canonical-item-storage-pose-shelf-front-alignment-design.md.</w:t>
      </w:r>
    </w:p>
    <w:p>
      <w:pPr>
        <w:pStyle w:val="Heading1"/>
        <w:pageBreakBefore w:val="0"/>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later accepted the final neutral layout and requested separate bookkeeping and integration; current sequencing is recorded in §24. [A17, D17B]</w:t>
      </w:r>
    </w:p>
    <w:p>
      <w:pPr>
        <w:pStyle w:val="Heading1"/>
        <w:pageBreakBefore w:val="0"/>
      </w:pPr>
      <w:r>
        <w:t>23. Greybox promotion and historical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keepLines/>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Historical 17 September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At the 17 September checkpoint, the developer had requested bookkeeping and publication before new game work. The local close-out was required to verify branch and remote identity, install the then-current documents and acceptance, retain ignored assets/imports and evidence, and synchronize without force or history loss. Section 24 supersedes that pending state and records the later accepted continuing composition and maintenance results.</w:t>
      </w:r>
    </w:p>
    <w:p>
      <w:pPr>
        <w:pStyle w:val="Heading2"/>
      </w:pPr>
      <w:r>
        <w:t>23.5 Historical seeded-storage gate completed before Section 24</w:t>
      </w:r>
    </w:p>
    <w:p>
      <w:pPr/>
      <w:r>
        <w:t>At that checkpoint, the next required step was to bring several existing storage-capable shelves and pre-seeded functional catalogue items into the accepted wing. It was an integration and fixture task, not another storage architecture gate or final furnishing plan. Section 24.1 records the later continuing gameplay and default-entry result.</w:t>
      </w:r>
    </w:p>
    <w:p>
      <w:pPr/>
      <w:r>
        <w:t>The historical bridge requirement preserved the main scene, tunnel room and contents while keeping the neutral review scene available. The later implementation retained main.tscn as the legacy mechanics fixture and promoted the continuing wing separately. The review-player and old bootstrap details below remain evidence of the preflight constraints at that checkpoint. [R17; final bundle review_player.tscn]</w:t>
      </w:r>
    </w:p>
    <w:p>
      <w:pPr/>
      <w:r>
        <w:t>The preferred candidate at that checkpoint was a gameplay wrapper sharing the accepted geometry and established gameplay components, with shelves and seed configuration outside the generated geometry subtree. Section 24.1 records that continuing composition and default entry as accepted. Facility gameplay, production art, abandoned stubs and freight lining remained outside the bridge.</w:t>
      </w:r>
    </w:p>
    <w:p>
      <w:r>
        <w:br/>
      </w:r>
    </w:p>
    <w:p>
      <w:pPr>
        <w:pStyle w:val="Heading1"/>
      </w:pPr>
      <w:r>
        <w:t>24 20 September storage authoring consolidation</w:t>
      </w:r>
    </w:p>
    <w:p>
      <w:pPr>
        <w:pStyle w:val="Heading2"/>
      </w:pPr>
      <w:r>
        <w:t>24.1 Continuing gameplay and default entry</w:t>
      </w:r>
    </w:p>
    <w:p>
      <w:r>
        <w:t>The accepted whole-wing geometry is used by the continuing gameplay composition at res://gameplay/logistics_wing/wing_gameplay.tscn. Godot Run Project enters that scene through UID uid://bljf1nlhijej. The old main.tscn mechanics room and the neutral review scene remain explicit preserved alternatives. The default-entry transition and the developer's authored scene edits are accepted. F6 developer grids remain available and default off; F7 is suppressed in the continuing scene.</w:t>
      </w:r>
    </w:p>
    <w:p>
      <w:pPr>
        <w:pStyle w:val="Heading2"/>
      </w:pPr>
      <w:r>
        <w:t>24.2 Palette and maintenance results</w:t>
      </w:r>
    </w:p>
    <w:p>
      <w:r>
        <w:t>The DevelopmentSetup/SeedItems composition is the current palette authority. The developer accepted the saved manual table and item arrangement with at least one direct editor-authored host for every approved eligible type. The separate twelve-host fixture remains a regression sample. Fuel is present and eligible after the bounded locker and Fuel maintenance; Gloves and Pants remain excluded.</w:t>
      </w:r>
    </w:p>
    <w:p>
      <w:r>
        <w:t>Locker level 2 now fits its measured support at both front and rear edges for the tested identity and legacy scales. The Fuel audit debt and timeout are resolved without redesigning Fuel's gameplay values, pose, footprint, stack roles or Auto Group. The accepted maintenance preserved the authored wing scene, other storage profiles, player and HUD, geometry, data and Receiving.</w:t>
      </w:r>
    </w:p>
    <w:p>
      <w:pPr>
        <w:pStyle w:val="Heading2"/>
      </w:pPr>
      <w:r>
        <w:t>24.3 Shelf and ceiling experiment</w:t>
      </w:r>
    </w:p>
    <w:p>
      <w:r>
        <w:t>The retained A, B and C shelf and ceiling scene established that technical shelf capacity and human usability are different evidence. Storage installation usability includes model geometry, level placement, room placement, approach space, player viewpoint, reach, lighting, target visibility and obstruction. A surface can accept an item technically while remaining difficult to inspect or use manually.</w:t>
      </w:r>
    </w:p>
    <w:p>
      <w:pPr>
        <w:pStyle w:val="ListBullet"/>
      </w:pPr>
      <w:r>
        <w:t>Uniform Y compression of existing multi-level furniture is rejected as a general storage solution.</w:t>
      </w:r>
    </w:p>
    <w:p>
      <w:pPr>
        <w:pStyle w:val="ListBullet"/>
      </w:pPr>
      <w:r>
        <w:t>In the tested corner-mounted modular-rack context, more than three ground-access levels compromised visibility and manual targeting unless the openings became too shallow or squat.</w:t>
      </w:r>
    </w:p>
    <w:p>
      <w:pPr>
        <w:pStyle w:val="ListBullet"/>
      </w:pPr>
      <w:r>
        <w:t>The developer's three-level modular rack is a useful ground-access reference, not a universal production template. SM_Rack01.glb and SM_Rack02.glb remain static review assets without functional StorageSurface nodes.</w:t>
      </w:r>
    </w:p>
    <w:p>
      <w:pPr>
        <w:pStyle w:val="ListBullet"/>
      </w:pPr>
      <w:r>
        <w:t>Open racks may tolerate more depth when approached from several sides. Wall and corner installations generally need shallower usable depth.</w:t>
      </w:r>
    </w:p>
    <w:p>
      <w:pPr>
        <w:pStyle w:val="ListBullet"/>
      </w:pPr>
      <w:r>
        <w:t>Usable-area insets should be evaluated per edge. No single percentage is promoted and useful front-edge capacity should not be removed silently.</w:t>
      </w:r>
    </w:p>
    <w:p>
      <w:pPr>
        <w:pStyle w:val="ListBullet"/>
      </w:pPr>
      <w:r>
        <w:t>Cabinet and opaque storage remain selective. Lighting alone did not make every divided compartment a reliable general-purpose storage backbone.</w:t>
      </w:r>
    </w:p>
    <w:p>
      <w:r>
        <w:t>The 1.80 m eye-height trial helped some upper-level views but did not solve deep shelves or opaque dividers and could worsen low-level viewing. The 2.8 m ceiling looked more proportionate in the tested context. Neither finding changes the production camera or wing ceilings.</w:t>
      </w:r>
    </w:p>
    <w:p>
      <w:pPr>
        <w:pStyle w:val="Heading2"/>
      </w:pPr>
      <w:r>
        <w:t>24.4 Authoring ownership and ladder proof</w:t>
      </w:r>
    </w:p>
    <w:p>
      <w:r>
        <w:t>The developer retains final authority over functional storage model selection, installation placement, unit dimensions, level count and distribution, and ladder availability and placement. Codex may assist with tools, validation, decoration and later synthetic checks.</w:t>
      </w:r>
    </w:p>
    <w:p>
      <w:r>
        <w:t>A fixed shelf-serving ladder is approved for one bounded proof because the current ergonomics evidence justifies testing that option. It is not production-approved. General climbing, jumping, movable or sliding ladders, animations, visible hands, fall systems and shelf-adjustment features remain outside the proof. Player-adjustable shelf levels remain post-release or expansion speculation and did not influence the ladder decision.</w:t>
      </w:r>
    </w:p>
    <w:p>
      <w:pPr>
        <w:pStyle w:val="Heading2"/>
      </w:pPr>
      <w:r>
        <w:t>24.5 Process and next evidence - historical checkpoint superseded by Section 25.7</w:t>
      </w:r>
    </w:p>
    <w:p>
      <w:pPr/>
      <w:r>
        <w:t>29 September supersession: the sequence below was a 20 September checkpoint. §25 records the 21 September storage closure; §§26–30 supersede its later ladder and Receiving gate wording.</w:t>
      </w:r>
    </w:p>
    <w:p>
      <w:r>
        <w:t>docs/AI_WORKING_GUIDELINES.md is the current process authority after the locker and Fuel maintenance post-mortem. It requires one implementer by default, testing matched to risk, existing evidence and commands reused where the state is unchanged, and no new review or evidence framework without a task-specific need.</w:t>
      </w:r>
    </w:p>
    <w:p>
      <w:pPr/>
      <w:r>
        <w:t>1. Review-scene supply reuse.</w:t>
      </w:r>
    </w:p>
    <w:p>
      <w:pPr/>
      <w:r>
        <w:t>2. Reusable functional modular-rack authoring.</w:t>
      </w:r>
    </w:p>
    <w:p>
      <w:pPr/>
      <w:r>
        <w:t>3. Single-rack fixed-ladder proof.</w:t>
      </w:r>
    </w:p>
    <w:p>
      <w:pPr/>
      <w:r>
        <w:t>4. Human ladder decision.</w:t>
      </w:r>
    </w:p>
    <w:p>
      <w:pPr/>
      <w:r>
        <w:t>5. Receiving, unless the storage work exposes another concrete blocker.</w:t>
      </w:r>
    </w:p>
    <w:p>
      <w:pPr/>
      <w:r>
        <w:t>Current supersession, 21 September: review-scene supply reuse, reusable functional ModularRack authoring, Storage Unit Orientation &amp; Zoning Basis and Canonical Item Storage Pose &amp; Shelf-Front Alignment are complete and human-promoted. The single-rack fixed-ladder proof is now the active gate, followed by the human ladder decision and then Receiving unless a concrete storage blocker appears.</w:t>
      </w:r>
    </w:p>
    <w:p>
      <w:r>
        <w:t>This order supersedes the v0.8 record where Fuel reconciliation, seeded storage integration and shelf ergonomics were still pending. This documentation delivery adds no gameplay implementation and does not change ceilings, camera height, gallery furnishing, Receiving, crouch, auto-placement or ladder movement.</w:t>
      </w:r>
    </w:p>
    <w:p>
      <w:pPr>
        <w:pStyle w:val="Heading1"/>
      </w:pPr>
      <w:r>
        <w:t>25. 20-21 September Storage Authoring Foundation closure</w:t>
      </w:r>
    </w:p>
    <w:p>
      <w:r>
        <w:t>This section records the promoted evidence that supersedes the current-status language in Section 24 while leaving earlier checkpoints intact. The synchronized close-out reference is ac335d5ccf8d3e519f1025d26ea12b971c3820d6.</w:t>
      </w:r>
    </w:p>
    <w:p>
      <w:pPr>
        <w:pStyle w:val="Heading2"/>
      </w:pPr>
      <w:r>
        <w:t>25.1 Review-scene supply reuse</w:t>
      </w:r>
    </w:p>
    <w:p>
      <w:r>
        <w:t>The retained shelf ergonomics review now instantiates wing_gameplay.tscn off-tree, detaches its composed DevelopmentSetup and adds only that setup to the active review tree. Authored tables, hosts, transforms, registrar path and wing_seed_v1 identities remain the live palette authority. The cabinet-only sample fixture is no longer active; the cabinet visual remains part of the A/B/C furniture comparison. Automated checks and human review produced PROMOTE.</w:t>
      </w:r>
    </w:p>
    <w:p>
      <w:pPr>
        <w:pStyle w:val="Heading2"/>
      </w:pPr>
      <w:r>
        <w:t>25.2 Reusable ModularRack authoring and Rack02 deck calibration</w:t>
      </w:r>
    </w:p>
    <w:p>
      <w:r>
        <w:t>The reusable base scene is shelf-empty. An editable Levels container accepts ordinary parent-scene-local shelf wrappers, so normal add, duplicate, move and delete operations persist. One root @tool component derives frame geometry, insets, preview, collision, clearance and runtime surfaces. StoragePrototypeManager remains the runtime owner. The three-level starter is a mutable review reference, not a universal standard.</w:t>
      </w:r>
    </w:p>
    <w:tbl>
      <w:tblPr>
        <w:tblW w:type="auto" w:w="0"/>
        <w:tblLook w:firstColumn="1" w:firstRow="1" w:lastColumn="0" w:lastRow="0" w:noHBand="0" w:noVBand="1" w:val="04A0"/>
      </w:tblPr>
      <w:tblGrid>
        <w:gridCol w:w="4931"/>
        <w:gridCol w:w="4931"/>
      </w:tblGrid>
      <w:tr>
        <w:trPr>
          <w:tblHeader w:val="true"/>
        </w:trPr>
        <w:tc>
          <w:tcPr>
            <w:tcW w:type="dxa" w:w="4931"/>
            <w:vAlign w:val="center"/>
          </w:tcPr>
          <w:p>
            <w:r>
              <w:t>Rack02 calibration</w:t>
            </w:r>
          </w:p>
        </w:tc>
        <w:tc>
          <w:tcPr>
            <w:tcW w:type="dxa" w:w="4931"/>
            <w:vAlign w:val="center"/>
          </w:tcPr>
          <w:p>
            <w:r>
              <w:t>Promoted value</w:t>
            </w:r>
          </w:p>
        </w:tc>
      </w:tr>
      <w:tr>
        <w:tc>
          <w:tcPr>
            <w:tcW w:type="dxa" w:w="4931"/>
            <w:vAlign w:val="center"/>
          </w:tcPr>
          <w:p>
            <w:r>
              <w:t>Deck top Y</w:t>
            </w:r>
          </w:p>
        </w:tc>
        <w:tc>
          <w:tcPr>
            <w:tcW w:type="dxa" w:w="4931"/>
            <w:vAlign w:val="center"/>
          </w:tcPr>
          <w:p>
            <w:r>
              <w:t>0.113742 m</w:t>
            </w:r>
          </w:p>
        </w:tc>
      </w:tr>
      <w:tr>
        <w:tc>
          <w:tcPr>
            <w:tcW w:type="dxa" w:w="4931"/>
            <w:vAlign w:val="center"/>
          </w:tcPr>
          <w:p>
            <w:r>
              <w:t>Deck underside Y</w:t>
            </w:r>
          </w:p>
        </w:tc>
        <w:tc>
          <w:tcPr>
            <w:tcW w:type="dxa" w:w="4931"/>
            <w:vAlign w:val="center"/>
          </w:tcPr>
          <w:p>
            <w:r>
              <w:t>0.090407 m</w:t>
            </w:r>
          </w:p>
        </w:tc>
      </w:tr>
      <w:tr>
        <w:tc>
          <w:tcPr>
            <w:tcW w:type="dxa" w:w="4931"/>
            <w:vAlign w:val="center"/>
          </w:tcPr>
          <w:p>
            <w:r>
              <w:t>Deck X</w:t>
            </w:r>
          </w:p>
        </w:tc>
        <w:tc>
          <w:tcPr>
            <w:tcW w:type="dxa" w:w="4931"/>
            <w:vAlign w:val="center"/>
          </w:tcPr>
          <w:p>
            <w:r>
              <w:t>-0.476953864 .. 0.476953864 m</w:t>
            </w:r>
          </w:p>
        </w:tc>
      </w:tr>
      <w:tr>
        <w:tc>
          <w:tcPr>
            <w:tcW w:type="dxa" w:w="4931"/>
            <w:vAlign w:val="center"/>
          </w:tcPr>
          <w:p>
            <w:r>
              <w:t>Deck Z</w:t>
            </w:r>
          </w:p>
        </w:tc>
        <w:tc>
          <w:tcPr>
            <w:tcW w:type="dxa" w:w="4931"/>
            <w:vAlign w:val="center"/>
          </w:tcPr>
          <w:p>
            <w:r>
              <w:t>-1.875163436 .. 1.875163555 m</w:t>
            </w:r>
          </w:p>
        </w:tc>
      </w:tr>
      <w:tr>
        <w:tc>
          <w:tcPr>
            <w:tcW w:type="dxa" w:w="4931"/>
            <w:vAlign w:val="center"/>
          </w:tcPr>
          <w:p>
            <w:r>
              <w:t>Physical thickness</w:t>
            </w:r>
          </w:p>
        </w:tc>
        <w:tc>
          <w:tcPr>
            <w:tcW w:type="dxa" w:w="4931"/>
            <w:vAlign w:val="center"/>
          </w:tcPr>
          <w:p>
            <w:r>
              <w:t>0.023335 m</w:t>
            </w:r>
          </w:p>
        </w:tc>
      </w:tr>
      <w:tr>
        <w:tc>
          <w:tcPr>
            <w:tcW w:type="dxa" w:w="4931"/>
            <w:vAlign w:val="center"/>
          </w:tcPr>
          <w:p>
            <w:r>
              <w:t>Runtime surface origin</w:t>
            </w:r>
          </w:p>
        </w:tc>
        <w:tc>
          <w:tcPr>
            <w:tcW w:type="dxa" w:w="4931"/>
            <w:vAlign w:val="center"/>
          </w:tcPr>
          <w:p>
            <w:r>
              <w:t>-0.012 m relative to wrapper</w:t>
            </w:r>
          </w:p>
        </w:tc>
      </w:tr>
    </w:tbl>
    <w:p>
      <w:r>
        <w:t>The measured physical deck rather than the full rail/bracket AABB anchors the support plane. F6 and the local placement plane align to the gray deck and stay within its calibrated rectangle after per-edge insets and 0.10 m cell quantization.</w:t>
      </w:r>
    </w:p>
    <w:p>
      <w:pPr>
        <w:pStyle w:val="Heading2"/>
      </w:pPr>
      <w:r>
        <w:t>25.3 Storage Unit Orientation and semantic zoning</w:t>
      </w:r>
    </w:p>
    <w:p>
      <w:r>
        <w:t>Orientation is unit-owned. Every surface generated for one unit inherits the same non-null four-state value. The developer authors Front manually; no mesh, wall or viewpoint inference is used.</w:t>
      </w:r>
    </w:p>
    <w:tbl>
      <w:tblPr>
        <w:tblW w:type="auto" w:w="0"/>
        <w:tblLook w:firstColumn="1" w:firstRow="1" w:lastColumn="0" w:lastRow="0" w:noHBand="0" w:noVBand="1" w:val="04A0"/>
      </w:tblPr>
      <w:tblGrid>
        <w:gridCol w:w="1644"/>
        <w:gridCol w:w="1644"/>
        <w:gridCol w:w="1644"/>
        <w:gridCol w:w="1644"/>
        <w:gridCol w:w="1644"/>
        <w:gridCol w:w="1644"/>
      </w:tblGrid>
      <w:tr>
        <w:trPr>
          <w:tblHeader w:val="true"/>
        </w:trPr>
        <w:tc>
          <w:tcPr>
            <w:tcW w:type="dxa" w:w="1644"/>
            <w:vAlign w:val="center"/>
          </w:tcPr>
          <w:p>
            <w:r>
              <w:t>State</w:t>
            </w:r>
          </w:p>
        </w:tc>
        <w:tc>
          <w:tcPr>
            <w:tcW w:type="dxa" w:w="1644"/>
            <w:vAlign w:val="center"/>
          </w:tcPr>
          <w:p>
            <w:r>
              <w:t>Front</w:t>
            </w:r>
          </w:p>
        </w:tc>
        <w:tc>
          <w:tcPr>
            <w:tcW w:type="dxa" w:w="1644"/>
            <w:vAlign w:val="center"/>
          </w:tcPr>
          <w:p>
            <w:r>
              <w:t>Right</w:t>
            </w:r>
          </w:p>
        </w:tc>
        <w:tc>
          <w:tcPr>
            <w:tcW w:type="dxa" w:w="1644"/>
            <w:vAlign w:val="center"/>
          </w:tcPr>
          <w:p>
            <w:r>
              <w:t>Back</w:t>
            </w:r>
          </w:p>
        </w:tc>
        <w:tc>
          <w:tcPr>
            <w:tcW w:type="dxa" w:w="1644"/>
            <w:vAlign w:val="center"/>
          </w:tcPr>
          <w:p>
            <w:r>
              <w:t>Left</w:t>
            </w:r>
          </w:p>
        </w:tc>
        <w:tc>
          <w:tcPr>
            <w:tcW w:type="dxa" w:w="1644"/>
            <w:vAlign w:val="center"/>
          </w:tcPr>
          <w:p>
            <w:r>
              <w:t>Semantic size</w:t>
            </w:r>
          </w:p>
        </w:tc>
      </w:tr>
      <w:tr>
        <w:tc>
          <w:tcPr>
            <w:tcW w:type="dxa" w:w="1644"/>
            <w:vAlign w:val="center"/>
          </w:tcPr>
          <w:p>
            <w:r>
              <w:t>0</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1</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r>
        <w:tc>
          <w:tcPr>
            <w:tcW w:type="dxa" w:w="1644"/>
            <w:vAlign w:val="center"/>
          </w:tcPr>
          <w:p>
            <w:r>
              <w:t>2</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3</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bl>
    <w:p>
      <w:r>
        <w:t>For physical size W x D and semantic coordinates u left-to-right, v back-to-front, the promoted mapping is: state 0 x=u z=v; state 1 x=v z=D-1-u; state 2 x=W-1-u z=D-1-v; state 3 x=W-1-v z=u. The inverse mapping is exact. Zoning always presents Back at top and Front at bottom from authored Front, independent of player viewpoint.</w:t>
      </w:r>
    </w:p>
    <w:p>
      <w:r>
        <w:t>Physical grid, reservations, stacks, zone-cell storage and F6 remain unchanged. Changing orientation metadata reinterprets physical cells semantically; it does not migrate them. Cross-family human review on ModularRack, Metal Shelf and Ventilated Locker produced PROMOTE.</w:t>
      </w:r>
    </w:p>
    <w:p>
      <w:pPr>
        <w:pStyle w:val="Heading2"/>
      </w:pPr>
      <w:r>
        <w:t>25.4 Canonical Item Storage Pose and packing separation</w:t>
      </w:r>
    </w:p>
    <w:p>
      <w:r>
        <w:t>ItemDefinition.storage_rotation_degrees remains the full pitch/yaw/roll correction from untouched imported asset to canonical stored presentation. Canonical item Front is +Z. Runtime applies unit yaw outside authored pose/seating, then applies the existing packing boolean as one additional +90-degree turn.</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Packing false</w:t>
            </w:r>
          </w:p>
        </w:tc>
        <w:tc>
          <w:tcPr>
            <w:tcW w:type="dxa" w:w="2466"/>
            <w:vAlign w:val="center"/>
          </w:tcPr>
          <w:p>
            <w:r>
              <w:t>Packing true</w:t>
            </w:r>
          </w:p>
        </w:tc>
      </w:tr>
      <w:tr>
        <w:tc>
          <w:tcPr>
            <w:tcW w:type="dxa" w:w="2466"/>
            <w:vAlign w:val="center"/>
          </w:tcPr>
          <w:p>
            <w:r>
              <w:t>0</w:t>
            </w:r>
          </w:p>
        </w:tc>
        <w:tc>
          <w:tcPr>
            <w:tcW w:type="dxa" w:w="2466"/>
            <w:vAlign w:val="center"/>
          </w:tcPr>
          <w:p>
            <w:r>
              <w:t>+Z</w:t>
            </w:r>
          </w:p>
        </w:tc>
        <w:tc>
          <w:tcPr>
            <w:tcW w:type="dxa" w:w="2466"/>
            <w:vAlign w:val="center"/>
          </w:tcPr>
          <w:p>
            <w:r>
              <w:t>2x1 / 0 degrees</w:t>
            </w:r>
          </w:p>
        </w:tc>
        <w:tc>
          <w:tcPr>
            <w:tcW w:type="dxa" w:w="2466"/>
            <w:vAlign w:val="center"/>
          </w:tcPr>
          <w:p>
            <w:r>
              <w:t>1x2 / 90 degrees</w:t>
            </w:r>
          </w:p>
        </w:tc>
      </w:tr>
      <w:tr>
        <w:tc>
          <w:tcPr>
            <w:tcW w:type="dxa" w:w="2466"/>
            <w:vAlign w:val="center"/>
          </w:tcPr>
          <w:p>
            <w:r>
              <w:t>1</w:t>
            </w:r>
          </w:p>
        </w:tc>
        <w:tc>
          <w:tcPr>
            <w:tcW w:type="dxa" w:w="2466"/>
            <w:vAlign w:val="center"/>
          </w:tcPr>
          <w:p>
            <w:r>
              <w:t>+X</w:t>
            </w:r>
          </w:p>
        </w:tc>
        <w:tc>
          <w:tcPr>
            <w:tcW w:type="dxa" w:w="2466"/>
            <w:vAlign w:val="center"/>
          </w:tcPr>
          <w:p>
            <w:r>
              <w:t>1x2 / 90 degrees</w:t>
            </w:r>
          </w:p>
        </w:tc>
        <w:tc>
          <w:tcPr>
            <w:tcW w:type="dxa" w:w="2466"/>
            <w:vAlign w:val="center"/>
          </w:tcPr>
          <w:p>
            <w:r>
              <w:t>2x1 / 180 degrees</w:t>
            </w:r>
          </w:p>
        </w:tc>
      </w:tr>
      <w:tr>
        <w:tc>
          <w:tcPr>
            <w:tcW w:type="dxa" w:w="2466"/>
            <w:vAlign w:val="center"/>
          </w:tcPr>
          <w:p>
            <w:r>
              <w:t>2</w:t>
            </w:r>
          </w:p>
        </w:tc>
        <w:tc>
          <w:tcPr>
            <w:tcW w:type="dxa" w:w="2466"/>
            <w:vAlign w:val="center"/>
          </w:tcPr>
          <w:p>
            <w:r>
              <w:t>-Z</w:t>
            </w:r>
          </w:p>
        </w:tc>
        <w:tc>
          <w:tcPr>
            <w:tcW w:type="dxa" w:w="2466"/>
            <w:vAlign w:val="center"/>
          </w:tcPr>
          <w:p>
            <w:r>
              <w:t>2x1 / 180 degrees</w:t>
            </w:r>
          </w:p>
        </w:tc>
        <w:tc>
          <w:tcPr>
            <w:tcW w:type="dxa" w:w="2466"/>
            <w:vAlign w:val="center"/>
          </w:tcPr>
          <w:p>
            <w:r>
              <w:t>1x2 / 270 degrees</w:t>
            </w:r>
          </w:p>
        </w:tc>
      </w:tr>
      <w:tr>
        <w:tc>
          <w:tcPr>
            <w:tcW w:type="dxa" w:w="2466"/>
            <w:vAlign w:val="center"/>
          </w:tcPr>
          <w:p>
            <w:r>
              <w:t>3</w:t>
            </w:r>
          </w:p>
        </w:tc>
        <w:tc>
          <w:tcPr>
            <w:tcW w:type="dxa" w:w="2466"/>
            <w:vAlign w:val="center"/>
          </w:tcPr>
          <w:p>
            <w:r>
              <w:t>-X</w:t>
            </w:r>
          </w:p>
        </w:tc>
        <w:tc>
          <w:tcPr>
            <w:tcW w:type="dxa" w:w="2466"/>
            <w:vAlign w:val="center"/>
          </w:tcPr>
          <w:p>
            <w:r>
              <w:t>1x2 / 270 degrees</w:t>
            </w:r>
          </w:p>
        </w:tc>
        <w:tc>
          <w:tcPr>
            <w:tcW w:type="dxa" w:w="2466"/>
            <w:vAlign w:val="center"/>
          </w:tcPr>
          <w:p>
            <w:r>
              <w:t>2x1 / 0 degrees</w:t>
            </w:r>
          </w:p>
        </w:tc>
      </w:tr>
    </w:tbl>
    <w:p>
      <w:r>
        <w:t>The table uses an asymmetric canonical 2x1 Footprint. Physical reservation parity follows the combined unit plus packing turn. Auto-placement remains canonical/front-facing first and packing alternative second. Committed items keep their transform when shelf Front changes; newly placed copies use the new Front. Future save/load must restore placed orientation rather than recompute it.</w:t>
      </w:r>
    </w:p>
    <w:p>
      <w:pPr>
        <w:pStyle w:val="Heading2"/>
      </w:pPr>
      <w:r>
        <w:t>25.5 Pose-authoring tool correction and catalogue-wide human review</w:t>
      </w:r>
    </w:p>
    <w:p>
      <w:r>
        <w:t>The retained fixture is res://gameplay/dev/item_storage_pose/item_storage_pose_authoring.tscn. It edits the assigned external ItemDefinition, uses the runtime StorageVisualPose path and now combines Resource.changed with a bounded editor fingerprint so in-place pitch/yaw/roll and Footprint changes refresh reliably.</w:t>
      </w:r>
    </w:p>
    <w:p>
      <w:r>
        <w:t>The inspector exposes Authored Footprint, Suggested Canonical Footprint, suggestion warning and preview packing Footprint. Suggestion uses canonical posed bounds at 0.10 m per cell with ceil and a one-cell minimum. Apply Suggested Footprint writes x/y only and preserves Footprint z and storage_rotation_degrees. Nothing silently rewrites gameplay metadata or source GLB/FBX transforms.</w:t>
      </w:r>
    </w:p>
    <w:p>
      <w:r>
        <w:t>Final reconciliation: 42 definitions remain present and resolvable; 40 are eligible/current; Gloves loot_000034 and Pants loot_000036 remain blocked. Eligible approvals are 21 DEFAULT_POSE_APPROVED and 19 CUSTOM_POSE_APPROVED; Footprints are 27 GEOMETRY_APPROVED and 13 OVERRIDE_APPROVED. Twenty-six ItemDefinition .tres resources contain saved human pose/Footprint edits, while all 40 eligible items were reviewed. Stack Role, Auto Group, identity and blocked-item decisions remained consistent.</w:t>
      </w:r>
    </w:p>
    <w:p>
      <w:r>
        <w:t>The corrected workbench reduced the full eligible-catalogue pass to roughly 10 minutes versus roughly two hours for the earlier seed-in-game, review, written-instructions and Codex-edit workflow.</w:t>
      </w:r>
    </w:p>
    <w:p>
      <w:pPr>
        <w:pStyle w:val="Heading2"/>
      </w:pPr>
      <w:r>
        <w:t>25.6 Reconciliation, regression findings and known tolerances/debt</w:t>
      </w:r>
    </w:p>
    <w:p>
      <w:r>
        <w:t>The promoted close-out preserved source assets, scale normalization, ItemCatalog references, gameplay scenes, shelf/rack definitions, unit orientation, zoning and Rack02 calibration. The human-approved Book 2x2 override produces a measured 0.289 mm front-edge excursion in the rotated locker boundary fixture, within the documented 0.5 mm visual-bounds tolerance. Fixture position, grid and calibration checks retain their strict 0.02 mm tolerance.</w:t>
      </w:r>
    </w:p>
    <w:p>
      <w:pPr>
        <w:pStyle w:val="ListBullet"/>
      </w:pPr>
      <w:r>
        <w:t>The existing Windows root-certificate-store diagnostic remains environment noise rather than a task blocker.</w:t>
      </w:r>
    </w:p>
    <w:p>
      <w:pPr>
        <w:pStyle w:val="ListBullet"/>
      </w:pPr>
      <w:r>
        <w:t>The dedicated missing-clearance-context warning path remains intentional test coverage.</w:t>
      </w:r>
    </w:p>
    <w:p>
      <w:pPr>
        <w:pStyle w:val="ListBullet"/>
      </w:pPr>
      <w:r>
        <w:t>The scripted editor round-trip may emit scan-aborted/RID cleanup diagnostics at process shutdown; the separate normal editor scan remains clean apart from the certificate diagnostic.</w:t>
      </w:r>
    </w:p>
    <w:p>
      <w:pPr>
        <w:pStyle w:val="ListBullet"/>
      </w:pPr>
      <w:r>
        <w:t>Gloves and Pants remain blocked for source/pose work.</w:t>
      </w:r>
    </w:p>
    <w:p>
      <w:pPr>
        <w:pStyle w:val="ListBullet"/>
      </w:pPr>
      <w:r>
        <w:t>Optional 0/90/180/270 display rotation remains UX debt. Existing packing remains a boolean two-state choice.</w:t>
      </w:r>
    </w:p>
    <w:p>
      <w:pPr>
        <w:pStyle w:val="ListBullet"/>
      </w:pPr>
      <w:r>
        <w:t>Changing unit Front does not migrate physical zone cells. Future save/load must persist placed orientation.</w:t>
      </w:r>
    </w:p>
    <w:p>
      <w:pPr>
        <w:pStyle w:val="Heading2"/>
      </w:pPr>
      <w:r>
        <w:t>25.7 Current gate: fixed-ladder proof</w:t>
      </w:r>
    </w:p>
    <w:p>
      <w:pPr/>
      <w:r>
        <w:t>29 September supersession: this was the active 21 September gate. The proof and real-wing bridge were subsequently human-promoted in the bounded scopes recorded in §26; the gate order below is retained as history.</w:t>
      </w:r>
    </w:p>
    <w:p>
      <w:r>
        <w:t>No ladder implementation is promoted. The active proof targets one fixed floor-position ladder serving selected taller rack(s), not universal ladder coverage. Its purpose is reliable vertical access to additional storage, not perfect visibility or a universal reach solution.</w:t>
      </w:r>
    </w:p>
    <w:p>
      <w:pPr>
        <w:pStyle w:val="ListBullet"/>
      </w:pPr>
      <w:r>
        <w:t>Frontal approach plus forward input begins attach/climb; side-walking through the trigger must not capture.</w:t>
      </w:r>
    </w:p>
    <w:p>
      <w:pPr>
        <w:pStyle w:val="ListBullet"/>
      </w:pPr>
      <w:r>
        <w:t>W/S climbs up/down independent of camera pitch; release holds current height; A/D does not move laterally while attached.</w:t>
      </w:r>
    </w:p>
    <w:p>
      <w:pPr>
        <w:pStyle w:val="ListBullet"/>
      </w:pPr>
      <w:r>
        <w:t>Mouse look remains available for shelf inspection; yaw is clamped relative to the ladder. Exact clamp is Validate/provisional.</w:t>
      </w:r>
    </w:p>
    <w:p>
      <w:pPr>
        <w:pStyle w:val="ListBullet"/>
      </w:pPr>
      <w:r>
        <w:t>A top stop prevents ceiling/camera clipping and does not imply rack-top dismount.</w:t>
      </w:r>
    </w:p>
    <w:p>
      <w:pPr>
        <w:pStyle w:val="ListBullet"/>
      </w:pPr>
      <w:r>
        <w:t>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w:t>
      </w:r>
    </w:p>
    <w:p>
      <w:pPr>
        <w:pStyle w:val="ListBullet"/>
      </w:pPr>
      <w:r>
        <w:t>A fixed ladder does not solve shelf depth, brace/rung occlusion, rear reach or every low/high shelf ergonomics problem.</w:t>
      </w:r>
    </w:p>
    <w:p>
      <w:r>
        <w:t>Gate order: 1) single-rack fixed-ladder proof; 2) human ladder decision; 3) Receiving unless a concrete storage blocker appears.</w:t>
      </w:r>
    </w:p>
    <w:p>
      <w:pPr>
        <w:pStyle w:val="Heading1"/>
      </w:pPr>
      <w:r>
        <w:t>26. Fixed-ladder proof and wing integration closure</w:t>
      </w:r>
    </w:p>
    <w:p>
      <w:pPr>
        <w:pStyle w:val="Heading2"/>
      </w:pPr>
      <w:r>
        <w:t>26.1 Standalone fixed-line proof</w:t>
      </w:r>
    </w:p>
    <w:p>
      <w:pPr/>
      <w:r>
        <w:t>The single-rack proof implemented an authored FixedLadder with per-instance height, a fixed vertical climb line, coarse player collision and bounded attach, rearm and mouse-look behavior. The same player body and camera climb; deliberate WorldItem pickup, held-item use and StorageSurface interaction remain available through the ladder geometry where reachable. Focused tests, the interaction layer and preservation checks technically verified the architecture. Earlier REVISE rounds corrected bottom rearm and asymmetric visible yaw; the final focused human re-review recorded PROMOTE.</w:t>
      </w:r>
    </w:p>
    <w:p>
      <w:pPr/>
      <w:r>
        <w:t>This promotion approves fixed ladders as authored options for selected taller storage installations. It does not set final ladder art or a universal geometry and reach rule. The original §25.7 active-gate statement is a retained 21 September checkpoint, explicitly superseded by this result.</w:t>
      </w:r>
    </w:p>
    <w:p>
      <w:pPr>
        <w:pStyle w:val="Heading2"/>
      </w:pPr>
      <w:r>
        <w:t>26.2 Gallery B ModularRack plus FixedLadder bridge</w:t>
      </w:r>
    </w:p>
    <w:p>
      <w:pPr/>
      <w:r>
        <w:t>The independent ladder and a scene-local four-level ModularRack were integrated into the normal wing_gameplay.tscn composition in temporary Gallery B. The bridge preserved the existing storage manager and ordinary surface behavior, while allowing the developer to move this rack/ladder installation as a Stage B storage destination. Technical checks passed and the developer promoted the real-wing integration. This bridge did not itself start Receiving work or revalidate the standalone ladder or rack architectures.</w:t>
      </w:r>
    </w:p>
    <w:p>
      <w:pPr>
        <w:pStyle w:val="Heading2"/>
      </w:pPr>
      <w:r>
        <w:t>26.3 Scope boundary</w:t>
      </w:r>
    </w:p>
    <w:p>
      <w:pPr/>
      <w:r>
        <w:t>The accepted fixed-line proof does not authorize universal ladder coverage, general climbing, jumping, mantling, movable or sliding ladders, shelf-top traversal, fall or sliding systems, rung collision, or a final production ladder roster. Ordinary ground-access storage remains important. Installation-specific approach, depth, occlusion, top stop and reach still require review in their eventual furniture contexts.</w:t>
      </w:r>
    </w:p>
    <w:p>
      <w:pPr>
        <w:pStyle w:val="Heading1"/>
      </w:pPr>
      <w:r>
        <w:t>27. Receiving Stage B presentation research and promotion</w:t>
      </w:r>
    </w:p>
    <w:p>
      <w:pPr/>
      <w:r>
        <w:t>The Stage A contract remains upstream authority: Expedition determines and commits the exact durable ItemInstances in a batch. Receiving determines where and how those same items appear and records drain. Presentation may not add filler, omit or replace awkward loot, or bias Expedition output. The following research stages did not themselves change that ownership.</w:t>
      </w:r>
    </w:p>
    <w:p>
      <w:pPr>
        <w:pStyle w:val="Heading2"/>
      </w:pPr>
      <w:r>
        <w:t>27.1 Isolated A/B/C geometry comparison</w:t>
      </w:r>
    </w:p>
    <w:p>
      <w:pPr/>
      <w:r>
        <w:t>The A/B/C deck and barrier geometry comparison was completed as isolated, technically verified research into visibility, cage depth, apron stance and access to lower or rear items. It helped frame later deck dimensions and review reach, but no A/B/C case was promoted as final production geometry. Its proof-only measurements cannot override the later integrated Stage B configuration.</w:t>
      </w:r>
    </w:p>
    <w:p>
      <w:pPr>
        <w:pStyle w:val="Heading2"/>
      </w:pPr>
      <w:r>
        <w:t>27.2 Real-item physics pile proof</w:t>
      </w:r>
    </w:p>
    <w:p>
      <w:pPr/>
      <w:r>
        <w:t>An isolated proof instantiated ordinary catalogue visuals as temporary mesh-derived single-convex-hull rigid bodies, used committed manifests and seeds, settled them out of view, froze them, and reconstructed interactive ordinary WorldItems. It established that hidden settling and frozen presentation can be separated. This was technically useful research, not a successful production presenter. The stricter containment run still recorded out-of-bounds hulls, and the developer observed floating remnants, floor-clipped thin items and awkward support relationships after TAKE.</w:t>
      </w:r>
    </w:p>
    <w:p>
      <w:pPr/>
      <w:r>
        <w:t>Human review chose PIVOT TO ORDERED TAKE-ONLY DECK and rejected the irregular frozen-pile visual direction for production. A support-graph system was explicitly judged disproportionate and should not be designed to rescue this rejected approach. The proof-only 3.5 m reach and its larger cage are historical diagnostics, not current Receiving values.</w:t>
      </w:r>
    </w:p>
    <w:p>
      <w:pPr>
        <w:pStyle w:val="Heading2"/>
      </w:pPr>
      <w:r>
        <w:t>27.3 Deterministic seeded deck presenter</w:t>
      </w:r>
    </w:p>
    <w:p>
      <w:pPr/>
      <w:r>
        <w:t>The promoted Stage B presenter uses a private deterministic layout to reserve and stack the exact committed batch, then exposes ordinary WorldItems for TAKE through the normal pickup and legal StorageStack TAKE, base-promotion and compression paths. The functional usable deck is 3.00 m × 2.00 m; its physical support is 3.10 m × 2.10 m with a 0.05 m non-reservable border. These are the current authored proof values, not immutable shipped elevator dimensions.</w:t>
      </w:r>
    </w:p>
    <w:p>
      <w:pPr>
        <w:widowControl/>
      </w:pPr>
      <w:r>
        <w:t>10 OCTOBER SUPERSESSION: the paragraph above retains the original promoted Stage B dimensions. The later human-promoted 1 October widened MainDeck is 3.30 × 2.00 m / 33 × 20 cells on approximately 3.441 × 2.100 m support, with .0705 m side/approximately .05 m front-rear margins. Reaches remain 3.4 / 1.4 / 2.3 m. See §32; the old dimensions are not current authority.</w:t>
      </w:r>
    </w:p>
    <w:p>
      <w:pPr/>
      <w:r>
        <w:t>The private presentation surfaces are excluded from ordinary storage registration. The deck offers no PUT, zoning, labels, manual placement, visible grid, F6 storage surface, item ghost or fixture interaction prompt. The normal wing launch does not synthesize a batch; deliveries for review need explicit debug or CLI activation. Technical verification and human re-review promoted this deterministic deck in its tested Stage B scope. The earlier bare-deck 2.1 m Receiving reach remains historical evidence; the fixture-integrated 3.4 m value in §27.4 is current.</w:t>
      </w:r>
    </w:p>
    <w:p>
      <w:pPr>
        <w:pStyle w:val="Heading2"/>
      </w:pPr>
      <w:r>
        <w:t>27.4 Functional freight fixtures</w:t>
      </w:r>
    </w:p>
    <w:p>
      <w:pPr/>
      <w:r>
        <w:t>The subsequent promoted wave added Receiving-only crates and pallets as deterministic freight fixtures on private presentation surfaces. Crates sit at the front, pallets at the rear, and useful loose MainDeck cargo remains between them. No fixture starts empty. A fixture that becomes empty during TAKE remains visibly present and reserved as historical presentation until the delivery closes. Fixture stacks continue ordinary StorageStack behavior; these fixtures never become player storage, PUT targets or loot.</w:t>
      </w:r>
    </w:p>
    <w:p>
      <w:pPr/>
      <w:r>
        <w:t>Human review corrected the front/rear order and measured fixture-integrated access through the production pickup ray. The current Receiving-only fixture TAKE reach is 3.4 m, including the agreed aiming and stance margin. Loose-item reach remains 1.4 m; ordinary storage/manual reach remains 2.3 m. The prior 2.1 m bare-deck value and the rejected pile proof range remain dated measurements, not competing current settings.</w:t>
      </w:r>
    </w:p>
    <w:p>
      <w:pPr>
        <w:pStyle w:val="Heading2"/>
      </w:pPr>
      <w:r>
        <w:t>27.5 Promotion boundary</w:t>
      </w:r>
    </w:p>
    <w:p>
      <w:pPr/>
      <w:r>
        <w:t>The deterministic Stage B deck and freight fixtures are implemented, technically verified and human-promoted in the recorded scope. Stage C gameplay, queued delivery theatre, shutter and audio presentation, full save/journal work and economy-facing obligations remain incomplete. Stage B promotion establishes a playable physical presentation basis; it does not claim the broader Receiving/Elevator feature is finished.</w:t>
      </w:r>
    </w:p>
    <w:p>
      <w:pPr>
        <w:pStyle w:val="Heading1"/>
      </w:pPr>
      <w:r>
        <w:t>28. Environment Authoring Foundation EAF1–EAF4</w:t>
      </w:r>
    </w:p>
    <w:p>
      <w:pPr>
        <w:pStyle w:val="Heading2"/>
      </w:pPr>
      <w:r>
        <w:t>28.1 Why the foundation preceded C1</w:t>
      </w:r>
    </w:p>
    <w:p>
      <w:pPr/>
      <w:r>
        <w:t>The parked C1A asset/prefab-first structural conversion exposed a pipeline blocker: lighting review quality, mesh/material coupling, irregular geometry, narrow material range and no reusable wear path. C1A on codex/receiving-c1a-structural-shell remains technically verified research, parked and unpromoted; its visual decisions are not production authority. The replacement authoring model separates structural shape, surface material, localized finish or wear, and lighting. The EAF milestones proved these owners before EAF5 assembled an isolated Receiving room.</w:t>
      </w:r>
    </w:p>
    <w:p>
      <w:pPr>
        <w:pStyle w:val="Heading2"/>
      </w:pPr>
      <w:r>
        <w:t>28.2 EAF1 material and lighting lookdev</w:t>
      </w:r>
    </w:p>
    <w:p>
      <w:pPr/>
      <w:r>
        <w:t>EAF1 promoted a permanent self-contained Godot lookdev scene with Neutral Calibration and Receiving Target Preview. Geometry, material, camera/FOV, WorldEnvironment, exposure and tonemap stay fixed; switching mode changes only the light rig. The Compatibility renderer, metre-based meters_per_repeat, fixed cameras and deterministic capture manifest make material comparison reproducible. The original three 1K KitBash examples are workflow fixtures, not the final material palette.</w:t>
      </w:r>
    </w:p>
    <w:p>
      <w:pPr/>
      <w:r>
        <w:t>The later WallGrazing hatch was diagnosed with a plain untextured surface and isolated lights: positional shadow-map self-shadowing of large review surfaces caused the shared grid. The promoted bounded fix stops the main review wall, floor, ceiling and column from casting while preserving dedicated block, beam and partial-return shadow casters. The light rigs and material parameters remained fixed. This shadow fix is separate from the later Compatibility triplanar mapping artifact.</w:t>
      </w:r>
    </w:p>
    <w:p>
      <w:pPr>
        <w:pStyle w:val="Heading2"/>
      </w:pPr>
      <w:r>
        <w:t>28.3 EAF2 structural substrate authoring</w:t>
      </w:r>
    </w:p>
    <w:p>
      <w:pPr/>
      <w:r>
        <w:t>EAF2 human-promoted Godot-native parametric pieces with exact metre dimensions and physical thickness, unit roots, deterministic normals, tangents and geometry fingerprints, metre-authored UV1, optional UV rotation/phase and bounded bevel, EAF1 material binding, NONE/SIMPLE collision and a native UV2 unwrap seam. The promoted recipe registry contains rect_solid, wall_with_rect_opening and wall_with_two_rect_openings; the two-opening wall established an incremental extension path rather than a one-off Receiving mesh. UV2 is an authoring seam, not a decision to adopt LightmapGI.</w:t>
      </w:r>
    </w:p>
    <w:p>
      <w:pPr/>
      <w:r>
        <w:t>EAF5 later used rect_solid concealed_faces to omit only construction faces hidden by accepted joins. An empty concealed_faces value still produces the closed solid. This generic extension did not introduce a missing topology or reopen the EAF2 promotion.</w:t>
      </w:r>
    </w:p>
    <w:p>
      <w:pPr>
        <w:pStyle w:val="Heading2"/>
      </w:pPr>
      <w:r>
        <w:t>28.4 EAF3 indexed material source to curated catalog</w:t>
      </w:r>
    </w:p>
    <w:p>
      <w:pPr/>
      <w:r>
        <w:t>The human-promoted EAF3 pipeline uses one configured external material-source root, guarded indexing and source profiles, stable source IDs, actual channel and resolution discovery, triage sheets, selective staging, strong fingerprints and EAF1 PBR review. Human decisions enter a tracked catalog. Approved-spec restaging and query use current fingerprints; STALE and SOURCE_MISSING retain the historical decision without misrepresenting current availability. A basecolor sheet or passing staging test is not a material approval.</w:t>
      </w:r>
    </w:p>
    <w:p>
      <w:pPr/>
      <w:r>
        <w:t>The promoted FAB maintenance extension kept the same root and schema 1, moved the scanner to eaf3a-2, and used KITBASH_PROFILE_V1 revision 1 plus FAB_SURFACE_PROFILE_V1 revision 1. Object-specific or trim warnings keep raw candidates discoverable but exclude them from general structural review sheets by default; they have a separate review path. The original five approved Foundation Mineral materials were a non-exhaustive seed, not the current vocabulary. At EAF5 close-out, the catalog held 30 current APPROVED, 7 DEFERRED and 6 REJECTED entries. Room-role review and selection remain separate human decisions.</w:t>
      </w:r>
    </w:p>
    <w:p>
      <w:pPr>
        <w:pStyle w:val="Heading2"/>
      </w:pPr>
      <w:r>
        <w:t>28.5 UV default and bounded triplanar exception</w:t>
      </w:r>
    </w:p>
    <w:p>
      <w:pPr/>
      <w:r>
        <w:t>Controlled Compatibility captures reproduced a fine grid/crosshatch with built-in triplanar on large surfaces. Raw source textures were not the cause; UV captures removed the artifact, and no small reliable owner fix was found. UV is now the default. Triplanar is explicit opt-in only, requiring a documented reason, large-plane review, corner or multi-axis review and WallGrazing verification. Earlier explicit approved triplanar mappings were not silently rewritten. This is a mapping policy result, distinct from EAF1 positional shadow-map self-shadowing.</w:t>
      </w:r>
    </w:p>
    <w:p>
      <w:pPr>
        <w:pStyle w:val="Heading2"/>
      </w:pPr>
      <w:r>
        <w:t>28.6 EAF4 wear sources, overlays and curation</w:t>
      </w:r>
    </w:p>
    <w:p>
      <w:pPr/>
      <w:r>
        <w:t>The human-promoted EAF4 workflow has a separate guarded wear-source root and index, stable IDs, source triage, masked decals, imperfection masks and Unreal atlas handling. Selective staging uses strong fingerprints. Compatibility-safe mesh overlays support CUTOUT and SOFT_BLEND, physical size and surface offset, normal/roughness response and imperfection modulation; EAF3 material patches and EAF4 source patches serve different material semantics. Diagnostic and real EAF3-context captures support human review. A tracked wear catalog, freshness/restaging and query complete the pipeline.</w:t>
      </w:r>
    </w:p>
    <w:p>
      <w:pPr/>
      <w:r>
        <w:t>The final promoted initial catalog has 12 current APPROVED and 2 DEFERRED sources. Approval is source-level suitability with cause tags, not a mandate to place every source in Receiving. Room placement still needs a plausible cause: traffic or hard-to-clean dust, nearby metal for rust, service moisture for mineral marks, and stress or damage for cracks and spall. The catalog is intentionally non-exhaustive.</w:t>
      </w:r>
    </w:p>
    <w:p>
      <w:pPr>
        <w:widowControl/>
      </w:pPr>
      <w:r>
        <w:t>Historical initial EAF4 catalog snapshot above. Later editor-authoring/source decisions are recorded in §32: 28 records, 27 current APPROVED/one DEFERRED, eleven conventional presets and sixteen separate scalar patterns. Source approval and art placement acceptance remain distinct.</w:t>
      </w:r>
    </w:p>
    <w:p>
      <w:pPr>
        <w:pStyle w:val="Heading1"/>
      </w:pPr>
      <w:r>
        <w:t>29. EAF5 Receiving architectural proof</w:t>
      </w:r>
    </w:p>
    <w:p>
      <w:pPr>
        <w:pStyle w:val="Heading2"/>
      </w:pPr>
      <w:r>
        <w:t>29.1 Purpose and authority</w:t>
      </w:r>
    </w:p>
    <w:p>
      <w:pPr/>
      <w:r>
        <w:t>EAF5 was an isolated, dimensionally faithful Receiving architectural proof of EAF1–EAF4 working together. It took accepted dimensions and joins from the wing_gameplay.tscn → wing_environment.tscn → accepted wing_geometry.tscn chain. The production wing scenes, geometry builder and Receiving runtime paths were protected during the proof. Human promotion closed EAF5 as a recipe and pipeline result; the EAF2 proof scene was not installed as the production Receiving room.</w:t>
      </w:r>
    </w:p>
    <w:p>
      <w:pPr>
        <w:widowControl/>
      </w:pPr>
      <w:r>
        <w:t>HISTORICAL EAF5 PROOF: §29 retains original geometry, palettes and finish/wear findings. Later production C1 used the compact room and P05_C02 (§32 dated 10 October), then closed by human decision on 11 October (§33). The inaccessible proof enclosure and next-migration language below are historical, not current production guidance.</w:t>
      </w:r>
    </w:p>
    <w:p>
      <w:pPr>
        <w:pStyle w:val="Heading2"/>
      </w:pPr>
      <w:r>
        <w:t>29.2 Accepted shell and deferred oddity</w:t>
      </w:r>
    </w:p>
    <w:p>
      <w:pPr/>
      <w:r>
        <w:t>The accepted Pass-3A composition v2 contains 14 EAF2 pieces: 13 rect_solid and one wall_with_rect_opening, with zero missing topologies and unit root scale. It preserves a 10.50 × 10.00 m apron, a 5.00 × 7.00 m freight enclosure, 4.20 m clear height and 0.30 m structure. The west freight aperture is 5.00 m full height; Dispatch is 2.40 m full height; the east opening is 3.84 × 3.40 m with a 0.80 m upper closure. Accepted joins use through/butt ownership and concealed construction faces without an EAF5-specific mesh recipe.</w:t>
      </w:r>
    </w:p>
    <w:p>
      <w:pPr/>
      <w:r>
        <w:t>The inaccessible freight/elevator enclosure reads as a visual oddity in this proof. Human close-out explicitly marked it NON-BLOCKING and DEFERRED to C1. EAF5 approval does not certify final architectural furnishing, lighting or production migration.</w:t>
      </w:r>
    </w:p>
    <w:p>
      <w:pPr>
        <w:pStyle w:val="Heading2"/>
      </w:pPr>
      <w:r>
        <w:t>29.3 Material review funnel</w:t>
      </w:r>
    </w:p>
    <w:p>
      <w:pPr/>
      <w:r>
        <w:t>The review path ran from a guarded source shortlist through EAF3B staging, fixed EAF1 PBR comparison, human catalog reconciliation, isolated room-role review, wall/floor pairs, ceiling expansion and complete structural palette review. Thirty-one new shortlisted source candidates received PBR review: 25 new APPROVED, 4 DEFERRED and 2 REJECTED. With the five earlier approved seeds, the current EAF3 catalog at close-out holds 30 APPROVED, 7 DEFERRED and 6 REJECTED. Source approval did not automatically grant a Receiving role; the role narrowing and palette selection were later human judgements.</w:t>
      </w:r>
    </w:p>
    <w:p>
      <w:pPr>
        <w:pStyle w:val="Heading2"/>
      </w:pPr>
      <w:r>
        <w:t>29.4 Final Receiving structural selection</w:t>
      </w:r>
    </w:p>
    <w:p>
      <w:pPr/>
      <w:r>
        <w:t>PRIMARY P01_C02: wall eaf3b_d335d94fd85c2c95c26b6b8b — Dirty Concrete; floor eaf3b_bb32071987faae156ff2d4e8 — Worn Concrete Floor; ceiling eaf3b_6bcd8f817ca2993433e217cc — Shuttered Concrete Wall.</w:t>
      </w:r>
    </w:p>
    <w:p>
      <w:pPr/>
      <w:r>
        <w:t>ALTERNATE P05_C03: wall eaf3b_5a797fbdc766d7e3dc475abf — KB3D_BTL_ConcreteRoughPanelBright; floor eaf3b_bb32071987faae156ff2d4e8 — Worn Concrete Floor; ceiling eaf3b_71edb3fc983ed8f7655d9523 — KB3D_AMC_ConcreteWhite.</w:t>
      </w:r>
    </w:p>
    <w:p>
      <w:pPr/>
      <w:r>
        <w:t>These primary and alternate choices are Receiving-room evidence, not universal bunker palettes. C1 uses their exact catalog IDs through the promoted workflow and may perform room-specific checks without relabeling isolated EAF5 variants as globally approved.</w:t>
      </w:r>
    </w:p>
    <w:p>
      <w:pPr>
        <w:pStyle w:val="Heading2"/>
      </w:pPr>
      <w:r>
        <w:t>29.5 Applied-finish conclusion</w:t>
      </w:r>
    </w:p>
    <w:p>
      <w:pPr/>
      <w:r>
        <w:t>Pass 6A screened material treatments against no-finish controls; Pass 6B tested bounded field and local layouts. Human review retained no layout variant as Receiving base composition. BASE APPLIED FINISH = NONE (NO_FINISH). This does not reject applied finish globally: none of the shortlisted treatments improved this proof room enough to become its base. A small, locally caused finish may later be reviewed in real production context; historical HOLD variants are not promoted presets.</w:t>
      </w:r>
    </w:p>
    <w:p>
      <w:pPr>
        <w:pStyle w:val="Heading2"/>
      </w:pPr>
      <w:r>
        <w:t>29.6 Structural-secondary conclusion</w:t>
      </w:r>
    </w:p>
    <w:p>
      <w:pPr/>
      <w:r>
        <w:t>STRUCTURAL SECONDARY = NONE by default. EAF5 found no need to add a contrasting structural material merely for variation. A later specific architectural condition may justify one, but it needs its own room review rather than inheriting an isolated proof variant.</w:t>
      </w:r>
    </w:p>
    <w:p>
      <w:pPr>
        <w:pStyle w:val="Heading2"/>
      </w:pPr>
      <w:r>
        <w:t>29.7 Generic EAF4 material-patch scale correction</w:t>
      </w:r>
    </w:p>
    <w:p>
      <w:pPr/>
      <w:r>
        <w:t>The Pass 6B layout exposed a generic owner-system bug: EnvironmentMaterialPatch in EAF3_MATERIAL mode used normalized 0–1 QuadMesh UVs at every physical size, breaking EAF3 meters_per_repeat. The promoted correction generates a planar ArrayMesh with exact physical vertices and metre-authored UV extents at root scale Vector3.ONE. EAF4_SOURCE retains its normalized source UV semantics. Focused scale and winding checks verified both paths. This is a generic EAF4 maintenance correction discovered during EAF5, not a Receiving-only workaround.</w:t>
      </w:r>
    </w:p>
    <w:p>
      <w:pPr>
        <w:pStyle w:val="Heading2"/>
      </w:pPr>
      <w:r>
        <w:t>29.8 Causal wear proof and calibration</w:t>
      </w:r>
    </w:p>
    <w:p>
      <w:pPr/>
      <w:r>
        <w:t>EAF5 accepted catalog instantiation, cause-driven placement architecture and a room-instance deep-copy override path. Pass 7 placed candidate leak, crack, dust and rust instances; human review requested composition revision. Pass 7A calibrated selected sources in isolation, but the final EAF5 close-out promoted no L0–L2, D0–D2 or R0–R2 wear variant as a permanent Receiving composition. BASE WEAR PRESET = NONE. EAF4 source approvals remain intact.</w:t>
      </w:r>
    </w:p>
    <w:p>
      <w:pPr/>
      <w:r>
        <w:t>C1 should author local wear after infrastructure, furniture, shelving and pallets, freight barrier/shutter, and room lighting substantially exist. Approved room instances may be placed manually by cause, oriented or mirrored, resized when physical placement justifies it, and locally tuned for opacity/albedo under final lighting and occlusion without mutating catalog approval. Dust or light grime belongs along freight paths, thresholds and hard-to-clean furniture or pallet areas; rust belongs near real metal supports or fittings; water/mineral marks need a pipe, penetration, drain or service cause; crack/spall belongs nearer stressed, recessed or rough service conditions than the maintained apron by default. These are causal review tendencies, not placement quotas.</w:t>
      </w:r>
    </w:p>
    <w:p>
      <w:pPr>
        <w:pStyle w:val="Heading1"/>
      </w:pPr>
      <w:r>
        <w:t>30. Current evidence state and next gate</w:t>
      </w:r>
    </w:p>
    <w:p>
      <w:pPr/>
      <w:r>
        <w:t>This table records current status through the 11 October human C1 closure and published A30WS promotion (§33). Earlier sections retain their dated evidence; §32 preserves the 10 October then-open C1 checkpoint. Technical results, renderer captures and human acceptance remain distinct.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its recorded interaction and authoring scope.</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upstream lifecycle authority in Stage A scope.</w:t>
            </w:r>
          </w:p>
        </w:tc>
      </w:tr>
      <w:tr>
        <w:trPr>
          <w:cantSplit/>
        </w:trPr>
        <w:tc>
          <w:tcPr>
            <w:tcW w:type="dxa" w:w="3024"/>
            <w:vAlign w:val="top"/>
          </w:tcPr>
          <w:p>
            <w:pPr>
              <w:pStyle w:val="TableText"/>
              <w:keepNext w:val="0"/>
              <w:widowControl/>
            </w:pPr>
            <w:r>
              <w:rPr>
                <w:rFonts w:ascii="Lato" w:hAnsi="Lato"/>
                <w:b/>
                <w:color w:val="25323A"/>
                <w:sz w:val="18"/>
              </w:rPr>
              <w:t>Receiving Stage B deterministic presenter</w:t>
            </w:r>
          </w:p>
        </w:tc>
        <w:tc>
          <w:tcPr>
            <w:tcW w:type="dxa" w:w="6840"/>
            <w:vAlign w:val="top"/>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isolated research retained.</w:t>
            </w:r>
          </w:p>
        </w:tc>
      </w:tr>
      <w:tr>
        <w:trPr>
          <w:cantSplit/>
        </w:trPr>
        <w:tc>
          <w:tcPr>
            <w:tcW w:type="dxa" w:w="3024"/>
            <w:vAlign w:val="top"/>
            <w:shd w:fill="F6F8F9"/>
          </w:tcPr>
          <w:p>
            <w:pPr>
              <w:pStyle w:val="TableText"/>
              <w:keepNext w:val="0"/>
              <w:widowControl/>
            </w:pPr>
            <w:r>
              <w:rPr>
                <w:rFonts w:ascii="Lato" w:hAnsi="Lato"/>
                <w:b/>
                <w:color w:val="25323A"/>
                <w:sz w:val="18"/>
              </w:rPr>
              <w:t>EAF1 material and lighting lookdev</w:t>
            </w:r>
          </w:p>
        </w:tc>
        <w:tc>
          <w:tcPr>
            <w:tcW w:type="dxa" w:w="6840"/>
            <w:vAlign w:val="top"/>
            <w:shd w:fill="F6F8F9"/>
          </w:tcPr>
          <w:p>
            <w:pPr>
              <w:pStyle w:val="TableText"/>
              <w:keepNext w:val="0"/>
              <w:widowControl/>
            </w:pPr>
            <w:r>
              <w:rPr>
                <w:rFonts w:ascii="Lato" w:hAnsi="Lato"/>
                <w:b w:val="0"/>
                <w:color w:val="25323A"/>
                <w:sz w:val="18"/>
              </w:rPr>
              <w:t>HUMAN-PROMOTED, including WallGrazing correction.</w:t>
            </w:r>
          </w:p>
        </w:tc>
      </w:tr>
      <w:tr>
        <w:trPr>
          <w:cantSplit/>
        </w:trPr>
        <w:tc>
          <w:tcPr>
            <w:tcW w:type="dxa" w:w="3024"/>
            <w:vAlign w:val="top"/>
          </w:tcPr>
          <w:p>
            <w:pPr>
              <w:pStyle w:val="TableText"/>
              <w:keepNext w:val="0"/>
              <w:widowControl/>
            </w:pPr>
            <w:r>
              <w:rPr>
                <w:rFonts w:ascii="Lato" w:hAnsi="Lato"/>
                <w:b/>
                <w:color w:val="25323A"/>
                <w:sz w:val="18"/>
              </w:rPr>
              <w:t>EAF2 substrate authoring</w:t>
            </w:r>
          </w:p>
        </w:tc>
        <w:tc>
          <w:tcPr>
            <w:tcW w:type="dxa" w:w="6840"/>
            <w:vAlign w:val="top"/>
          </w:tcPr>
          <w:p>
            <w:pPr>
              <w:pStyle w:val="TableText"/>
              <w:keepNext w:val="0"/>
              <w:widowControl/>
            </w:pPr>
            <w:r>
              <w:rPr>
                <w:rFonts w:ascii="Lato" w:hAnsi="Lato"/>
                <w:b w:val="0"/>
                <w:color w:val="25323A"/>
                <w:sz w:val="18"/>
              </w:rPr>
              <w:t>HUMAN-PROMOTED.</w:t>
            </w:r>
          </w:p>
        </w:tc>
      </w:tr>
      <w:tr>
        <w:trPr>
          <w:cantSplit/>
        </w:trPr>
        <w:tc>
          <w:tcPr>
            <w:tcW w:type="dxa" w:w="3024"/>
            <w:vAlign w:val="top"/>
            <w:shd w:fill="F6F8F9"/>
          </w:tcPr>
          <w:p>
            <w:pPr>
              <w:pStyle w:val="TableText"/>
              <w:keepNext w:val="0"/>
              <w:widowControl/>
            </w:pPr>
            <w:r>
              <w:rPr>
                <w:rFonts w:ascii="Lato" w:hAnsi="Lato"/>
                <w:b/>
                <w:color w:val="25323A"/>
                <w:sz w:val="18"/>
              </w:rPr>
              <w:t>EAF3 material pipeline and catalog</w:t>
            </w:r>
          </w:p>
        </w:tc>
        <w:tc>
          <w:tcPr>
            <w:tcW w:type="dxa" w:w="6840"/>
            <w:vAlign w:val="top"/>
            <w:shd w:fill="F6F8F9"/>
          </w:tcPr>
          <w:p>
            <w:pPr>
              <w:pStyle w:val="TableText"/>
              <w:keepNext w:val="0"/>
              <w:widowControl/>
            </w:pPr>
            <w:r>
              <w:rPr>
                <w:rFonts w:ascii="Lato" w:hAnsi="Lato"/>
                <w:b w:val="0"/>
                <w:color w:val="25323A"/>
                <w:sz w:val="18"/>
              </w:rPr>
              <w:t>HUMAN-PROMOTED; 30 current APPROVED / 7 DEFERRED / 6 REJECTED at EAF5 close-out.</w:t>
            </w:r>
          </w:p>
        </w:tc>
      </w:tr>
      <w:tr>
        <w:trPr>
          <w:cantSplit/>
        </w:trPr>
        <w:tc>
          <w:tcPr>
            <w:tcW w:type="dxa" w:w="3024"/>
            <w:vAlign w:val="top"/>
          </w:tcPr>
          <w:p>
            <w:pPr>
              <w:pStyle w:val="TableText"/>
              <w:keepNext w:val="0"/>
              <w:widowControl/>
            </w:pPr>
            <w:r>
              <w:rPr>
                <w:rFonts w:ascii="Lato" w:hAnsi="Lato"/>
                <w:b/>
                <w:color w:val="25323A"/>
                <w:sz w:val="18"/>
              </w:rPr>
              <w:t>EAF4 wear pipeline and catalog</w:t>
            </w:r>
          </w:p>
        </w:tc>
        <w:tc>
          <w:tcPr>
            <w:tcW w:type="dxa" w:w="6840"/>
            <w:vAlign w:val="top"/>
          </w:tcPr>
          <w:p>
            <w:pPr>
              <w:pStyle w:val="TableText"/>
              <w:keepNext w:val="0"/>
              <w:widowControl/>
            </w:pPr>
            <w:r>
              <w:rPr>
                <w:rFonts w:ascii="Lato" w:hAnsi="Lato"/>
                <w:b w:val="0"/>
                <w:color w:val="25323A"/>
                <w:sz w:val="18"/>
              </w:rPr>
              <w:t>HUMAN-PROMOTED / editor authoring HUMAN-ACCEPTED. Current catalog 28 records: 27 APPROVED/one DEFERRED; eleven conventional presets and sixteen separately approved scalar patterns.</w:t>
            </w:r>
          </w:p>
        </w:tc>
      </w:tr>
      <w:tr>
        <w:trPr>
          <w:cantSplit/>
        </w:trPr>
        <w:tc>
          <w:tcPr>
            <w:tcW w:type="dxa" w:w="3024"/>
            <w:vAlign w:val="top"/>
            <w:shd w:fill="F6F8F9"/>
          </w:tcPr>
          <w:p>
            <w:pPr>
              <w:pStyle w:val="TableText"/>
              <w:keepNext w:val="0"/>
              <w:widowControl/>
            </w:pPr>
            <w:r>
              <w:rPr>
                <w:rFonts w:ascii="Lato" w:hAnsi="Lato"/>
                <w:b/>
                <w:color w:val="25323A"/>
                <w:sz w:val="18"/>
              </w:rPr>
              <w:t>EAF5 Receiving architectural proof</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 CLOSED.</w:t>
            </w:r>
          </w:p>
        </w:tc>
      </w:tr>
      <w:tr>
        <w:trPr>
          <w:cantSplit/>
        </w:trPr>
        <w:tc>
          <w:tcPr>
            <w:tcW w:type="dxa" w:w="3024"/>
            <w:vAlign w:val="top"/>
          </w:tcPr>
          <w:p>
            <w:pPr>
              <w:pStyle w:val="TableText"/>
              <w:keepNext w:val="0"/>
              <w:widowControl/>
            </w:pPr>
            <w:r>
              <w:rPr>
                <w:rFonts w:ascii="Lato" w:hAnsi="Lato"/>
                <w:b/>
                <w:color w:val="25323A"/>
                <w:sz w:val="18"/>
              </w:rPr>
              <w:t>C1A structural-shell branch</w:t>
            </w:r>
          </w:p>
        </w:tc>
        <w:tc>
          <w:tcPr>
            <w:tcW w:type="dxa" w:w="6840"/>
            <w:vAlign w:val="top"/>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shd w:fill="F6F8F9"/>
          </w:tcPr>
          <w:p>
            <w:pPr>
              <w:pStyle w:val="TableText"/>
              <w:keepNext w:val="0"/>
              <w:widowControl/>
            </w:pPr>
            <w:r>
              <w:rPr>
                <w:rFonts w:ascii="Lato" w:hAnsi="Lato"/>
                <w:b/>
                <w:color w:val="25323A"/>
                <w:sz w:val="18"/>
              </w:rPr>
              <w:t>Receiving Stage C1</w:t>
            </w:r>
          </w:p>
        </w:tc>
        <w:tc>
          <w:tcPr>
            <w:tcW w:type="dxa" w:w="6840"/>
            <w:vAlign w:val="top"/>
            <w:shd w:fill="F6F8F9"/>
          </w:tcPr>
          <w:p>
            <w:pPr>
              <w:pStyle w:val="TableText"/>
              <w:keepNext w:val="0"/>
              <w:widowControl/>
            </w:pPr>
            <w:r>
              <w:rPr>
                <w:rFonts w:ascii="Lato" w:hAnsi="Lato"/>
                <w:b w:val="0"/>
                <w:color w:val="25323A"/>
                <w:sz w:val="18"/>
              </w:rPr>
              <w:t>CLOSED / HUMAN-PROMOTED on 11 October as the bounded production environment/art milestone, including published A30WS. Minor art adjustments do not automatically reopen C1. [§33]</w:t>
            </w:r>
          </w:p>
        </w:tc>
      </w:tr>
      <w:tr>
        <w:trPr>
          <w:cantSplit/>
        </w:trPr>
        <w:tc>
          <w:tcPr>
            <w:tcW w:type="dxa" w:w="3024"/>
            <w:vAlign w:val="top"/>
          </w:tcPr>
          <w:p>
            <w:pPr>
              <w:pStyle w:val="TableText"/>
              <w:keepNext w:val="0"/>
              <w:widowControl/>
            </w:pPr>
            <w:r>
              <w:rPr>
                <w:rFonts w:ascii="Lato" w:hAnsi="Lato"/>
                <w:b/>
                <w:color w:val="25323A"/>
                <w:sz w:val="18"/>
              </w:rPr>
              <w:t>Receiving Stage C queue/theatre</w:t>
            </w:r>
          </w:p>
        </w:tc>
        <w:tc>
          <w:tcPr>
            <w:tcW w:type="dxa" w:w="6840"/>
            <w:vAlign w:val="top"/>
          </w:tcPr>
          <w:p>
            <w:pPr>
              <w:pStyle w:val="TableText"/>
              <w:keepNext w:val="0"/>
              <w:widowControl/>
            </w:pPr>
            <w:r>
              <w:rPr>
                <w:rFonts w:ascii="Lato" w:hAnsi="Lato"/>
                <w:b w:val="0"/>
                <w:color w:val="25323A"/>
                <w:sz w:val="18"/>
              </w:rPr>
              <w:t>FUTURE / NOT IMPLEMENTED in physical scope; next separately authorized Receiving gameplay gate. C1 closure does not prove physical Stage C.</w:t>
            </w:r>
          </w:p>
        </w:tc>
      </w:tr>
    </w:tbl>
    <w:p>
      <w:pPr>
        <w:keepLines/>
      </w:pPr>
      <w:r>
        <w:t>Initial manual Receiving wear remains accepted/merged, and C1 is now CLOSED / HUMAN-PROMOTED including A30WS. Minor room edits do not automatically reopen C1 or completed EAF4 tooling or imply an art freeze. Stage C activation, physical queue pressure and theatre remain future; no implementation begins in this documentation review.</w:t>
      </w:r>
    </w:p>
    <w:p>
      <w:pPr>
        <w:pStyle w:val="Heading1"/>
      </w:pPr>
      <w:r>
        <w:t>31. Historical v0.11 revision and source register</w:t>
      </w:r>
    </w:p>
    <w:p>
      <w:pPr/>
      <w:r>
        <w:t>HISTORICAL v0.11 CHECKPOINT. This register retains the sources for the September edition and its then-current companion masters. §32 provides the 10 October status, later source register and explicit supersessions. Earlier trials, negative results and human rejection records remain evidence, not current production instructions.</w:t>
      </w:r>
    </w:p>
    <w:p>
      <w:pPr>
        <w:pStyle w:val="ListBullet"/>
      </w:pPr>
      <w:r>
        <w:t>Ladder: docs/testing/fixed-ladder-proof-validation.md; wing-modular-rack-ladder-integration-validation.md.</w:t>
      </w:r>
    </w:p>
    <w:p>
      <w:pPr>
        <w:pStyle w:val="ListBullet"/>
      </w:pPr>
      <w:r>
        <w:t>Receiving Stage B: docs/testing/receiving-abc-geometry-comparison.md; receiving-real-item-physics-pile-proof.md; receiving-deterministic-deck-presenter-validation.md; receiving-functional-freight-fixtures-validation.md.</w:t>
      </w:r>
    </w:p>
    <w:p>
      <w:pPr>
        <w:pStyle w:val="ListBullet"/>
      </w:pPr>
      <w:r>
        <w:t>EAF1: docs/testing/environment-authoring-eaf1-lookdev-validation.md; environment-authoring-eaf1-wallgrazing-fix-validation.md.</w:t>
      </w:r>
    </w:p>
    <w:p>
      <w:pPr>
        <w:pStyle w:val="ListBullet"/>
      </w:pPr>
      <w:r>
        <w:t>EAF2: docs/testing/environment-authoring-eaf2-substrate-validation.md.</w:t>
      </w:r>
    </w:p>
    <w:p>
      <w:pPr>
        <w:pStyle w:val="ListBullet"/>
      </w:pPr>
      <w:r>
        <w:t>EAF3 and UV policy: docs/testing/environment-authoring-eaf3a-repository-index-validation.md; environment-authoring-eaf3b-curated-catalog-validation.md; environment-authoring-eaf3-fab-profile-refresh-validation.md; environment-authoring-triplanar-uv-default-maintenance.md.</w:t>
      </w:r>
    </w:p>
    <w:p>
      <w:pPr>
        <w:pStyle w:val="ListBullet"/>
      </w:pPr>
      <w:r>
        <w:t>EAF4: docs/testing/environment-authoring-eaf4a-wear-source-index-validation.md; environment-authoring-eaf4b-overlay-catalog-validation.md; environment-authoring-eaf4b-human-review-rerun-validation.md.</w:t>
      </w:r>
    </w:p>
    <w:p>
      <w:pPr>
        <w:pStyle w:val="ListBullet"/>
      </w:pPr>
      <w:r>
        <w:t>EAF5: docs/testing/environment-authoring-eaf5-promotion-validation.md; Pass 1–7A records in docs/testing/environment-authoring-eaf5-pass*-validation.md; data/environment/receiving_proof/eaf5_c1_handoff.json.</w:t>
      </w:r>
    </w:p>
    <w:p>
      <w:pPr>
        <w:pStyle w:val="ListBullet"/>
      </w:pPr>
      <w:r>
        <w:t>Current state and authority: docs/CURRENT_STATE.md; docs/AI_WORKING_GUIDELINES.md; docs/CODEX_BOOTSTRAP.md; docs/README.md.</w:t>
      </w:r>
    </w:p>
    <w:p>
      <w:pPr>
        <w:widowControl/>
        <w:pStyle w:val="Heading1"/>
      </w:pPr>
      <w:r>
        <w:t>32. Receiving C1 and EAF4 reconciliation 10 October 2026</w:t>
      </w:r>
    </w:p>
    <w:p>
      <w:pPr>
        <w:widowControl/>
      </w:pPr>
      <w:r>
        <w:t>HISTORICAL 10 OCTOBER CHECKPOINT. Section 32 retains its then-accurate C1 IN PROGRESS status and evidence unchanged. Section 33 supersedes the current gate status with the developer’s 11 October C1 closure and published A30WS promotion; historical costs, negative results and prior source registers remain evidence.</w:t>
      </w:r>
    </w:p>
    <w:p>
      <w:pPr>
        <w:widowControl/>
        <w:pStyle w:val="Heading2"/>
      </w:pPr>
      <w:r>
        <w:t>32.1 Current accepted baseline and editorial limits</w:t>
      </w:r>
    </w:p>
    <w:p>
      <w:pPr>
        <w:widowControl/>
      </w:pPr>
      <w:r>
        <w:t>Receiving C1 remains IN PROGRESS. Its structural/material envelope, compact retrofit, widened fixed lift/deck, first lighting baseline, hand-authored furnishings/collision, passive CRT and independent emergency-stop plaque progressed through separate recorded gates. The first manually authored wear composition is now completed, human-reviewed and merged into main. That acceptance is separate from completed reusable EAF4 tooling; later wear/furnishing edits are normal room authoring and do not reopen the foundation or freeze art.</w:t>
      </w:r>
    </w:p>
    <w:p>
      <w:pPr>
        <w:widowControl/>
      </w:pPr>
      <w:r>
        <w:t>The 10 October tooling close-out accurately recorded a dirty feature checkout with seventeen unpublished layers and empty committed authoring roots at its earlier checkpoint. Subsequent art commit c160ae8684c0037091503232d0645281f85365fd was merged by e314c41ef9acfde45632bd8ad4275702e103dcc4 (PR #1). Fresh clean-main preflight and live remote query agree at that merge. Human clarification confirms the eighteenth layer and current initial composition acceptance. Current scene serializes 18 layers: 17 scalar instances plus one conventional OilStain preset, including hidden alternatives and retained root overrides. This inventory is not a placement quota or a claim that all alternatives are visible.</w:t>
      </w:r>
    </w:p>
    <w:p>
      <w:pPr>
        <w:widowControl/>
        <w:pStyle w:val="Heading2"/>
      </w:pPr>
      <w:r>
        <w:t>32.2 Structural material and compact spatial progression</w:t>
      </w:r>
    </w:p>
    <w:p>
      <w:pPr>
        <w:widowControl/>
      </w:pPr>
      <w:r>
        <w:t>The 30 September bounded C1 promotion installed a 14-piece production EAF2 visual envelope while greybox retained spatial/collision authority. Clockwise winding maintenance and the Dispatch join correction were separately verified. Playable close-range review superseded Dirty Concrete/P01_C02 for the approachable Receiving wall role. Active P05_C02 uses wall eaf3b_5a797fbdc766d7e3dc475abf, unchanged floor eaf3b_bb32071987faae156ff2d4e8 and unchanged ceiling eaf3b_6bcd8f817ca2993433e217cc. Dirty Concrete remains catalog-approved; EAF5 P01_C02/P05_C03, applied-finish trials and no-fixed-wear findings remain historical evidence.</w:t>
      </w:r>
    </w:p>
    <w:p>
      <w:pPr>
        <w:widowControl/>
      </w:pPr>
      <w:r>
        <w:t>The 3 October compact retrofit is technically verified/human-promoted: Receiving nominal X −36.00…−28.50, Z ±4.00, 8.00 × 7.50 m / 60 m²; clear X −35.85…−28.65, Z ±3.85 (7.70 × 7.20 m). Floor Y 0, height 4.20 m, thickness .30 m. Dispatch nominal X −35.00…−28.50, Z −7.50…−4.00, 6.50 × 3.50 m; clear approximately 6.20 × 3.20 m; door width 2.40 m at the implemented proportional position. Backlog opening is centred Z ±1.42 at X −28.50, 2.84 × 3.40 m. The sill alone owns the threshold walking strip; former overlap geometry debt is resolved. Walking-surface material remains deferred pending corridor floor selection. Dispatch furnishing is not final.</w:t>
      </w:r>
    </w:p>
    <w:p>
      <w:pPr>
        <w:widowControl/>
      </w:pPr>
      <w:r>
        <w:t>Automated geometry, route and configured/explicit startup checks are recorded in the compact close-out. Human editor F5/F6/explicit canonical CLI parity and compact-room readability/navigation acceptance are separate evidence. The duplicate production-UID checkpoint was relocated outside Godot scan and startup parity repaired; this historical launch incident does not require knowing old Git cleanup to use the current baseline.</w:t>
      </w:r>
    </w:p>
    <w:p>
      <w:pPr>
        <w:widowControl/>
        <w:pStyle w:val="Heading2"/>
      </w:pPr>
      <w:r>
        <w:t>32.3 Fixed lift deck lighting and preserved gameplay</w:t>
      </w:r>
    </w:p>
    <w:p>
      <w:pPr>
        <w:widowControl/>
      </w:pPr>
      <w:r>
        <w:t>The human-authored fixed cage/shaft/barrier/platform and widened MainDeck are accepted in their own scope. Current deck is 3.30 × 2.00 m / 33 × 20 cells at .10 m, revision 4/layout_version 3, on approximately 3.441 × 2.100 m support. Margins are .0705 m per side and approximately .05 m front/rear. Receiving fixture TAKE is 3.4 m; ordinary loose/storage-manual reaches remain 1.4/2.3 m. Current support/metrics and contact seating do not create a Bulk/economy change. Manual transforms and private surface ownership remain authoritative.</w:t>
      </w:r>
    </w:p>
    <w:p>
      <w:pPr>
        <w:widowControl/>
      </w:pPr>
      <w:r>
        <w:t>The three shaft walls are locked to eaf3b_1beac3a311a480af8844ea89 / ReinforcedConcreteSlabs, UV mode 0, 3.0 m/repeat, normal strength 1.0 and approved PBR values unchanged. P05_C02 remains room/apron authority. The subsequent dressing record updates the shutter saved closed pose to Y .086 and markers .086/3.1416707; earlier endpoints remain historical. One active barrier and six disabled historical shapes remain. The shutter is collisionless and current TAKE is not gated by its pose; fully-open-only pickup gating remains future.</w:t>
      </w:r>
    </w:p>
    <w:p>
      <w:pPr>
        <w:widowControl/>
      </w:pPr>
      <w:r>
        <w:t>The accepted current lighting is G1/G2 two warm apron pendants plus T1/T2 two warm-neutral cage task strips, exactly four shadowed spots. W1 remains physical/unlit; ambient .12, no helper fill/Receiving OmniLight, and shared environment context remain. The earlier three-apron scheme is superseded by the compact retrofit, not restored. Seating/shadow corrections and manual bulbs/chains are accepted. This initial room context is not visual finality after every future furnishing edit; emitter/self-light work and proportionate later light review remain separate.</w:t>
      </w:r>
    </w:p>
    <w:p>
      <w:pPr>
        <w:widowControl/>
      </w:pPr>
      <w:r>
        <w:t>Existing Stage A content/identity/lifecycle and Stage B deterministic TAKE-only freight contracts remain. Receiving preserves exact committed ItemInstance identities, private metrics, front crates/rear pallets, progressive legal TAKE and drain accounting; ordinary storage remains sixteen surfaces. Normal launch synthesizes no batch. No new interactions, queue pressure, economy, fixture collision authority or save guarantees are approved by this revision.</w:t>
      </w:r>
    </w:p>
    <w:p>
      <w:pPr>
        <w:widowControl/>
        <w:pStyle w:val="Heading2"/>
      </w:pPr>
      <w:r>
        <w:t>32.4 Manual furnishings passive CRT and independent plaque</w:t>
      </w:r>
    </w:p>
    <w:p>
      <w:pPr>
        <w:widowControl/>
      </w:pPr>
      <w:r>
        <w:t>The 9 October hand-authored dressing integration is technically verified and human-promoted in its bounded slice. ReceivingSetDressing retains five grouped art owners with a separate ReceivingLiftMonitor; proposal-owned ReceivingInfrastructure is retired. Eleven mapped movement-only sibling proxies/seventeen primitives use layer/mask 1/1. Thirty-eight hidden positioned manual alternatives remain hidden/collisionless. Finite target-block/clear-route checks support the result; human in-game review confirms appropriate collisions, no phantom blockers, preserved art and navigable circulation. Moving/replacing/activating visuals requires moving/refitting their mapped proxies and disabling superseded collision; visibility alone does not toggle physics.</w:t>
      </w:r>
    </w:p>
    <w:p>
      <w:pPr>
        <w:widowControl/>
      </w:pPr>
      <w:r>
        <w:t>The 9 October CRT close-out accepts the original curved Surface 1 with passive 704 × 400 green SubViewport text. Static STATUS: IDLE, DECK: CLEAR and QUEUE: 00 are mock values, not queue/lift/expedition data. Programmatic OpenGL assertions recorded separate viewport RIDs and 4,041 sampled green pixels; renderer captures document the proof. Human in-game review accepts plausible-angle readability, larger text from Dispatch, original curvature, subdued bezel and no light spill. It did not record a separate F5/F6 side-by-side procedure; later EAF4 close-out records human-reported F5/F6/CRT checks. Current font/scale/layout are accepted prototype choices, not final UI requirements.</w:t>
      </w:r>
    </w:p>
    <w:p>
      <w:pPr>
        <w:widowControl/>
      </w:pPr>
      <w:r>
        <w:t>The independent EMERGENCY STOP plaque is human-accepted visual signage at ReceivingSetDressing/ReceivingDecals/ReceivingSignage/LiftEmergencyStopLabel; the red button remains decorative. Initial Codex wear report recorded seven Road Dust placements under ReceivingFinishPass. Later human direction retired all seven and that obsolete helper while preserving independent signage. The conventional Road Dust preset remains source-approved for future human placement. Retain the original report and render evidence as a superseded trial, not present room composition.</w:t>
      </w:r>
    </w:p>
    <w:p>
      <w:pPr>
        <w:widowControl/>
        <w:pStyle w:val="Heading2"/>
      </w:pPr>
      <w:r>
        <w:t>32.5 Completed EAF4 editor workflow and approved source scopes</w:t>
      </w:r>
    </w:p>
    <w:p>
      <w:pPr>
        <w:widowControl/>
      </w:pPr>
      <w:r>
        <w:t>EAF4 reusable live editor authoring is completed, technically verified and human-accepted. Eleven approved standalone conventional presets expose independent dimensions, transforms and supported appearance controls, duplication/source switching and safe save/reopen. Normal placement/tuning updates in Godot without gameplay. Automated editor-hint/lifecycle/serialization assertions and Compatibility/OpenGL render checks are separate from the human actual-editor usability and visual acceptance recorded in the Task 1/Task 2 and milestone records.</w:t>
      </w:r>
    </w:p>
    <w:p>
      <w:pPr>
        <w:widowControl/>
      </w:pPr>
      <w:r>
        <w:t>The separate scalar library has sixteen approved patterns sampled from exactly eleven opacity.red and five roughness.red maps. Canonical human decisions approve TINTED_OPACITY_LAYER and WEAR_OPACITY_MODULATION. Actual modulation remains confined to the two established approved soft Leakage overlays leakage_skiubhzc and leakage_tculfbnc. Grayscale remains diagnostic; roughness.red is deliberately repurposed as a scalar distribution, not approval for physical substrate roughness. Neither independent flat tinted-opacity layers nor approved wear-opacity modulation edits the base material or establishes true substrate roughness/normal changes.</w:t>
      </w:r>
    </w:p>
    <w:p>
      <w:pPr>
        <w:widowControl/>
      </w:pPr>
      <w:r>
        <w:t>The current catalog has 28 records, 27 current APPROVED and one DEFERRED paint remnant xetubap. Eleven conventional presets and sixteen scalar patterns are distinct libraries, not interchangeable counts. Source/use approval does not automatically accept a scene placement. Broad restrained variation can break material repetition and support reuse across rooms, while localized layers express traffic, servicing and spillage; those are human art-direction uses within existing tools, not a new universal rendered-outcome claim. Preserve compatible surfaces/causes, reviewed fingerprints, single guarded source roots, licensed-local caches and Compatibility rendering.</w:t>
      </w:r>
    </w:p>
    <w:p>
      <w:pPr>
        <w:widowControl/>
        <w:pStyle w:val="Heading2"/>
      </w:pPr>
      <w:r>
        <w:t>32.6 Remaining evidence and future work</w:t>
      </w:r>
    </w:p>
    <w:p>
      <w:pPr>
        <w:widowControl/>
      </w:pPr>
      <w:r>
        <w:t>C1 remains IN PROGRESS for further contextual authoring. Initial manual wear/furnishings are editable, not permanently frozen. Threshold walking-surface material, bulb emitter/self-light treatment and later focused lighting review remain open. Live CRT data, final status vocabulary/maximum text block and requirement-led screen/text sizing remain deferred. Stage C physical queue pressure, activation, shutter pickup gating, repeated-delivery feedback and light/audio theatre remain future; the existing data queue is not evidence that physical Stage C is complete.</w:t>
      </w:r>
    </w:p>
    <w:p>
      <w:pPr>
        <w:widowControl/>
      </w:pPr>
      <w:r>
        <w:t>Final Expedition bounds, shipped lift geometry, future fixture art/counts, economy/balance integration, full durable save/journal guarantees and other GDD deferrals remain. Known Windows certificate-store and editor ObjectDB/RID shutdown diagnostics are not proven fixed; the 10 October milestone records them without attributing a new regression or obscuring passing bounded checks. This documentation task performs source inspection and document QA, not a fresh Godot/editor acceptance or gameplay test sweep.</w:t>
      </w:r>
    </w:p>
    <w:p>
      <w:pPr>
        <w:widowControl/>
        <w:pStyle w:val="Heading2"/>
      </w:pPr>
      <w:r>
        <w:t>32.7 Dated revision and source register</w:t>
      </w:r>
    </w:p>
    <w:p>
      <w:pPr>
        <w:widowControl/>
      </w:pPr>
      <w:r>
        <w:t>Current authority set: GDD v0.12, VDD v0.9 and Findings v0.12. Primary evidence under docs/testing/: receiving-c1-structural-material-envelope-closeout-2026-09-30.md; receiving-c1-lift-enclosure-deck-closeout-2026-10-01.md; receiving-c1-lighting-baseline-closeout-2026-10-03.md; receiving-c1-compact-retrofit-closeout-2026-10-03.md; receiving-c1-set-dressing-collision-closeout-2026-10-09.md; receiving-c1-lift-crt-visual-closeout-2026-10-09.md.</w:t>
      </w:r>
    </w:p>
    <w:p>
      <w:pPr>
        <w:widowControl/>
      </w:pPr>
      <w:r>
        <w:t>EAF4 evidence under docs/testing/: environment-authoring-eaf4-live-editor-task1-2026-10-10.md; environment-authoring-eaf4-presets-task2-2026-10-10.md; environment-authoring-imperfection-audition-2026-10-10.md; environment-authoring-imperfection-decision-extension-2026-10-10.md; environment-authoring-eaf4-imperfection-approvals-and-receiving-finish-retirement-2026-10-10.md; environment-authoring-eaf4-imperfection-authoring-milestone-closeout-2026-10-10.md. These records preserve test argv/results and separate human statements.</w:t>
      </w:r>
    </w:p>
    <w:p>
      <w:pPr>
        <w:widowControl/>
      </w:pPr>
      <w:r>
        <w:t>Canonical sources: docs/environment-authoring/eaf4-wear-authoring-guide.md and eaf4-imperfection-audition-guide.md; data/environment/wear_catalog/catalog.json, decisions/2026-10-10-eaf4-imperfection-scoped-human-review.json and approved_specs/approved_masks.json; saved wing scene/deck profile and current geometry builder. Manual pass acceptance/eighteenth layer: human confirmation on 10 October plus verified c160ae8/e314c41 history. Dated matrix and document QA: docs/testing/three-master-document-reconciliation-2026-10-10.md and three-master-document-qa-2026-10-10.md. Previous editions/close-outs remain unchanged; new editions await documentation review, with no push/merge or C1 implementation here.</w:t>
      </w:r>
    </w:p>
    <w:p>
      <w:pPr>
        <w:widowControl/>
        <w:pStyle w:val="Heading1"/>
      </w:pPr>
      <w:r>
        <w:t>33. Receiving C1 close-out and A30WS promotion 11 October 2026</w:t>
      </w:r>
    </w:p>
    <w:p>
      <w:pPr>
        <w:widowControl/>
        <w:pStyle w:val="Heading2"/>
      </w:pPr>
      <w:r>
        <w:t>33.1 Human closing decision and scope</w:t>
      </w:r>
    </w:p>
    <w:p>
      <w:pPr>
        <w:widowControl/>
      </w:pPr>
      <w:r>
        <w:t>The developer explicitly PROMOTED AND CLOSED Receiving C1 as the bounded production environment/art milestone on 11 October. Human acceptance covers its individual slices and the completed room collectively: compact P05_C02 structure/materials, fixed freight-lift enclosure and widened deterministic deck, installed infrastructure/manual furnishings, mapped movement collision, initial hand-authored wear, passive curved CRT, independent decorative emergency-stop plaque and published A30WS lighting/reflections. Minor wear/furnishing/lighting adjustments are ordinary scene authoring and do not automatically reopen C1. The accepted initial 18-layer composition (17 scalar plus one conventional, including hidden alternatives) remains a baseline, not a quota or permanent art freeze.</w:t>
      </w:r>
    </w:p>
    <w:p>
      <w:pPr>
        <w:widowControl/>
      </w:pPr>
      <w:r>
        <w:t>This human room closure follows the A30WS report’s later human PROMOTE and publication at checkpoint 7656003b0620ddc4c4c0d1ad5dc6ceabffe71a6e. Live remote main was independently verified at that checkpoint for this documentation task; it is a source checkpoint, not a reset target. New masters are GDD v0.13, VDD v0.10 and Findings v0.13. Prior editions and reports remain dated evidence.</w:t>
      </w:r>
    </w:p>
    <w:p>
      <w:pPr>
        <w:widowControl/>
        <w:pStyle w:val="Heading2"/>
      </w:pPr>
      <w:r>
        <w:t>33.2 Production settings and saved refresh authority</w:t>
      </w:r>
    </w:p>
    <w:p>
      <w:pPr>
        <w:widowControl/>
      </w:pPr>
      <w:r>
        <w:t>G1/G2 apron lights are energy 1.71 each, RGB (1.00, 0.82, 0.64); their positions, cone/range, biases and shadows remain unchanged. T1/T2 remain energy 0.85, RGB (1.00, 0.94, 0.82), with existing emitter settings unchanged. One Receiving-local ReflectionProbe has intensity 0.30, AMBIENT_DISABLED, interior/box projection/shadow capture enabled, UPDATE_ONCE; centre (-34.825, 2.1, 0), size (12.35, 4.2, 8), origin offset (1, -0.2, 0). A30WS supersedes historical G1/G2 1.9 / (1, .84, .68) for current use only. WorldEnvironment diffuse ambient, exposure, tonemapping, key light, other lighting and materials remain unchanged; no diagnostic Sky or new material pipeline was adopted.</w:t>
      </w:r>
    </w:p>
    <w:p>
      <w:pPr>
        <w:widowControl/>
      </w:pPr>
      <w:r>
        <w:t>The canonical Environment owns saved ReceivingReflections with one ordinary InteriorProbe; runtime ownership stays ReceivingReflections. The controller’s request_refresh() waits two process frames, reassigns UPDATE_ONCE to the same node and coalesces bursts with a .2 s settling window/follow-up. Existing active_batch_changed and actual materialized WorldItem picked_up hooks handle batch/TAKE changes. Geometry-only changes do not refresh UPDATE_ONCE automatically; settled-shutter integration must explicitly call request_refresh() in future Stage C. refresh_started marks a request, not GPU completion. Ordinary launch creates no synthetic batch.</w:t>
      </w:r>
    </w:p>
    <w:p>
      <w:pPr>
        <w:widowControl/>
        <w:pStyle w:val="Heading2"/>
      </w:pPr>
      <w:r>
        <w:t>33.3 Technical evidence and later human promotion</w:t>
      </w:r>
    </w:p>
    <w:p>
      <w:pPr>
        <w:widowControl/>
      </w:pPr>
      <w:r>
        <w:t>The 11 October integration report records fresh-process ownership/settings/UID checks, Compatibility/OpenGL renderer captures, approved-A30WS sampled close/wide equivalence, controlled stale/refreshed cubemaps, boundary movement, a real Receiving route and batch/TAKE coalescing checks. Its focused sweep recorded 11 PASS / 1 FAIL; this documentation task reuses those dated records and did not rerun Godot. Renderer captures and technical assertions are separate from human room acceptance.</w:t>
      </w:r>
    </w:p>
    <w:p>
      <w:pPr>
        <w:widowControl/>
      </w:pPr>
      <w:r>
        <w:t>Earlier on 11 October, Codex recommended REVISE because controlled one-machine runs found approximately 3.56 s added cold first-probe initialization and 125–132 ms first new-cargo refresh. Subsequent refreshes were approximately 8–10 ms. The later developer PROMOTE explicitly accepted that cost as prototype debt after independently verifying normal F5, F6 from the wing and CLI launches plus room play. Ordinary human play showed no perceptible persistent stutter, framerate loss or tearing. Stable-play evidence does not erase first-capture cost; optimization, repeated-delivery/loading checks and other-hardware benchmarking remain separate work.</w:t>
      </w:r>
    </w:p>
    <w:p>
      <w:pPr>
        <w:widowControl/>
      </w:pPr>
      <w:r>
        <w:t>Editor viewport/selection capture and UI-automation acceptance remained NOT RUN/not separately evidenced after capture/approval timeouts. Human F5/F6/CLI and visual/playability checks were separately verified; they do not retrospectively turn editor automation into PASS. Synthetic mixed-cargo human profiling and inspector selection were not separately reported. The Gallery A gallery_a_fixture_front navigation failure reproduced in the pre-integration baseline and is unrelated; Receiving and the other relevant routes passed. No navigation repair or performance optimization is claimed.</w:t>
      </w:r>
    </w:p>
    <w:p>
      <w:pPr>
        <w:widowControl/>
        <w:pStyle w:val="Heading2"/>
      </w:pPr>
      <w:r>
        <w:t>33.4 Future gameplay and non-blocking adjacent debt</w:t>
      </w:r>
    </w:p>
    <w:p>
      <w:pPr>
        <w:widowControl/>
      </w:pPr>
      <w:r>
        <w:t>C1 closure is not Receiving Stage C completion. Stage A exact committed-content/identity/lifecycle and Stage B deterministic TAKE-only presentation remain promoted. Stage C is the next eligible distinct Receiving gameplay gate when separately authorized: physical delivery activation, one-active/two-queued physical pressure, arrival/backpressure/close-promote feedback, shutter-state pickup gating, settled-shutter reflection refresh, warning/light/audio theatre and real lift/queue screen data remain future. The installed collisionless shutter is not a functional pickup gate; IDLE/CLEAR/00 CRT values remain static mock content. No Stage C implementation starts here.</w:t>
      </w:r>
    </w:p>
    <w:p>
      <w:pPr>
        <w:widowControl/>
      </w:pPr>
      <w:r>
        <w:t>Dispatch final furnishing and Receiving–Backlog sill walking-surface material await adjacent authoring/material decisions and are non-blocking for completed Receiving C1. Shipped lift dimensions, later production freight fixtures, optional bulb-emitter treatment and performance optimization remain separately scoped. EAF1–EAF5 remain promoted; C1A stays parked/unpromoted and frozen-pile research remains rejected. Protected dirty scene/import/profile work, licensed-local sources and caches are preserved; no game files are edited by this documentation task.</w:t>
      </w:r>
    </w:p>
    <w:p>
      <w:pPr>
        <w:widowControl/>
        <w:pStyle w:val="Heading2"/>
      </w:pPr>
      <w:r>
        <w:t>33.5 Dated source and preservation register</w:t>
      </w:r>
    </w:p>
    <w:p>
      <w:pPr>
        <w:widowControl/>
      </w:pPr>
      <w:r>
        <w:t>Human C1 closing decision and this documentation record: docs/testing/receiving-c1-human-promotion-documentation-closeout-2026-10-11.md. Published A30WS technical report and later human disposition: docs/testing/receiving-a30ws-reflection-integration-2026-10-11.md. The report links exact renderer captures, timing JSON, test logs and preservation inventories under its established ignored reports folder; no new screenshots, gameplay tests or renderer results are invented here.</w:t>
      </w:r>
    </w:p>
    <w:p>
      <w:pPr>
        <w:widowControl/>
      </w:pPr>
      <w:r>
        <w:t>Tracked production sources inspected, not edited: gameplay/logistics_wing/receiving/receiving_lighting.tscn; gameplay/logistics_wing/receiving/receiving_reflections.tscn; gameplay/logistics_wing/receiving/receiving_reflections.gd. Tracked checks recorded by that report: tools/asset_pipeline/tests/receiving_lighting_integration_tests.gd; receiving_reflections_integration_tests.gd; wing_gameplay_navigation_tests.gd (shortened test names share the same directory). Section 32.7 retains exact individual-slice sources and the dated 10 October authority set; the 11 October set supersedes its current-status pointers.</w:t>
      </w:r>
    </w:p>
    <w:p>
      <w:pPr>
        <w:widowControl/>
      </w:pPr>
      <w:r>
        <w:t>Human PDF review is pending for these new documentation editions. Package/media/export/layout and repository-preservation verification are recorded in docs/testing/receiving-c1-human-promotion-documentation-closeout-2026-10-11.md. All earlier DOCX masters and derived mirrors remain unchanged; this task ends with one local documentation-only commit and no push, merge or automatic next milestone.</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v0.13  |  11 October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0.13</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v0.13</dc:title>
  <dc:subject>Implementation, technical verification, human review, promotion and evidence boundaries</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2026-10-11T00:00:00Z</dcterms:modified>
  <cp:category/>
  <cp:version>0.7</cp:version>
</cp:coreProperties>
</file>