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PROTOTYPE</w:t>
        <w:br/>
        <w:t>FINDINGS</w:t>
      </w:r>
    </w:p>
    <w:p>
      <w:pPr>
        <w:pStyle w:val="CoverSubtitle"/>
        <w:widowControl/>
      </w:pPr>
      <w:r>
        <w:t>Technical, interaction, asset-pipeline and human-validation record</w:t>
      </w:r>
    </w:p>
    <w:p>
      <w:pPr>
        <w:pStyle w:val="CoverMeta"/>
        <w:widowControl/>
      </w:pPr>
      <w:r>
        <w:t>Version 0.11 | 29 September 2026</w:t>
      </w:r>
    </w:p>
    <w:p>
      <w:pPr>
        <w:pStyle w:val="CoverSummary"/>
        <w:widowControl/>
      </w:pPr>
      <w:r>
        <w:t>Evidence window: retained prototype history through EAF5 promotion and closure, including fixed-ladder promotion, the Receiving deterministic-deck and freight-fixture Stage B, and Environment Authoring Foundation EAF1–EAF5. Dated checkpoints retain their original evidence states; later records explicitly supersede stale current gates.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744"/>
        <w:gridCol w:w="6120"/>
      </w:tblGrid>
      <w:tr>
        <w:trPr>
          <w:cantSplit/>
          <w:tblHeader/>
        </w:trPr>
        <w:tc>
          <w:tcPr>
            <w:tcW w:type="dxa" w:w="3744"/>
            <w:vAlign w:val="top"/>
            <w:shd w:fill="253842"/>
          </w:tcPr>
          <w:p>
            <w:pPr>
              <w:pStyle w:val="TableText"/>
              <w:keepNext/>
              <w:widowControl/>
            </w:pPr>
            <w:r>
              <w:rPr>
                <w:rFonts w:ascii="Lato" w:hAnsi="Lato"/>
                <w:b/>
                <w:color w:val="FFFFFF"/>
                <w:sz w:val="18"/>
              </w:rPr>
              <w:t>Companion authority</w:t>
            </w:r>
          </w:p>
        </w:tc>
        <w:tc>
          <w:tcPr>
            <w:tcW w:type="dxa" w:w="6120"/>
            <w:vAlign w:val="top"/>
            <w:shd w:fill="253842"/>
          </w:tcPr>
          <w:p>
            <w:pPr>
              <w:pStyle w:val="TableText"/>
              <w:keepNext/>
              <w:widowControl/>
            </w:pPr>
            <w:r>
              <w:rPr>
                <w:rFonts w:ascii="Lato" w:hAnsi="Lato"/>
                <w:b/>
                <w:color w:val="FFFFFF"/>
                <w:sz w:val="18"/>
              </w:rPr>
              <w:t>Role</w:t>
            </w:r>
          </w:p>
        </w:tc>
      </w:tr>
      <w:tr>
        <w:trPr>
          <w:cantSplit/>
        </w:trPr>
        <w:tc>
          <w:tcPr>
            <w:tcW w:type="dxa" w:w="3744"/>
            <w:vAlign w:val="center"/>
          </w:tcPr>
          <w:p>
            <w:r>
              <w:t>Preliminary GDD v0.11</w:t>
            </w:r>
          </w:p>
        </w:tc>
        <w:tc>
          <w:tcPr>
            <w:tcW w:type="dxa" w:w="6120"/>
            <w:vAlign w:val="center"/>
          </w:tcPr>
          <w:p>
            <w:r>
              <w:t>Current overall gameplay, design and scope authority.</w:t>
            </w:r>
          </w:p>
        </w:tc>
      </w:tr>
      <w:tr>
        <w:trPr>
          <w:cantSplit/>
        </w:trPr>
        <w:tc>
          <w:tcPr>
            <w:tcW w:type="dxa" w:w="3744"/>
            <w:vAlign w:val="center"/>
            <w:shd w:fill="F6F8F9"/>
          </w:tcPr>
          <w:p>
            <w:r>
              <w:t>Visual Design &amp; World-Building Direction v0.8</w:t>
            </w:r>
          </w:p>
        </w:tc>
        <w:tc>
          <w:tcPr>
            <w:tcW w:type="dxa" w:w="6120"/>
            <w:vAlign w:val="center"/>
            <w:shd w:fill="F6F8F9"/>
          </w:tcPr>
          <w:p>
            <w:r>
              <w:t>Current environment, world, spatial and material authority.</w:t>
            </w:r>
          </w:p>
        </w:tc>
      </w:tr>
      <w:tr>
        <w:trPr>
          <w:cantSplit/>
        </w:trPr>
        <w:tc>
          <w:tcPr>
            <w:tcW w:type="dxa" w:w="3744"/>
            <w:vAlign w:val="top"/>
          </w:tcPr>
          <w:p>
            <w:pPr>
              <w:pStyle w:val="TableText"/>
              <w:keepNext w:val="0"/>
              <w:widowControl/>
            </w:pPr>
            <w:r>
              <w:rPr>
                <w:rFonts w:ascii="Lato" w:hAnsi="Lato"/>
                <w:b/>
                <w:color w:val="25323A"/>
                <w:sz w:val="18"/>
              </w:rPr>
              <w:t>Receiving/Elevator design, 12 September 2026</w:t>
            </w:r>
          </w:p>
        </w:tc>
        <w:tc>
          <w:tcPr>
            <w:tcW w:type="dxa" w:w="6120"/>
            <w:vAlign w:val="top"/>
          </w:tcPr>
          <w:p>
            <w:pPr>
              <w:pStyle w:val="TableText"/>
              <w:keepNext w:val="0"/>
              <w:widowControl/>
            </w:pPr>
            <w:r>
              <w:rPr>
                <w:rFonts w:ascii="Lato" w:hAnsi="Lato"/>
                <w:b w:val="0"/>
                <w:color w:val="25323A"/>
                <w:sz w:val="18"/>
              </w:rPr>
              <w:t>Approved subsystem contracts; later Stage B presenter and freight-fixture validation supersedes historical physical-presentation proposals.</w:t>
            </w:r>
          </w:p>
        </w:tc>
      </w:tr>
    </w:tbl>
    <w:p>
      <w:pPr>
        <w:spacing w:after="60" w:before="0" w:line="40" w:lineRule="exact"/>
      </w:pPr>
      <w:r>
        <w:rPr>
          <w:sz w:val="4"/>
        </w:rPr>
      </w:r>
    </w:p>
    <w:p>
      <w:pPr>
        <w:pStyle w:val="Callout"/>
        <w:keepLines/>
        <w:shd w:fill="F0F4F5"/>
        <w:ind w:left="140" w:right="140"/>
      </w:pPr>
      <w:r>
        <w:rPr>
          <w:b/>
          <w:color w:val="96712D"/>
        </w:rPr>
        <w:t xml:space="preserve">READING RULE  </w:t>
      </w:r>
      <w:r>
        <w:t>Validated means observed in the stated prototype scope, not production-ready or balance-final. Reported tests, human gameplay results, human visual approval and unimplemented design decisions remain distinct.</w:t>
      </w:r>
    </w:p>
    <w:p>
      <w:pPr>
        <w:pStyle w:val="CoverSummary"/>
        <w:widowControl/>
      </w:pPr>
      <w:r>
        <w:t>v0.11 supersedes v0.10 current-status summaries while preserving their historical checkpoints. Fixed ladder, the wing rack/ladder bridge, Receiving Stage B presenter and freight fixtures, and EAF1–EAF5 are human-promoted in their recorded scopes. C1A remains parked; the comprehensive three-master documentation refresh is complete, and Receiving Stage C1 is the next implementation gate.</w:t>
      </w:r>
    </w:p>
    <w:p>
      <w:r>
        <w:br w:type="page"/>
      </w:r>
    </w:p>
    <w:p>
      <w:pPr>
        <w:pStyle w:val="Heading1"/>
        <w:widowControl/>
      </w:pPr>
      <w:r>
        <w:t>Executive summary</w:t>
      </w:r>
    </w:p>
    <w:p>
      <w:pPr>
        <w:widowControl/>
      </w:pPr>
      <w:r>
        <w:t>The representative storage and content foundation remains human-promoted. The fixed-line ladder is now human-promoted for selected authored taller installations, and the Gallery B ModularRack plus FixedLadder bridge is promoted as the real-wing Stage B storage-destination baseline. Neither decision grants universal ladder coverage or general climbing.</w:t>
      </w:r>
    </w:p>
    <w:p>
      <w:pPr>
        <w:widowControl/>
      </w:pPr>
      <w:r>
        <w:t>Receiving Stage A remains the technically verified upstream content and lifecycle authority: Expedition commits the exact batch and Receiving presents it without filler, omission, replacement or loot bias. The deterministic seeded TAKE-only deck presenter and functional Receiving-only crates and pallets are implemented, technically verified and human-promoted in Stage B scope. The earlier irregular frozen-pile direction was human-rejected for production after useful isolated research.</w:t>
      </w:r>
    </w:p>
    <w:p>
      <w:pPr>
        <w:widowControl/>
      </w:pPr>
      <w:r>
        <w:t>Environment Authoring Foundation EAF1–EAF4 is human-promoted. EAF5 is human-promoted and closed as an isolated, dimensionally faithful Receiving architectural proof. It selected a primary and alternate room-specific structural palette with no base applied finish, no structural secondary by default and no fixed base wear preset. EAF5 did not migrate production Receiving visuals.</w:t>
      </w:r>
    </w:p>
    <w:p>
      <w:pPr>
        <w:widowControl/>
      </w:pPr>
      <w:r>
        <w:t>The 13 September asset-led Receiving shell remains a historical human visual rejection. C1A is technically verified research but parked and unpromoted. The comprehensive three-master documentation refresh is complete. Receiving Stage C1 is the next implementation gate. Preliminary GDD v0.11 and Visual Design &amp; World-Building Direction v0.8 are the reconciled current companion masters.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Area</w:t>
            </w:r>
          </w:p>
        </w:tc>
        <w:tc>
          <w:tcPr>
            <w:tcW w:type="dxa" w:w="6840"/>
            <w:vAlign w:val="top"/>
            <w:shd w:fill="253842"/>
          </w:tcPr>
          <w:p>
            <w:pPr>
              <w:pStyle w:val="TableText"/>
              <w:keepNext/>
              <w:widowControl/>
            </w:pPr>
            <w:r>
              <w:rPr>
                <w:rFonts w:ascii="Lato" w:hAnsi="Lato"/>
                <w:b/>
                <w:color w:val="FFFFFF"/>
                <w:sz w:val="18"/>
              </w:rPr>
              <w:t>Current evidence state</w:t>
            </w:r>
          </w:p>
        </w:tc>
      </w:tr>
      <w:tr>
        <w:trPr>
          <w:cantSplit/>
        </w:trPr>
        <w:tc>
          <w:tcPr>
            <w:tcW w:type="dxa" w:w="3024"/>
            <w:vAlign w:val="top"/>
          </w:tcPr>
          <w:p>
            <w:pPr>
              <w:pStyle w:val="TableText"/>
              <w:keepNext w:val="0"/>
              <w:widowControl/>
            </w:pPr>
            <w:r>
              <w:rPr>
                <w:rFonts w:ascii="Lato" w:hAnsi="Lato"/>
                <w:b/>
                <w:color w:val="25323A"/>
                <w:sz w:val="18"/>
              </w:rPr>
              <w:t>Storage/content foundation</w:t>
            </w:r>
          </w:p>
        </w:tc>
        <w:tc>
          <w:tcPr>
            <w:tcW w:type="dxa" w:w="6840"/>
            <w:vAlign w:val="top"/>
          </w:tcPr>
          <w:p>
            <w:pPr>
              <w:pStyle w:val="TableText"/>
              <w:keepNext w:val="0"/>
              <w:widowControl/>
            </w:pPr>
            <w:r>
              <w:rPr>
                <w:rFonts w:ascii="Lato" w:hAnsi="Lato"/>
                <w:b w:val="0"/>
                <w:color w:val="25323A"/>
                <w:sz w:val="18"/>
              </w:rPr>
              <w:t>HUMAN-PROMOTED in recorded scope; Fuel eligible in correctly authored hosts, Gloves and Pants blocked.</w:t>
            </w:r>
          </w:p>
        </w:tc>
      </w:tr>
      <w:tr>
        <w:trPr>
          <w:cantSplit/>
        </w:trPr>
        <w:tc>
          <w:tcPr>
            <w:tcW w:type="dxa" w:w="3024"/>
            <w:vAlign w:val="top"/>
            <w:shd w:fill="F6F8F9"/>
          </w:tcPr>
          <w:p>
            <w:pPr>
              <w:pStyle w:val="TableText"/>
              <w:keepNext w:val="0"/>
              <w:widowControl/>
            </w:pPr>
            <w:r>
              <w:rPr>
                <w:rFonts w:ascii="Lato" w:hAnsi="Lato"/>
                <w:b/>
                <w:color w:val="25323A"/>
                <w:sz w:val="18"/>
              </w:rPr>
              <w:t>Fixed ladder</w:t>
            </w:r>
          </w:p>
        </w:tc>
        <w:tc>
          <w:tcPr>
            <w:tcW w:type="dxa" w:w="6840"/>
            <w:vAlign w:val="top"/>
            <w:shd w:fill="F6F8F9"/>
          </w:tcPr>
          <w:p>
            <w:pPr>
              <w:pStyle w:val="TableText"/>
              <w:keepNext w:val="0"/>
              <w:widowControl/>
            </w:pPr>
            <w:r>
              <w:rPr>
                <w:rFonts w:ascii="Lato" w:hAnsi="Lato"/>
                <w:b w:val="0"/>
                <w:color w:val="25323A"/>
                <w:sz w:val="18"/>
              </w:rPr>
              <w:t>HUMAN-PROMOTED for selected authored tall-storage installations; bounded fixed-line architecture.</w:t>
            </w:r>
          </w:p>
        </w:tc>
      </w:tr>
      <w:tr>
        <w:trPr>
          <w:cantSplit/>
        </w:trPr>
        <w:tc>
          <w:tcPr>
            <w:tcW w:type="dxa" w:w="3024"/>
            <w:vAlign w:val="top"/>
          </w:tcPr>
          <w:p>
            <w:pPr>
              <w:pStyle w:val="TableText"/>
              <w:keepNext w:val="0"/>
              <w:widowControl/>
            </w:pPr>
            <w:r>
              <w:rPr>
                <w:rFonts w:ascii="Lato" w:hAnsi="Lato"/>
                <w:b/>
                <w:color w:val="25323A"/>
                <w:sz w:val="18"/>
              </w:rPr>
              <w:t>Wing rack + ladder bridge</w:t>
            </w:r>
          </w:p>
        </w:tc>
        <w:tc>
          <w:tcPr>
            <w:tcW w:type="dxa" w:w="6840"/>
            <w:vAlign w:val="top"/>
          </w:tcPr>
          <w:p>
            <w:pPr>
              <w:pStyle w:val="TableText"/>
              <w:keepNext w:val="0"/>
              <w:widowControl/>
            </w:pPr>
            <w:r>
              <w:rPr>
                <w:rFonts w:ascii="Lato" w:hAnsi="Lato"/>
                <w:b w:val="0"/>
                <w:color w:val="25323A"/>
                <w:sz w:val="18"/>
              </w:rPr>
              <w:t>HUMAN-PROMOTED real-wing Gallery B Stage B destination baseline.</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IMPLEMENTED / TECHNICALLY VERIFIED upstream batch, identity and lifecycle authority.</w:t>
            </w:r>
          </w:p>
        </w:tc>
      </w:tr>
      <w:tr>
        <w:trPr>
          <w:cantSplit/>
        </w:trPr>
        <w:tc>
          <w:tcPr>
            <w:tcW w:type="dxa" w:w="3024"/>
            <w:vAlign w:val="top"/>
          </w:tcPr>
          <w:p>
            <w:pPr>
              <w:pStyle w:val="TableText"/>
              <w:keepNext w:val="0"/>
              <w:widowControl/>
            </w:pPr>
            <w:r>
              <w:rPr>
                <w:rFonts w:ascii="Lato" w:hAnsi="Lato"/>
                <w:b/>
                <w:color w:val="25323A"/>
                <w:sz w:val="18"/>
              </w:rPr>
              <w:t>Receiving Stage B presenter</w:t>
            </w:r>
          </w:p>
        </w:tc>
        <w:tc>
          <w:tcPr>
            <w:tcW w:type="dxa" w:w="6840"/>
            <w:vAlign w:val="top"/>
          </w:tcPr>
          <w:p>
            <w:pPr>
              <w:pStyle w:val="TableText"/>
              <w:keepNext w:val="0"/>
              <w:widowControl/>
            </w:pPr>
            <w:r>
              <w:rPr>
                <w:rFonts w:ascii="Lato" w:hAnsi="Lato"/>
                <w:b w:val="0"/>
                <w:color w:val="25323A"/>
                <w:sz w:val="18"/>
              </w:rPr>
              <w:t>IMPLEMENTED / TECHNICALLY VERIFIED / HUMAN-PROMOTED deterministic seeded TAKE-only deck.</w:t>
            </w:r>
          </w:p>
        </w:tc>
      </w:tr>
      <w:tr>
        <w:trPr>
          <w:cantSplit/>
        </w:trPr>
        <w:tc>
          <w:tcPr>
            <w:tcW w:type="dxa" w:w="3024"/>
            <w:vAlign w:val="top"/>
            <w:shd w:fill="F6F8F9"/>
          </w:tcPr>
          <w:p>
            <w:pPr>
              <w:pStyle w:val="TableText"/>
              <w:keepNext w:val="0"/>
              <w:widowControl/>
            </w:pPr>
            <w:r>
              <w:rPr>
                <w:rFonts w:ascii="Lato" w:hAnsi="Lato"/>
                <w:b/>
                <w:color w:val="25323A"/>
                <w:sz w:val="18"/>
              </w:rPr>
              <w:t>Receiving freight fixtures</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Receiving-only crates and pallets.</w:t>
            </w:r>
          </w:p>
        </w:tc>
      </w:tr>
      <w:tr>
        <w:trPr>
          <w:cantSplit/>
        </w:trPr>
        <w:tc>
          <w:tcPr>
            <w:tcW w:type="dxa" w:w="3024"/>
            <w:vAlign w:val="top"/>
          </w:tcPr>
          <w:p>
            <w:pPr>
              <w:pStyle w:val="TableText"/>
              <w:keepNext w:val="0"/>
              <w:widowControl/>
            </w:pPr>
            <w:r>
              <w:rPr>
                <w:rFonts w:ascii="Lato" w:hAnsi="Lato"/>
                <w:b/>
                <w:color w:val="25323A"/>
                <w:sz w:val="18"/>
              </w:rPr>
              <w:t>Irregular frozen pile</w:t>
            </w:r>
          </w:p>
        </w:tc>
        <w:tc>
          <w:tcPr>
            <w:tcW w:type="dxa" w:w="6840"/>
            <w:vAlign w:val="top"/>
          </w:tcPr>
          <w:p>
            <w:pPr>
              <w:pStyle w:val="TableText"/>
              <w:keepNext w:val="0"/>
              <w:widowControl/>
            </w:pPr>
            <w:r>
              <w:rPr>
                <w:rFonts w:ascii="Lato" w:hAnsi="Lato"/>
                <w:b w:val="0"/>
                <w:color w:val="25323A"/>
                <w:sz w:val="18"/>
              </w:rPr>
              <w:t>HUMAN-REJECTED for production; retained as isolated research.</w:t>
            </w:r>
          </w:p>
        </w:tc>
      </w:tr>
      <w:tr>
        <w:trPr>
          <w:cantSplit/>
        </w:trPr>
        <w:tc>
          <w:tcPr>
            <w:tcW w:type="dxa" w:w="3024"/>
            <w:vAlign w:val="top"/>
            <w:shd w:fill="F6F8F9"/>
          </w:tcPr>
          <w:p>
            <w:pPr>
              <w:pStyle w:val="TableText"/>
              <w:keepNext w:val="0"/>
              <w:widowControl/>
            </w:pPr>
            <w:r>
              <w:rPr>
                <w:rFonts w:ascii="Lato" w:hAnsi="Lato"/>
                <w:b/>
                <w:color w:val="25323A"/>
                <w:sz w:val="18"/>
              </w:rPr>
              <w:t>EAF1–E4</w:t>
            </w:r>
          </w:p>
        </w:tc>
        <w:tc>
          <w:tcPr>
            <w:tcW w:type="dxa" w:w="6840"/>
            <w:vAlign w:val="top"/>
            <w:shd w:fill="F6F8F9"/>
          </w:tcPr>
          <w:p>
            <w:pPr>
              <w:pStyle w:val="TableText"/>
              <w:keepNext w:val="0"/>
              <w:widowControl/>
            </w:pPr>
            <w:r>
              <w:rPr>
                <w:rFonts w:ascii="Lato" w:hAnsi="Lato"/>
                <w:b w:val="0"/>
                <w:color w:val="25323A"/>
                <w:sz w:val="18"/>
              </w:rPr>
              <w:t>Each foundation HUMAN-PROMOTED in its recorded scope.</w:t>
            </w:r>
          </w:p>
        </w:tc>
      </w:tr>
      <w:tr>
        <w:trPr>
          <w:cantSplit/>
        </w:trPr>
        <w:tc>
          <w:tcPr>
            <w:tcW w:type="dxa" w:w="3024"/>
            <w:vAlign w:val="top"/>
          </w:tcPr>
          <w:p>
            <w:pPr>
              <w:pStyle w:val="TableText"/>
              <w:keepNext w:val="0"/>
              <w:widowControl/>
            </w:pPr>
            <w:r>
              <w:rPr>
                <w:rFonts w:ascii="Lato" w:hAnsi="Lato"/>
                <w:b/>
                <w:color w:val="25323A"/>
                <w:sz w:val="18"/>
              </w:rPr>
              <w:t>EAF5</w:t>
            </w:r>
          </w:p>
        </w:tc>
        <w:tc>
          <w:tcPr>
            <w:tcW w:type="dxa" w:w="6840"/>
            <w:vAlign w:val="top"/>
          </w:tcPr>
          <w:p>
            <w:pPr>
              <w:pStyle w:val="TableText"/>
              <w:keepNext w:val="0"/>
              <w:widowControl/>
            </w:pPr>
            <w:r>
              <w:rPr>
                <w:rFonts w:ascii="Lato" w:hAnsi="Lato"/>
                <w:b w:val="0"/>
                <w:color w:val="25323A"/>
                <w:sz w:val="18"/>
              </w:rPr>
              <w:t>IMPLEMENTED / TECHNICALLY VERIFIED / HUMAN-PROMOTED / CLOSED architectural proof.</w:t>
            </w:r>
          </w:p>
        </w:tc>
      </w:tr>
      <w:tr>
        <w:trPr>
          <w:cantSplit/>
        </w:trPr>
        <w:tc>
          <w:tcPr>
            <w:tcW w:type="dxa" w:w="3024"/>
            <w:vAlign w:val="top"/>
            <w:shd w:fill="F6F8F9"/>
          </w:tcPr>
          <w:p>
            <w:pPr>
              <w:pStyle w:val="TableText"/>
              <w:keepNext w:val="0"/>
              <w:widowControl/>
            </w:pPr>
            <w:r>
              <w:rPr>
                <w:rFonts w:ascii="Lato" w:hAnsi="Lato"/>
                <w:b/>
                <w:color w:val="25323A"/>
                <w:sz w:val="18"/>
              </w:rPr>
              <w:t>C1A</w:t>
            </w:r>
          </w:p>
        </w:tc>
        <w:tc>
          <w:tcPr>
            <w:tcW w:type="dxa" w:w="6840"/>
            <w:vAlign w:val="top"/>
            <w:shd w:fill="F6F8F9"/>
          </w:tcPr>
          <w:p>
            <w:pPr>
              <w:pStyle w:val="TableText"/>
              <w:keepNext w:val="0"/>
              <w:widowControl/>
            </w:pPr>
            <w:r>
              <w:rPr>
                <w:rFonts w:ascii="Lato" w:hAnsi="Lato"/>
                <w:b w:val="0"/>
                <w:color w:val="25323A"/>
                <w:sz w:val="18"/>
              </w:rPr>
              <w:t>PARKED technically verified research; not promoted or production authority.</w:t>
            </w:r>
          </w:p>
        </w:tc>
      </w:tr>
      <w:tr>
        <w:trPr>
          <w:cantSplit/>
        </w:trPr>
        <w:tc>
          <w:tcPr>
            <w:tcW w:type="dxa" w:w="3024"/>
            <w:vAlign w:val="top"/>
          </w:tcPr>
          <w:p>
            <w:pPr>
              <w:pStyle w:val="TableText"/>
              <w:keepNext w:val="0"/>
              <w:widowControl/>
            </w:pPr>
            <w:r>
              <w:rPr>
                <w:rFonts w:ascii="Lato" w:hAnsi="Lato"/>
                <w:b/>
                <w:color w:val="25323A"/>
                <w:sz w:val="18"/>
              </w:rPr>
              <w:t>Receiving C1</w:t>
            </w:r>
          </w:p>
        </w:tc>
        <w:tc>
          <w:tcPr>
            <w:tcW w:type="dxa" w:w="6840"/>
            <w:vAlign w:val="top"/>
          </w:tcPr>
          <w:p>
            <w:pPr>
              <w:pStyle w:val="TableText"/>
              <w:keepNext w:val="0"/>
              <w:widowControl/>
            </w:pPr>
            <w:r>
              <w:rPr>
                <w:rFonts w:ascii="Lato" w:hAnsi="Lato"/>
                <w:b w:val="0"/>
                <w:color w:val="25323A"/>
                <w:sz w:val="18"/>
              </w:rPr>
              <w:t>NEXT IMPLEMENTATION GATE.</w:t>
            </w:r>
          </w:p>
        </w:tc>
      </w:tr>
      <w:tr>
        <w:trPr>
          <w:cantSplit/>
        </w:trPr>
        <w:tc>
          <w:tcPr>
            <w:tcW w:type="dxa" w:w="3024"/>
            <w:vAlign w:val="top"/>
            <w:shd w:fill="F6F8F9"/>
          </w:tcPr>
          <w:p>
            <w:pPr>
              <w:pStyle w:val="TableText"/>
              <w:keepNext w:val="0"/>
              <w:widowControl/>
            </w:pPr>
            <w:r>
              <w:rPr>
                <w:rFonts w:ascii="Lato" w:hAnsi="Lato"/>
                <w:b/>
                <w:color w:val="25323A"/>
                <w:sz w:val="18"/>
              </w:rPr>
              <w:t>Receiving Stage C queue/theatre</w:t>
            </w:r>
          </w:p>
        </w:tc>
        <w:tc>
          <w:tcPr>
            <w:tcW w:type="dxa" w:w="6840"/>
            <w:vAlign w:val="top"/>
            <w:shd w:fill="F6F8F9"/>
          </w:tcPr>
          <w:p>
            <w:pPr>
              <w:pStyle w:val="TableText"/>
              <w:keepNext w:val="0"/>
              <w:widowControl/>
            </w:pPr>
            <w:r>
              <w:rPr>
                <w:rFonts w:ascii="Lato" w:hAnsi="Lato"/>
                <w:b w:val="0"/>
                <w:color w:val="25323A"/>
                <w:sz w:val="18"/>
              </w:rPr>
              <w:t>Later work; not established by the Stage B presenter or EAF5 proof.</w:t>
            </w:r>
          </w:p>
        </w:tc>
      </w:tr>
    </w:tbl>
    <w:p>
      <w:pPr>
        <w:spacing w:after="60" w:before="0" w:line="40" w:lineRule="exact"/>
      </w:pPr>
      <w:r>
        <w:rPr>
          <w:sz w:val="4"/>
        </w:rPr>
      </w:r>
    </w:p>
    <w:p>
      <w:pPr>
        <w:pStyle w:val="Heading1"/>
        <w:widowControl/>
      </w:pPr>
      <w:r>
        <w:t>1. Evidence status and design authority</w:t>
      </w:r>
    </w:p>
    <w:p>
      <w:pPr>
        <w:keepLines/>
      </w:pPr>
      <w:r>
        <w:t>Current reading rule: HUMAN-REVIEWED is a developer judgement; HUMAN-PROMOTED is explicit acceptance of a bounded scope. Technical checks alone do not promote. Historical legend examples are time-local; §§26–30 provide current status.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57"/>
        <w:gridCol w:w="3600"/>
        <w:gridCol w:w="4507"/>
      </w:tblGrid>
      <w:tr>
        <w:trPr>
          <w:cantSplit/>
          <w:tblHeader/>
        </w:trPr>
        <w:tc>
          <w:tcPr>
            <w:tcW w:type="dxa" w:w="1757"/>
            <w:vAlign w:val="top"/>
            <w:shd w:fill="253842"/>
          </w:tcPr>
          <w:p>
            <w:pPr>
              <w:pStyle w:val="TableText"/>
              <w:keepNext/>
              <w:widowControl/>
            </w:pPr>
            <w:r>
              <w:rPr>
                <w:rFonts w:ascii="Lato" w:hAnsi="Lato"/>
                <w:b/>
                <w:color w:val="FFFFFF"/>
                <w:sz w:val="18"/>
              </w:rPr>
              <w:t>Status</w:t>
            </w:r>
          </w:p>
        </w:tc>
        <w:tc>
          <w:tcPr>
            <w:tcW w:type="dxa" w:w="3600"/>
            <w:vAlign w:val="top"/>
            <w:shd w:fill="253842"/>
          </w:tcPr>
          <w:p>
            <w:pPr>
              <w:pStyle w:val="TableText"/>
              <w:keepNext/>
              <w:widowControl/>
            </w:pPr>
            <w:r>
              <w:rPr>
                <w:rFonts w:ascii="Lato" w:hAnsi="Lato"/>
                <w:b/>
                <w:color w:val="FFFFFF"/>
                <w:sz w:val="18"/>
              </w:rPr>
              <w:t>Meaning in this report</w:t>
            </w:r>
          </w:p>
        </w:tc>
        <w:tc>
          <w:tcPr>
            <w:tcW w:type="dxa" w:w="4507"/>
            <w:vAlign w:val="top"/>
            <w:shd w:fill="253842"/>
          </w:tcPr>
          <w:p>
            <w:pPr>
              <w:pStyle w:val="TableText"/>
              <w:keepNext/>
              <w:widowControl/>
            </w:pPr>
            <w:r>
              <w:rPr>
                <w:rFonts w:ascii="Lato" w:hAnsi="Lato"/>
                <w:b/>
                <w:color w:val="FFFFFF"/>
                <w:sz w:val="18"/>
              </w:rPr>
              <w:t>Examples</w:t>
            </w:r>
          </w:p>
        </w:tc>
      </w:tr>
      <w:tr>
        <w:trPr>
          <w:cantSplit/>
        </w:trPr>
        <w:tc>
          <w:tcPr>
            <w:tcW w:type="dxa" w:w="1757"/>
            <w:vAlign w:val="top"/>
          </w:tcPr>
          <w:p>
            <w:pPr>
              <w:pStyle w:val="TableText"/>
              <w:keepNext w:val="0"/>
              <w:widowControl/>
            </w:pPr>
            <w:r>
              <w:rPr>
                <w:rFonts w:ascii="Lato" w:hAnsi="Lato"/>
                <w:b/>
                <w:color w:val="25323A"/>
                <w:sz w:val="18"/>
              </w:rPr>
              <w:t>Confirmed design</w:t>
            </w:r>
          </w:p>
        </w:tc>
        <w:tc>
          <w:tcPr>
            <w:tcW w:type="dxa" w:w="3600"/>
            <w:vAlign w:val="top"/>
          </w:tcPr>
          <w:p>
            <w:pPr>
              <w:pStyle w:val="TableText"/>
              <w:keepNext w:val="0"/>
              <w:widowControl/>
            </w:pPr>
            <w:r>
              <w:rPr>
                <w:rFonts w:ascii="Lato" w:hAnsi="Lato"/>
                <w:b w:val="0"/>
                <w:color w:val="25323A"/>
                <w:sz w:val="18"/>
              </w:rPr>
              <w:t>Explicitly accepted rule; not automatically implemented or tested.</w:t>
            </w:r>
          </w:p>
        </w:tc>
        <w:tc>
          <w:tcPr>
            <w:tcW w:type="dxa" w:w="4507"/>
            <w:vAlign w:val="top"/>
          </w:tcPr>
          <w:p>
            <w:pPr>
              <w:pStyle w:val="TableText"/>
              <w:keepNext w:val="0"/>
              <w:widowControl/>
            </w:pPr>
            <w:r>
              <w:rPr>
                <w:rFonts w:ascii="Lato" w:hAnsi="Lato"/>
                <w:b w:val="0"/>
                <w:color w:val="25323A"/>
                <w:sz w:val="18"/>
              </w:rPr>
              <w:t>Receiving contracts, authored-world rules, Foundation Gate and approved zone relationships.</w:t>
            </w:r>
          </w:p>
        </w:tc>
      </w:tr>
      <w:tr>
        <w:trPr>
          <w:cantSplit/>
        </w:trPr>
        <w:tc>
          <w:tcPr>
            <w:tcW w:type="dxa" w:w="1757"/>
            <w:vAlign w:val="top"/>
            <w:shd w:fill="F6F8F9"/>
          </w:tcPr>
          <w:p>
            <w:pPr>
              <w:pStyle w:val="TableText"/>
              <w:keepNext w:val="0"/>
              <w:widowControl/>
            </w:pPr>
            <w:r>
              <w:rPr>
                <w:rFonts w:ascii="Lato" w:hAnsi="Lato"/>
                <w:b/>
                <w:color w:val="25323A"/>
                <w:sz w:val="18"/>
              </w:rPr>
              <w:t>Human validated</w:t>
            </w:r>
          </w:p>
        </w:tc>
        <w:tc>
          <w:tcPr>
            <w:tcW w:type="dxa" w:w="3600"/>
            <w:vAlign w:val="top"/>
            <w:shd w:fill="F6F8F9"/>
          </w:tcPr>
          <w:p>
            <w:pPr>
              <w:pStyle w:val="TableText"/>
              <w:keepNext w:val="0"/>
              <w:widowControl/>
            </w:pPr>
            <w:r>
              <w:rPr>
                <w:rFonts w:ascii="Lato" w:hAnsi="Lato"/>
                <w:b w:val="0"/>
                <w:color w:val="25323A"/>
                <w:sz w:val="18"/>
              </w:rPr>
              <w:t>Observed by the developer in the stated gameplay/visual scope.</w:t>
            </w:r>
          </w:p>
        </w:tc>
        <w:tc>
          <w:tcPr>
            <w:tcW w:type="dxa" w:w="4507"/>
            <w:vAlign w:val="top"/>
            <w:shd w:fill="F6F8F9"/>
          </w:tcPr>
          <w:p>
            <w:pPr>
              <w:pStyle w:val="TableText"/>
              <w:keepNext w:val="0"/>
              <w:widowControl/>
            </w:pPr>
            <w:r>
              <w:rPr>
                <w:rFonts w:ascii="Lato" w:hAnsi="Lato"/>
                <w:b w:val="0"/>
                <w:color w:val="25323A"/>
                <w:sz w:val="18"/>
              </w:rPr>
              <w:t>Storage stress and singleton fix; environment migration; accepted neutral wing and final Medical tuning.</w:t>
            </w:r>
          </w:p>
        </w:tc>
      </w:tr>
      <w:tr>
        <w:trPr>
          <w:cantSplit/>
        </w:trPr>
        <w:tc>
          <w:tcPr>
            <w:tcW w:type="dxa" w:w="1757"/>
            <w:vAlign w:val="top"/>
          </w:tcPr>
          <w:p>
            <w:pPr>
              <w:pStyle w:val="TableText"/>
              <w:keepNext w:val="0"/>
              <w:widowControl/>
            </w:pPr>
            <w:r>
              <w:rPr>
                <w:rFonts w:ascii="Lato" w:hAnsi="Lato"/>
                <w:b/>
                <w:color w:val="25323A"/>
                <w:sz w:val="18"/>
              </w:rPr>
              <w:t>Technically verified</w:t>
            </w:r>
          </w:p>
        </w:tc>
        <w:tc>
          <w:tcPr>
            <w:tcW w:type="dxa" w:w="3600"/>
            <w:vAlign w:val="top"/>
          </w:tcPr>
          <w:p>
            <w:pPr>
              <w:pStyle w:val="TableText"/>
              <w:keepNext w:val="0"/>
              <w:widowControl/>
            </w:pPr>
            <w:r>
              <w:rPr>
                <w:rFonts w:ascii="Lato" w:hAnsi="Lato"/>
                <w:b w:val="0"/>
                <w:color w:val="25323A"/>
                <w:sz w:val="18"/>
              </w:rPr>
              <w:t>Reported checks passed for a defined implementation and baseline.</w:t>
            </w:r>
          </w:p>
        </w:tc>
        <w:tc>
          <w:tcPr>
            <w:tcW w:type="dxa" w:w="4507"/>
            <w:vAlign w:val="top"/>
          </w:tcPr>
          <w:p>
            <w:pPr>
              <w:pStyle w:val="TableText"/>
              <w:keepNext w:val="0"/>
              <w:widowControl/>
            </w:pPr>
            <w:r>
              <w:rPr>
                <w:rFonts w:ascii="Lato" w:hAnsi="Lato"/>
                <w:b w:val="0"/>
                <w:color w:val="25323A"/>
                <w:sz w:val="18"/>
              </w:rPr>
              <w:t>Stage A data/snapshot/queue tests; migration tests; shell contract tests.</w:t>
            </w:r>
          </w:p>
        </w:tc>
      </w:tr>
      <w:tr>
        <w:trPr>
          <w:cantSplit/>
        </w:trPr>
        <w:tc>
          <w:tcPr>
            <w:tcW w:type="dxa" w:w="1757"/>
            <w:vAlign w:val="top"/>
            <w:shd w:fill="F6F8F9"/>
          </w:tcPr>
          <w:p>
            <w:pPr>
              <w:pStyle w:val="TableText"/>
              <w:keepNext w:val="0"/>
              <w:widowControl/>
            </w:pPr>
            <w:r>
              <w:rPr>
                <w:rFonts w:ascii="Lato" w:hAnsi="Lato"/>
                <w:b/>
                <w:color w:val="25323A"/>
                <w:sz w:val="18"/>
              </w:rPr>
              <w:t>Visually rejected</w:t>
            </w:r>
          </w:p>
        </w:tc>
        <w:tc>
          <w:tcPr>
            <w:tcW w:type="dxa" w:w="3600"/>
            <w:vAlign w:val="top"/>
            <w:shd w:fill="F6F8F9"/>
          </w:tcPr>
          <w:p>
            <w:pPr>
              <w:pStyle w:val="TableText"/>
              <w:keepNext w:val="0"/>
              <w:widowControl/>
            </w:pPr>
            <w:r>
              <w:rPr>
                <w:rFonts w:ascii="Lato" w:hAnsi="Lato"/>
                <w:b w:val="0"/>
                <w:color w:val="25323A"/>
                <w:sz w:val="18"/>
              </w:rPr>
              <w:t>Technical success did not meet human art-direction expectations.</w:t>
            </w:r>
          </w:p>
        </w:tc>
        <w:tc>
          <w:tcPr>
            <w:tcW w:type="dxa" w:w="4507"/>
            <w:vAlign w:val="top"/>
            <w:shd w:fill="F6F8F9"/>
          </w:tcPr>
          <w:p>
            <w:pPr>
              <w:pStyle w:val="TableText"/>
              <w:keepNext w:val="0"/>
              <w:widowControl/>
            </w:pPr>
            <w:r>
              <w:rPr>
                <w:rFonts w:ascii="Lato" w:hAnsi="Lato"/>
                <w:b w:val="0"/>
                <w:color w:val="25323A"/>
                <w:sz w:val="18"/>
              </w:rPr>
              <w:t>First Receiving shell at c9752c8.</w:t>
            </w:r>
          </w:p>
        </w:tc>
      </w:tr>
      <w:tr>
        <w:trPr>
          <w:cantSplit/>
        </w:trPr>
        <w:tc>
          <w:tcPr>
            <w:tcW w:type="dxa" w:w="1757"/>
            <w:vAlign w:val="top"/>
          </w:tcPr>
          <w:p>
            <w:pPr>
              <w:pStyle w:val="TableText"/>
              <w:keepNext w:val="0"/>
              <w:widowControl/>
            </w:pPr>
            <w:r>
              <w:rPr>
                <w:rFonts w:ascii="Lato" w:hAnsi="Lato"/>
                <w:b/>
                <w:color w:val="25323A"/>
                <w:sz w:val="18"/>
              </w:rPr>
              <w:t>Provisional / unvalidated</w:t>
            </w:r>
          </w:p>
        </w:tc>
        <w:tc>
          <w:tcPr>
            <w:tcW w:type="dxa" w:w="3600"/>
            <w:vAlign w:val="top"/>
          </w:tcPr>
          <w:p>
            <w:pPr>
              <w:pStyle w:val="TableText"/>
              <w:keepNext w:val="0"/>
              <w:widowControl/>
            </w:pPr>
            <w:r>
              <w:rPr>
                <w:rFonts w:ascii="Lato" w:hAnsi="Lato"/>
                <w:b w:val="0"/>
                <w:color w:val="25323A"/>
                <w:sz w:val="18"/>
              </w:rPr>
              <w:t>Preferred direction or open question still needing evidence.</w:t>
            </w:r>
          </w:p>
        </w:tc>
        <w:tc>
          <w:tcPr>
            <w:tcW w:type="dxa" w:w="4507"/>
            <w:vAlign w:val="top"/>
          </w:tcPr>
          <w:p>
            <w:pPr>
              <w:pStyle w:val="TableText"/>
              <w:keepNext w:val="0"/>
              <w:widowControl/>
            </w:pPr>
            <w:r>
              <w:rPr>
                <w:sz w:val="18"/>
              </w:rPr>
              <w:t>Furnished C1 clearances and sightlines, final fixture art and counts, machine unlock timing, and remaining Stage C queue/theatre.</w:t>
            </w:r>
          </w:p>
        </w:tc>
      </w:tr>
      <w:tr>
        <w:trPr>
          <w:cantSplit/>
        </w:trPr>
        <w:tc>
          <w:tcPr>
            <w:tcW w:type="dxa" w:w="1757"/>
            <w:vAlign w:val="top"/>
            <w:shd w:fill="F6F8F9"/>
          </w:tcPr>
          <w:p>
            <w:pPr>
              <w:pStyle w:val="TableText"/>
              <w:keepNext w:val="0"/>
              <w:widowControl/>
            </w:pPr>
            <w:r>
              <w:rPr>
                <w:rFonts w:ascii="Lato" w:hAnsi="Lato"/>
                <w:b/>
                <w:color w:val="25323A"/>
                <w:sz w:val="18"/>
              </w:rPr>
              <w:t>Deferred / bounded debt</w:t>
            </w:r>
          </w:p>
        </w:tc>
        <w:tc>
          <w:tcPr>
            <w:tcW w:type="dxa" w:w="3600"/>
            <w:vAlign w:val="top"/>
            <w:shd w:fill="F6F8F9"/>
          </w:tcPr>
          <w:p>
            <w:pPr>
              <w:pStyle w:val="TableText"/>
              <w:keepNext w:val="0"/>
              <w:widowControl/>
            </w:pPr>
            <w:r>
              <w:rPr>
                <w:rFonts w:ascii="Lato" w:hAnsi="Lato"/>
                <w:b w:val="0"/>
                <w:color w:val="25323A"/>
                <w:sz w:val="18"/>
              </w:rPr>
              <w:t>Known work outside the active scope or awaiting a specific repair.</w:t>
            </w:r>
          </w:p>
        </w:tc>
        <w:tc>
          <w:tcPr>
            <w:tcW w:type="dxa" w:w="4507"/>
            <w:vAlign w:val="top"/>
            <w:shd w:fill="F6F8F9"/>
          </w:tcPr>
          <w:p>
            <w:pPr>
              <w:pStyle w:val="TableText"/>
              <w:keepNext w:val="0"/>
              <w:widowControl/>
            </w:pPr>
            <w:r>
              <w:rPr>
                <w:rFonts w:ascii="Lato" w:hAnsi="Lato"/>
                <w:b w:val="0"/>
                <w:color w:val="25323A"/>
                <w:sz w:val="18"/>
              </w:rPr>
              <w:t>Gloves/Pants, held/HUD quality, multi-column support and physical Receiving evidence.</w:t>
            </w:r>
          </w:p>
        </w:tc>
      </w:tr>
    </w:tbl>
    <w:p>
      <w:pPr>
        <w:spacing w:after="60" w:before="0" w:line="40" w:lineRule="exact"/>
      </w:pPr>
      <w:r>
        <w:rPr>
          <w:sz w:val="4"/>
        </w:rPr>
      </w:r>
    </w:p>
    <w:p>
      <w:pPr>
        <w:pStyle w:val="Heading2"/>
        <w:widowControl/>
      </w:pPr>
      <w:r>
        <w:t>What remains authoritative in the GDD</w:t>
      </w:r>
    </w:p>
    <w:p>
      <w:pPr>
        <w:pStyle w:val="ListBullet"/>
        <w:widowControl/>
      </w:pPr>
      <w:r>
        <w:t>Sorting is the survival operation, not a minigame attached to another management layer.</w:t>
      </w:r>
    </w:p>
    <w:p>
      <w:pPr>
        <w:pStyle w:val="ListBullet"/>
        <w:widowControl/>
      </w:pPr>
      <w:r>
        <w:t>Items are physical and stateful; unrestricted floor drops and general rigid-body item worlds are out of scope.</w:t>
      </w:r>
    </w:p>
    <w:p>
      <w:pPr>
        <w:pStyle w:val="ListBullet"/>
        <w:widowControl/>
      </w:pPr>
      <w:r>
        <w:t>Bulk governs handling throughput while Footprint governs shelf occupancy; neither substitutes for the other.</w:t>
      </w:r>
    </w:p>
    <w:p>
      <w:pPr>
        <w:pStyle w:val="ListBullet"/>
        <w:widowControl/>
      </w:pPr>
      <w:r>
        <w:t>Placement must feel tactile and assisted, with mistakes caused by logistics rather than finicky collision or targeting.</w:t>
      </w:r>
    </w:p>
    <w:p>
      <w:pPr>
        <w:pStyle w:val="ListBullet"/>
        <w:widowControl/>
      </w:pPr>
      <w:r>
        <w:t>The GDD’s interaction-prototype gate is specifically to prove deterministic, no-drop 3D handling before large-scale art production.</w:t>
      </w:r>
    </w:p>
    <w:p>
      <w:pPr>
        <w:widowControl/>
      </w:pPr>
      <w:r>
        <w:t>Historical count discipline: Sections 10, 13 and 14 describe the clean 11 September authoring/gate checkpoint. Section 20 preserves the 17 September loot_000015 drift record and is superseded by the resolved maintenance result in §24.2. The 42-definition total, explicit 40-ID gameplay and Receiving pool, and blocked Gloves/Pants cases remain distinct quantities. [P04; D13B]</w:t>
      </w:r>
    </w:p>
    <w:p>
      <w:pPr>
        <w:pStyle w:val="Heading1"/>
        <w:widowControl/>
      </w:pPr>
      <w:r>
        <w:t>2. Art and asset-pipeline findings</w:t>
      </w:r>
    </w:p>
    <w:p>
      <w:pPr>
        <w:pStyle w:val="Heading2"/>
        <w:widowControl/>
      </w:pPr>
      <w:r>
        <w:t>2.1 Unreal Engine, GLB, and Godot</w:t>
      </w:r>
    </w:p>
    <w:p>
      <w:pPr>
        <w:widowControl/>
      </w:pPr>
      <w:r>
        <w:t>At the early test-room gate, direct UE static-mesh export to GLB imported into Godot with usable geometry, base materials and scale. The developer accepted the room's visual consistency for that test set. This establishes an import route, not general art-direction approval: the later Receiving composition failed visually despite healthy imports and plentiful environment assets (Section 18).</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Pipeline route</w:t>
            </w:r>
          </w:p>
        </w:tc>
        <w:tc>
          <w:tcPr>
            <w:tcW w:type="dxa" w:w="3816"/>
            <w:vAlign w:val="top"/>
            <w:shd w:fill="253842"/>
          </w:tcPr>
          <w:p>
            <w:pPr>
              <w:pStyle w:val="TableText"/>
              <w:keepNext/>
              <w:widowControl/>
            </w:pPr>
            <w:r>
              <w:rPr>
                <w:rFonts w:ascii="Lato" w:hAnsi="Lato"/>
                <w:b/>
                <w:color w:val="FFFFFF"/>
                <w:sz w:val="18"/>
              </w:rPr>
              <w:t>Finding</w:t>
            </w:r>
          </w:p>
        </w:tc>
        <w:tc>
          <w:tcPr>
            <w:tcW w:type="dxa" w:w="3701"/>
            <w:vAlign w:val="top"/>
            <w:shd w:fill="253842"/>
          </w:tcPr>
          <w:p>
            <w:pPr>
              <w:pStyle w:val="TableText"/>
              <w:keepNext/>
              <w:widowControl/>
            </w:pPr>
            <w:r>
              <w:rPr>
                <w:rFonts w:ascii="Lato" w:hAnsi="Lato"/>
                <w:b/>
                <w:color w:val="FFFFFF"/>
                <w:sz w:val="18"/>
              </w:rPr>
              <w:t>Disposition</w:t>
            </w:r>
          </w:p>
        </w:tc>
      </w:tr>
      <w:tr>
        <w:trPr>
          <w:cantSplit/>
        </w:trPr>
        <w:tc>
          <w:tcPr>
            <w:tcW w:type="dxa" w:w="2347"/>
            <w:vAlign w:val="top"/>
          </w:tcPr>
          <w:p>
            <w:pPr>
              <w:pStyle w:val="TableText"/>
              <w:keepNext w:val="0"/>
              <w:widowControl/>
            </w:pPr>
            <w:r>
              <w:rPr>
                <w:rFonts w:ascii="Lato" w:hAnsi="Lato"/>
                <w:b/>
                <w:color w:val="25323A"/>
                <w:sz w:val="18"/>
              </w:rPr>
              <w:t>UE -&gt; GLB -&gt; Godot</w:t>
            </w:r>
          </w:p>
        </w:tc>
        <w:tc>
          <w:tcPr>
            <w:tcW w:type="dxa" w:w="3816"/>
            <w:vAlign w:val="top"/>
          </w:tcPr>
          <w:p>
            <w:pPr>
              <w:pStyle w:val="TableText"/>
              <w:keepNext w:val="0"/>
              <w:widowControl/>
            </w:pPr>
            <w:r>
              <w:rPr>
                <w:rFonts w:ascii="Lato" w:hAnsi="Lato"/>
                <w:b w:val="0"/>
                <w:color w:val="25323A"/>
                <w:sz w:val="18"/>
              </w:rPr>
              <w:t>Viable for straightforward import of the early tested assets. Their use in one accepted test room does not establish that arbitrary source families form a coherent production environment.</w:t>
            </w:r>
          </w:p>
        </w:tc>
        <w:tc>
          <w:tcPr>
            <w:tcW w:type="dxa" w:w="3701"/>
            <w:vAlign w:val="top"/>
          </w:tcPr>
          <w:p>
            <w:pPr>
              <w:pStyle w:val="TableText"/>
              <w:keepNext w:val="0"/>
              <w:widowControl/>
            </w:pPr>
            <w:r>
              <w:rPr>
                <w:rFonts w:ascii="Lato" w:hAnsi="Lato"/>
                <w:b w:val="0"/>
                <w:color w:val="25323A"/>
                <w:sz w:val="18"/>
              </w:rPr>
              <w:t>Import route validated for tested set; cross-kit art coherence requires human review.</w:t>
            </w:r>
          </w:p>
        </w:tc>
      </w:tr>
      <w:tr>
        <w:trPr>
          <w:cantSplit/>
        </w:trPr>
        <w:tc>
          <w:tcPr>
            <w:tcW w:type="dxa" w:w="2347"/>
            <w:vAlign w:val="top"/>
            <w:shd w:fill="F6F8F9"/>
          </w:tcPr>
          <w:p>
            <w:pPr>
              <w:pStyle w:val="TableText"/>
              <w:keepNext w:val="0"/>
              <w:widowControl/>
            </w:pPr>
            <w:r>
              <w:rPr>
                <w:rFonts w:ascii="Lato" w:hAnsi="Lato"/>
                <w:b/>
                <w:color w:val="25323A"/>
                <w:sz w:val="18"/>
              </w:rPr>
              <w:t>UE -&gt; FBX + source maps -&gt; Blender -&gt; GLB -&gt; Godot</w:t>
            </w:r>
          </w:p>
        </w:tc>
        <w:tc>
          <w:tcPr>
            <w:tcW w:type="dxa" w:w="3816"/>
            <w:vAlign w:val="top"/>
            <w:shd w:fill="F6F8F9"/>
          </w:tcPr>
          <w:p>
            <w:pPr>
              <w:pStyle w:val="TableText"/>
              <w:keepNext w:val="0"/>
              <w:widowControl/>
            </w:pPr>
            <w:r>
              <w:rPr>
                <w:rFonts w:ascii="Lato" w:hAnsi="Lato"/>
                <w:b w:val="0"/>
                <w:color w:val="25323A"/>
                <w:sz w:val="18"/>
              </w:rPr>
              <w:t>Deliberate cleanup/normalization route when an asset needs pivot, scale, component, geometry, normal, or material work.</w:t>
            </w:r>
          </w:p>
        </w:tc>
        <w:tc>
          <w:tcPr>
            <w:tcW w:type="dxa" w:w="3701"/>
            <w:vAlign w:val="top"/>
            <w:shd w:fill="F6F8F9"/>
          </w:tcPr>
          <w:p>
            <w:pPr>
              <w:pStyle w:val="TableText"/>
              <w:keepNext w:val="0"/>
              <w:widowControl/>
            </w:pPr>
            <w:r>
              <w:rPr>
                <w:rFonts w:ascii="Lato" w:hAnsi="Lato"/>
                <w:b w:val="0"/>
                <w:color w:val="25323A"/>
                <w:sz w:val="18"/>
              </w:rPr>
              <w:t>Supported fallback</w:t>
            </w:r>
          </w:p>
        </w:tc>
      </w:tr>
      <w:tr>
        <w:trPr>
          <w:cantSplit/>
        </w:trPr>
        <w:tc>
          <w:tcPr>
            <w:tcW w:type="dxa" w:w="2347"/>
            <w:vAlign w:val="top"/>
          </w:tcPr>
          <w:p>
            <w:pPr>
              <w:pStyle w:val="TableText"/>
              <w:keepNext w:val="0"/>
              <w:widowControl/>
            </w:pPr>
            <w:r>
              <w:rPr>
                <w:rFonts w:ascii="Lato" w:hAnsi="Lato"/>
                <w:b/>
                <w:color w:val="25323A"/>
                <w:sz w:val="18"/>
              </w:rPr>
              <w:t>Unreal source/render mesh comparison</w:t>
            </w:r>
          </w:p>
        </w:tc>
        <w:tc>
          <w:tcPr>
            <w:tcW w:type="dxa" w:w="3816"/>
            <w:vAlign w:val="top"/>
          </w:tcPr>
          <w:p>
            <w:pPr>
              <w:pStyle w:val="TableText"/>
              <w:keepNext w:val="0"/>
              <w:widowControl/>
            </w:pPr>
            <w:r>
              <w:rPr>
                <w:rFonts w:ascii="Lato" w:hAnsi="Lato"/>
                <w:b w:val="0"/>
                <w:color w:val="25323A"/>
                <w:sz w:val="18"/>
              </w:rPr>
              <w:t>Useful content-import check for high-detail/Nanite-style assets; a broad final policy should not be inferred from one shelf.</w:t>
            </w:r>
          </w:p>
        </w:tc>
        <w:tc>
          <w:tcPr>
            <w:tcW w:type="dxa" w:w="3701"/>
            <w:vAlign w:val="top"/>
          </w:tcPr>
          <w:p>
            <w:pPr>
              <w:pStyle w:val="TableText"/>
              <w:keepNext w:val="0"/>
              <w:widowControl/>
            </w:pPr>
            <w:r>
              <w:rPr>
                <w:rFonts w:ascii="Lato" w:hAnsi="Lato"/>
                <w:b w:val="0"/>
                <w:color w:val="25323A"/>
                <w:sz w:val="18"/>
              </w:rPr>
              <w:t>Recommended per asset family</w:t>
            </w:r>
          </w:p>
        </w:tc>
      </w:tr>
      <w:tr>
        <w:trPr>
          <w:cantSplit/>
        </w:trPr>
        <w:tc>
          <w:tcPr>
            <w:tcW w:type="dxa" w:w="2347"/>
            <w:vAlign w:val="top"/>
            <w:shd w:fill="F6F8F9"/>
          </w:tcPr>
          <w:p>
            <w:pPr>
              <w:pStyle w:val="TableText"/>
              <w:keepNext w:val="0"/>
              <w:widowControl/>
            </w:pPr>
            <w:r>
              <w:rPr>
                <w:rFonts w:ascii="Lato" w:hAnsi="Lato"/>
                <w:b/>
                <w:color w:val="25323A"/>
                <w:sz w:val="18"/>
              </w:rPr>
              <w:t>Raw material maps</w:t>
            </w:r>
          </w:p>
        </w:tc>
        <w:tc>
          <w:tcPr>
            <w:tcW w:type="dxa" w:w="3816"/>
            <w:vAlign w:val="top"/>
            <w:shd w:fill="F6F8F9"/>
          </w:tcPr>
          <w:p>
            <w:pPr>
              <w:pStyle w:val="TableText"/>
              <w:keepNext w:val="0"/>
              <w:widowControl/>
            </w:pPr>
            <w:r>
              <w:rPr>
                <w:rFonts w:ascii="Lato" w:hAnsi="Lato"/>
                <w:b w:val="0"/>
                <w:color w:val="25323A"/>
                <w:sz w:val="18"/>
              </w:rPr>
              <w:t>BC/Normal/ORM-style maps are usable source material. Channel conventions must be checked, not inferred from names alone; DirectX-style normal Y inversion may be needed.</w:t>
            </w:r>
          </w:p>
        </w:tc>
        <w:tc>
          <w:tcPr>
            <w:tcW w:type="dxa" w:w="3701"/>
            <w:vAlign w:val="top"/>
            <w:shd w:fill="F6F8F9"/>
          </w:tcPr>
          <w:p>
            <w:pPr>
              <w:pStyle w:val="TableText"/>
              <w:keepNext w:val="0"/>
              <w:widowControl/>
            </w:pPr>
            <w:r>
              <w:rPr>
                <w:rFonts w:ascii="Lato" w:hAnsi="Lato"/>
                <w:b w:val="0"/>
                <w:color w:val="25323A"/>
                <w:sz w:val="18"/>
              </w:rPr>
              <w:t>Technical note; not standardized</w:t>
            </w:r>
          </w:p>
        </w:tc>
      </w:tr>
    </w:tbl>
    <w:p>
      <w:pPr>
        <w:spacing w:after="60" w:before="0" w:line="40" w:lineRule="exact"/>
      </w:pPr>
      <w:r>
        <w:rPr>
          <w:sz w:val="4"/>
        </w:rPr>
      </w:r>
    </w:p>
    <w:p>
      <w:pPr>
        <w:pStyle w:val="Heading2"/>
        <w:widowControl/>
      </w:pPr>
      <w:r>
        <w:t>2.2 Blender’s role</w:t>
      </w:r>
    </w:p>
    <w:p>
      <w:pPr>
        <w:widowControl/>
      </w:pPr>
      <w:r>
        <w:t>Blender successfully generated five GLB proof props through scripting: a soda can, pill bottle, cereal box, hammer, and tennis racket. Their scale survived import to Godot, and they coexisted acceptably with the UE-derived room. This demonstrates a productive hybrid art strategy, not a mandate to procedurally model all loot.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Best role</w:t>
            </w:r>
          </w:p>
        </w:tc>
        <w:tc>
          <w:tcPr>
            <w:tcW w:type="dxa" w:w="6869"/>
            <w:vAlign w:val="top"/>
            <w:shd w:fill="253842"/>
          </w:tcPr>
          <w:p>
            <w:pPr>
              <w:pStyle w:val="TableText"/>
              <w:keepNext/>
              <w:widowControl/>
            </w:pPr>
            <w:r>
              <w:rPr>
                <w:rFonts w:ascii="Lato" w:hAnsi="Lato"/>
                <w:b/>
                <w:color w:val="FFFFFF"/>
                <w:sz w:val="18"/>
              </w:rPr>
              <w:t>Evidence / rationale</w:t>
            </w:r>
          </w:p>
        </w:tc>
      </w:tr>
      <w:tr>
        <w:trPr>
          <w:cantSplit/>
        </w:trPr>
        <w:tc>
          <w:tcPr>
            <w:tcW w:type="dxa" w:w="2995"/>
            <w:vAlign w:val="top"/>
          </w:tcPr>
          <w:p>
            <w:pPr>
              <w:pStyle w:val="TableText"/>
              <w:keepNext w:val="0"/>
              <w:widowControl/>
            </w:pPr>
            <w:r>
              <w:rPr>
                <w:rFonts w:ascii="Lato" w:hAnsi="Lato"/>
                <w:b/>
                <w:color w:val="25323A"/>
                <w:sz w:val="18"/>
              </w:rPr>
              <w:t>Procedural families</w:t>
            </w:r>
          </w:p>
        </w:tc>
        <w:tc>
          <w:tcPr>
            <w:tcW w:type="dxa" w:w="6869"/>
            <w:vAlign w:val="top"/>
          </w:tcPr>
          <w:p>
            <w:pPr>
              <w:pStyle w:val="TableText"/>
              <w:keepNext w:val="0"/>
              <w:widowControl/>
            </w:pPr>
            <w:r>
              <w:rPr>
                <w:rFonts w:ascii="Lato" w:hAnsi="Lato"/>
                <w:b w:val="0"/>
                <w:color w:val="25323A"/>
                <w:sz w:val="18"/>
              </w:rPr>
              <w:t>Cans, bottles, pill bottles, cartons, boxes, jars, packets, buckets, and standardized salvage can share geometry families and differ chiefly by dimensions, materials, and labels.</w:t>
            </w:r>
          </w:p>
        </w:tc>
      </w:tr>
      <w:tr>
        <w:trPr>
          <w:cantSplit/>
        </w:trPr>
        <w:tc>
          <w:tcPr>
            <w:tcW w:type="dxa" w:w="2995"/>
            <w:vAlign w:val="top"/>
            <w:shd w:fill="F6F8F9"/>
          </w:tcPr>
          <w:p>
            <w:pPr>
              <w:pStyle w:val="TableText"/>
              <w:keepNext w:val="0"/>
              <w:widowControl/>
            </w:pPr>
            <w:r>
              <w:rPr>
                <w:rFonts w:ascii="Lato" w:hAnsi="Lato"/>
                <w:b/>
                <w:color w:val="25323A"/>
                <w:sz w:val="18"/>
              </w:rPr>
              <w:t>Sourced distinctive objects</w:t>
            </w:r>
          </w:p>
        </w:tc>
        <w:tc>
          <w:tcPr>
            <w:tcW w:type="dxa" w:w="6869"/>
            <w:vAlign w:val="top"/>
            <w:shd w:fill="F6F8F9"/>
          </w:tcPr>
          <w:p>
            <w:pPr>
              <w:pStyle w:val="TableText"/>
              <w:keepNext w:val="0"/>
              <w:widowControl/>
            </w:pPr>
            <w:r>
              <w:rPr>
                <w:rFonts w:ascii="Lato" w:hAnsi="Lato"/>
                <w:b w:val="0"/>
                <w:color w:val="25323A"/>
                <w:sz w:val="18"/>
              </w:rPr>
              <w:t>Firearms, rackets, shoes, radios, power tools, intricate medical instruments, and identity-heavy hand tools benefit more from existing meshes than elaborate generators.</w:t>
            </w:r>
          </w:p>
        </w:tc>
      </w:tr>
      <w:tr>
        <w:trPr>
          <w:cantSplit/>
        </w:trPr>
        <w:tc>
          <w:tcPr>
            <w:tcW w:type="dxa" w:w="2995"/>
            <w:vAlign w:val="top"/>
          </w:tcPr>
          <w:p>
            <w:pPr>
              <w:pStyle w:val="TableText"/>
              <w:keepNext w:val="0"/>
              <w:widowControl/>
            </w:pPr>
            <w:r>
              <w:rPr>
                <w:rFonts w:ascii="Lato" w:hAnsi="Lato"/>
                <w:b/>
                <w:color w:val="25323A"/>
                <w:sz w:val="18"/>
              </w:rPr>
              <w:t>Variant production</w:t>
            </w:r>
          </w:p>
        </w:tc>
        <w:tc>
          <w:tcPr>
            <w:tcW w:type="dxa" w:w="6869"/>
            <w:vAlign w:val="top"/>
          </w:tcPr>
          <w:p>
            <w:pPr>
              <w:pStyle w:val="TableText"/>
              <w:keepNext w:val="0"/>
              <w:widowControl/>
            </w:pPr>
            <w:r>
              <w:rPr>
                <w:rFonts w:ascii="Lato" w:hAnsi="Lato"/>
                <w:b w:val="0"/>
                <w:color w:val="25323A"/>
                <w:sz w:val="18"/>
              </w:rPr>
              <w:t>A strong sourced base mesh can generate many game items through labels, material variants, and ItemDefinition data. One can or pill bottle can become many products.</w:t>
            </w:r>
          </w:p>
        </w:tc>
      </w:tr>
      <w:tr>
        <w:trPr>
          <w:cantSplit/>
        </w:trPr>
        <w:tc>
          <w:tcPr>
            <w:tcW w:type="dxa" w:w="2995"/>
            <w:vAlign w:val="top"/>
            <w:shd w:fill="F6F8F9"/>
          </w:tcPr>
          <w:p>
            <w:pPr>
              <w:pStyle w:val="TableText"/>
              <w:keepNext w:val="0"/>
              <w:widowControl/>
            </w:pPr>
            <w:r>
              <w:rPr>
                <w:rFonts w:ascii="Lato" w:hAnsi="Lato"/>
                <w:b/>
                <w:color w:val="25323A"/>
                <w:sz w:val="18"/>
              </w:rPr>
              <w:t>Selective repair</w:t>
            </w:r>
          </w:p>
        </w:tc>
        <w:tc>
          <w:tcPr>
            <w:tcW w:type="dxa" w:w="6869"/>
            <w:vAlign w:val="top"/>
            <w:shd w:fill="F6F8F9"/>
          </w:tcPr>
          <w:p>
            <w:pPr>
              <w:pStyle w:val="TableText"/>
              <w:keepNext w:val="0"/>
              <w:widowControl/>
            </w:pPr>
            <w:r>
              <w:rPr>
                <w:rFonts w:ascii="Lato" w:hAnsi="Lato"/>
                <w:b w:val="0"/>
                <w:color w:val="25323A"/>
                <w:sz w:val="18"/>
              </w:rPr>
              <w:t>Use Blender when direct GLB import has a genuine problem. It should not become compulsory friction in the environment-art pipeline.</w:t>
            </w:r>
          </w:p>
        </w:tc>
      </w:tr>
    </w:tbl>
    <w:p>
      <w:pPr>
        <w:spacing w:after="60" w:before="0" w:line="40" w:lineRule="exact"/>
      </w:pPr>
      <w:r>
        <w:rPr>
          <w:sz w:val="4"/>
        </w:rPr>
      </w:r>
    </w:p>
    <w:p>
      <w:pPr>
        <w:pStyle w:val="Callout"/>
        <w:keepLines/>
        <w:shd w:fill="F0F4F5"/>
        <w:ind w:left="140" w:right="140"/>
      </w:pPr>
      <w:r>
        <w:t>PRACTICAL IMPLICATION  For broad loot content, the scalable unit is likely a data record plus a texture/material variant, not a fresh modelling session. Canonical dimensions should be kept alongside the visual definition so a future Footprint suggestion tool has a reliable starting point.</w:t>
      </w:r>
    </w:p>
    <w:p>
      <w:pPr>
        <w:pStyle w:val="Heading2"/>
        <w:widowControl/>
      </w:pPr>
      <w:r>
        <w:t>2.3 KitBash3D: licensing clarification supersedes the hold</w:t>
      </w:r>
    </w:p>
    <w:p>
      <w:pPr>
        <w:widowControl/>
      </w:pPr>
      <w:r>
        <w:t>Historical position: v0.4 kept KitBash production adoption pending written clarification of post-subscription project use. On 13 September the developer supplied a written support answer addressing that workflow. The correspondence states that work on projects created while subscribed can continue after expiry; release does not require an active subscription; assets included in those projects during the active subscription remain usable there; those Cargo files cannot then be used in other projects.</w:t>
      </w:r>
    </w:p>
    <w:p>
      <w:pPr>
        <w:widowControl/>
      </w:pPr>
      <w:r>
        <w:t>Disposition: the specific pending-clarification blocker is resolved on the basis of the supplied vendor answer. It is not a universal license interpretation and does not establish rights beyond the quoted project/incorporation conditions. Retain the original support correspondence, applicable license, subscription period and asset incorporation/acquisition records.</w:t>
      </w:r>
    </w:p>
    <w:p>
      <w:pPr>
        <w:widowControl/>
      </w:pPr>
      <w:r>
        <w:t>A focused sourcing period is now an available strategy, not a mandated purchase. The developer deferred a new subscription while evaluating already provisioned meshes and a free material sample. Do not turn “downloaded” or “bookmarked” into an assumption of incorporation, or claim a subscription/material acquisition occurred when it was only discussed. [K13]</w:t>
      </w:r>
    </w:p>
    <w:p>
      <w:pPr>
        <w:pStyle w:val="Heading2"/>
        <w:widowControl/>
      </w:pPr>
      <w:r>
        <w:t>2.4 Fab asset sourcing and license-record discipline</w:t>
      </w:r>
    </w:p>
    <w:p>
      <w:pPr>
        <w:widowControl/>
      </w:pPr>
      <w:r>
        <w:t>Fab free and paid packs can materially reduce content-production cost when the acquired listing is available under a usable project license and actual source/Unreal content is accessible. A tested free goods-and-supplies pack was successfully added to the user's Fab library under the Standard License and then added to the Unreal test project through the Epic/UE launcher. This establishes Fab as a practical candidate source for loot families such as cans and packaged food; it does not remove the need to retain per-asset source/license records.</w:t>
      </w:r>
    </w:p>
    <w:p>
      <w:pPr>
        <w:pStyle w:val="ListBullet"/>
        <w:widowControl/>
      </w:pPr>
      <w:r>
        <w:t>Production rule: record listing/source, publisher, acquisition date, and license state for every externally sourced production asset. Do not redistribute source assets independently from the game, and do not treat this report as legal advice or a substitute for current vendor terms.</w:t>
      </w:r>
    </w:p>
    <w:p>
      <w:pPr>
        <w:pStyle w:val="ListBullet"/>
        <w:widowControl/>
      </w:pPr>
      <w:r>
        <w:t>The KitBash-specific hold described in v0.4 is superseded by Section 2.3. Source/license records remain separate from gameplay-facing semantic asset organization. No vendor-specific dependency or entitlement is inferred from a file/folder name.</w:t>
      </w:r>
    </w:p>
    <w:p>
      <w:pPr>
        <w:pStyle w:val="Heading2"/>
        <w:widowControl/>
      </w:pPr>
      <w:r>
        <w:t>2.5 Canonical loot scale and transform normalization</w:t>
      </w:r>
    </w:p>
    <w:p>
      <w:pPr>
        <w:widowControl/>
      </w:pPr>
      <w:r>
        <w:t>A production loot asset should enter Godot at a plausible canonical world size with root scale approximately 1,1,1. Marketplace source scale is not gameplay data. When an imported object is obviously oversized or undersized, normalize it before production use: scale uniformly in Blender to a plausible real-world dimension, apply the scale, then export the normalized GLB.</w:t>
      </w:r>
    </w:p>
    <w:p>
      <w:pPr>
        <w:widowControl/>
      </w:pPr>
      <w:r>
        <w:t>This rule keeps mesh bounds meaningful for Footprint suggestions, held-item presentation, placement ghosts, storage fit, future thumbnail tooling, and any collision/inspection logic. Furniture may intentionally use visual scale variants; ordinary loot should generally not.</w:t>
      </w:r>
    </w:p>
    <w:p>
      <w:pPr>
        <w:pStyle w:val="Heading2"/>
        <w:widowControl/>
      </w:pPr>
      <w:r>
        <w:t>2.6 Skeletal clothing as static loot source</w:t>
      </w:r>
    </w:p>
    <w:p>
      <w:pPr>
        <w:widowControl/>
      </w:pPr>
      <w:r>
        <w:t>Marketplace clothing frequently arrives as Skeletal Meshes intended for humanoid rigs. Runtime skeletal deformation is unnecessary for ordinary Quartermaster loot. The tested authoring route is to repose the source garment into a compact neutral/hanging pose, freeze or convert that pose to a Static Mesh, normalize scale, and export the resulting static asset to Godot.</w:t>
      </w:r>
    </w:p>
    <w:p>
      <w:pPr>
        <w:widowControl/>
      </w:pPr>
      <w:r>
        <w:t>The source skeletal asset remains useful as an authoring source for alternate poses, but the shipped/storage representation can be static. Early tests with jackets, trousers, gloves, boots, protective vests, and similar gear showed that compact recognizable silhouettes are more valuable than realistic cloth simulation. Specialized clothing racks or mannequin-like containers remain possible future storage types, not a requirement for the current prototype.</w:t>
      </w:r>
    </w:p>
    <w:p>
      <w:pPr>
        <w:pStyle w:val="Heading2"/>
        <w:widowControl/>
      </w:pPr>
      <w:r>
        <w:t>2.7 KitBash PBR sample: inspected format, unproven production route</w:t>
      </w:r>
    </w:p>
    <w:p>
      <w:pPr>
        <w:widowControl/>
      </w:pPr>
      <w:r>
        <w:t>The supplied kb3d_americanneighborhoods.zip sample was inspected as source material. It contains 20 material families with 80 PNG maps under Textures/png1k (Base Color, Metallic, Normal and Roughness for each family), 20 Height EXRs under Textures/exr1k, USD material definitions, and Substance .sbs sources with .sbs/.sbsar dependencies. This is the contents of this sample, not a guarantee about every commercial kit.</w:t>
      </w:r>
    </w:p>
    <w:p>
      <w:pPr>
        <w:widowControl/>
      </w:pPr>
      <w:r>
        <w:t>The ready maps support a plausible Blender-scripted structural-kit route without making Substance processing mandatory: author simple metric walls/floors/ceilings/slabs/beams/pillars/openings, set usable pivots/UV scale, build materials, export GLB and inspect the imported Godot result. Sourced shutters, railings, cables, machinery and other irregular geometry remain useful.</w:t>
      </w:r>
    </w:p>
    <w:p>
      <w:pPr>
        <w:widowControl/>
      </w:pPr>
      <w:r>
        <w:t>Evidence limit: no new structural kit was generated from these maps in this session and no end-to-end in-game material result was validated. Map conventions, roughness, normal orientation, texture scale/repetition, optional height handling and export behavior need a focused proof. The 1K sample is enough to explore the route; required production resolution is not decided from filename resolution alone.</w:t>
      </w:r>
    </w:p>
    <w:p>
      <w:pPr>
        <w:widowControl/>
      </w:pPr>
      <w:r>
        <w:t>The layered finish language now required across the bunker makes a coherent material library potentially more important than more prefab geometry. The first shell failure exposed an art-direction/composition problem, not proof that all existing meshes are unusable. Select the source route after a small Foundation-Gate proof rather than treating either existing meshes or generated architecture as automatically sufficient. [M14; V02 §24]</w:t>
      </w:r>
    </w:p>
    <w:p>
      <w:pPr/>
      <w:r>
        <w:t>29 September supersession: this was the pre-EAF evidence state. EAF1–EAF5 subsequently proved the environment material-review, structural-substrate, curated-material, wear, and Receiving architectural-proof pipeline. See §§28–29 for the current result.</w:t>
      </w:r>
    </w:p>
    <w:p>
      <w:pPr>
        <w:pStyle w:val="Heading1"/>
        <w:widowControl/>
      </w:pPr>
      <w:r>
        <w:t>3. Prototype Steps 1-6.3 (historical implementation sequence)</w:t>
      </w:r>
    </w:p>
    <w:p>
      <w:pPr>
        <w:widowControl/>
      </w:pPr>
      <w:r>
        <w:t>The prototype was deliberately built as a sequence of small gates. Each step answered a narrower question before the next system was attached. The status below distinguishes observed conclusions from implementation presence. Historical input/state descriptions below are not new scope commitments. Current controls and the later no-loose-world-item target take precedence where explicitly refined.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440"/>
        <w:gridCol w:w="3226"/>
        <w:gridCol w:w="3427"/>
        <w:gridCol w:w="1771"/>
      </w:tblGrid>
      <w:tr>
        <w:trPr>
          <w:cantSplit/>
          <w:tblHeader/>
        </w:trPr>
        <w:tc>
          <w:tcPr>
            <w:tcW w:type="dxa" w:w="1440"/>
            <w:vAlign w:val="top"/>
            <w:shd w:fill="253842"/>
          </w:tcPr>
          <w:p>
            <w:pPr>
              <w:pStyle w:val="TableText"/>
              <w:keepNext/>
              <w:widowControl/>
            </w:pPr>
            <w:r>
              <w:rPr>
                <w:rFonts w:ascii="Lato" w:hAnsi="Lato"/>
                <w:b/>
                <w:color w:val="FFFFFF"/>
                <w:sz w:val="18"/>
              </w:rPr>
              <w:t>Step</w:t>
            </w:r>
          </w:p>
        </w:tc>
        <w:tc>
          <w:tcPr>
            <w:tcW w:type="dxa" w:w="3226"/>
            <w:vAlign w:val="top"/>
            <w:shd w:fill="253842"/>
          </w:tcPr>
          <w:p>
            <w:pPr>
              <w:pStyle w:val="TableText"/>
              <w:keepNext/>
              <w:widowControl/>
            </w:pPr>
            <w:r>
              <w:rPr>
                <w:rFonts w:ascii="Lato" w:hAnsi="Lato"/>
                <w:b/>
                <w:color w:val="FFFFFF"/>
                <w:sz w:val="18"/>
              </w:rPr>
              <w:t>What was built</w:t>
            </w:r>
          </w:p>
        </w:tc>
        <w:tc>
          <w:tcPr>
            <w:tcW w:type="dxa" w:w="3427"/>
            <w:vAlign w:val="top"/>
            <w:shd w:fill="253842"/>
          </w:tcPr>
          <w:p>
            <w:pPr>
              <w:pStyle w:val="TableText"/>
              <w:keepNext/>
              <w:widowControl/>
            </w:pPr>
            <w:r>
              <w:rPr>
                <w:rFonts w:ascii="Lato" w:hAnsi="Lato"/>
                <w:b/>
                <w:color w:val="FFFFFF"/>
                <w:sz w:val="18"/>
              </w:rPr>
              <w:t>What the result established</w:t>
            </w:r>
          </w:p>
        </w:tc>
        <w:tc>
          <w:tcPr>
            <w:tcW w:type="dxa" w:w="1771"/>
            <w:vAlign w:val="top"/>
            <w:shd w:fill="253842"/>
          </w:tcPr>
          <w:p>
            <w:pPr>
              <w:pStyle w:val="TableText"/>
              <w:keepNext/>
              <w:widowControl/>
            </w:pPr>
            <w:r>
              <w:rPr>
                <w:rFonts w:ascii="Lato" w:hAnsi="Lato"/>
                <w:b/>
                <w:color w:val="FFFFFF"/>
                <w:sz w:val="18"/>
              </w:rPr>
              <w:t>Status</w:t>
            </w:r>
          </w:p>
        </w:tc>
      </w:tr>
      <w:tr>
        <w:trPr>
          <w:cantSplit/>
        </w:trPr>
        <w:tc>
          <w:tcPr>
            <w:tcW w:type="dxa" w:w="1440"/>
            <w:vAlign w:val="top"/>
          </w:tcPr>
          <w:p>
            <w:pPr>
              <w:pStyle w:val="TableText"/>
              <w:keepNext w:val="0"/>
              <w:widowControl/>
            </w:pPr>
            <w:r>
              <w:rPr>
                <w:rFonts w:ascii="Lato" w:hAnsi="Lato"/>
                <w:b/>
                <w:color w:val="25323A"/>
                <w:sz w:val="18"/>
              </w:rPr>
              <w:t>1. Physical room and prop test</w:t>
            </w:r>
          </w:p>
        </w:tc>
        <w:tc>
          <w:tcPr>
            <w:tcW w:type="dxa" w:w="3226"/>
            <w:vAlign w:val="top"/>
          </w:tcPr>
          <w:p>
            <w:pPr>
              <w:pStyle w:val="TableText"/>
              <w:keepNext w:val="0"/>
              <w:widowControl/>
            </w:pPr>
            <w:r>
              <w:rPr>
                <w:rFonts w:ascii="Lato" w:hAnsi="Lato"/>
                <w:b w:val="0"/>
                <w:color w:val="25323A"/>
                <w:sz w:val="18"/>
              </w:rPr>
              <w:t>Human-scale CharacterBody3D controller; coarse runtime collision for floor, walls, shelves, lockers, crates, barrels, and major props. Blender loot imported beside environment assets.</w:t>
            </w:r>
          </w:p>
        </w:tc>
        <w:tc>
          <w:tcPr>
            <w:tcW w:type="dxa" w:w="3427"/>
            <w:vAlign w:val="top"/>
          </w:tcPr>
          <w:p>
            <w:pPr>
              <w:pStyle w:val="TableText"/>
              <w:keepNext w:val="0"/>
              <w:widowControl/>
            </w:pPr>
            <w:r>
              <w:rPr>
                <w:rFonts w:ascii="Lato" w:hAnsi="Lato"/>
                <w:b w:val="0"/>
                <w:color w:val="25323A"/>
                <w:sz w:val="18"/>
              </w:rPr>
              <w:t>First-person scale felt credible; simplified collision felt natural; environment and simple loot can coexist. The room can use separate visual, collision, and storage representations.</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2. Carried-items representation</w:t>
            </w:r>
          </w:p>
        </w:tc>
        <w:tc>
          <w:tcPr>
            <w:tcW w:type="dxa" w:w="3226"/>
            <w:vAlign w:val="top"/>
            <w:shd w:fill="F6F8F9"/>
          </w:tcPr>
          <w:p>
            <w:pPr>
              <w:pStyle w:val="TableText"/>
              <w:keepNext w:val="0"/>
              <w:widowControl/>
            </w:pPr>
            <w:r>
              <w:rPr>
                <w:rFonts w:ascii="Lato" w:hAnsi="Lato"/>
                <w:b w:val="0"/>
                <w:color w:val="25323A"/>
                <w:sz w:val="18"/>
              </w:rPr>
              <w:t>ItemDefinition, ItemInstance, Bulk-limited carried queue, selection controls, and bottom HUD strip. Initial debug set totalled 9/10 Bulk.</w:t>
            </w:r>
          </w:p>
        </w:tc>
        <w:tc>
          <w:tcPr>
            <w:tcW w:type="dxa" w:w="3427"/>
            <w:vAlign w:val="top"/>
            <w:shd w:fill="F6F8F9"/>
          </w:tcPr>
          <w:p>
            <w:pPr>
              <w:pStyle w:val="TableText"/>
              <w:keepNext w:val="0"/>
              <w:widowControl/>
            </w:pPr>
            <w:r>
              <w:rPr>
                <w:rFonts w:ascii="Lato" w:hAnsi="Lato"/>
                <w:b w:val="0"/>
                <w:color w:val="25323A"/>
                <w:sz w:val="18"/>
              </w:rPr>
              <w:t>A carried bundle can be legible without becoming a conventional abstract inventory. Bulk is practical for throughput and selection.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2B. Visual identity experiment</w:t>
            </w:r>
          </w:p>
        </w:tc>
        <w:tc>
          <w:tcPr>
            <w:tcW w:type="dxa" w:w="3226"/>
            <w:vAlign w:val="top"/>
          </w:tcPr>
          <w:p>
            <w:pPr>
              <w:pStyle w:val="TableText"/>
              <w:keepNext w:val="0"/>
              <w:widowControl/>
            </w:pPr>
            <w:r>
              <w:rPr>
                <w:rFonts w:ascii="Lato" w:hAnsi="Lato"/>
                <w:b w:val="0"/>
                <w:color w:val="25323A"/>
                <w:sz w:val="18"/>
              </w:rPr>
              <w:t>Live 3D HUD previews with bounds framing, orientation heuristics, per-item rotation/zoom data, and tuning hooks.</w:t>
            </w:r>
          </w:p>
        </w:tc>
        <w:tc>
          <w:tcPr>
            <w:tcW w:type="dxa" w:w="3427"/>
            <w:vAlign w:val="top"/>
          </w:tcPr>
          <w:p>
            <w:pPr>
              <w:pStyle w:val="TableText"/>
              <w:keepNext w:val="0"/>
              <w:widowControl/>
            </w:pPr>
            <w:r>
              <w:rPr>
                <w:rFonts w:ascii="Lato" w:hAnsi="Lato"/>
                <w:b w:val="0"/>
                <w:color w:val="25323A"/>
                <w:sz w:val="18"/>
              </w:rPr>
              <w:t>Arbitrary assets need presentation metadata. Visual clarity was acceptable for uniform shapes, but the runtime preview architecture failed for lighting isolation.</w:t>
            </w:r>
          </w:p>
        </w:tc>
        <w:tc>
          <w:tcPr>
            <w:tcW w:type="dxa" w:w="1771"/>
            <w:vAlign w:val="top"/>
          </w:tcPr>
          <w:p>
            <w:pPr>
              <w:pStyle w:val="TableText"/>
              <w:keepNext w:val="0"/>
              <w:widowControl/>
            </w:pPr>
            <w:r>
              <w:rPr>
                <w:rFonts w:ascii="Lato" w:hAnsi="Lato"/>
                <w:b w:val="0"/>
                <w:color w:val="25323A"/>
                <w:sz w:val="18"/>
              </w:rPr>
              <w:t>Partially superseded</w:t>
            </w:r>
          </w:p>
        </w:tc>
      </w:tr>
      <w:tr>
        <w:trPr>
          <w:cantSplit/>
        </w:trPr>
        <w:tc>
          <w:tcPr>
            <w:tcW w:type="dxa" w:w="1440"/>
            <w:vAlign w:val="top"/>
            <w:shd w:fill="F6F8F9"/>
          </w:tcPr>
          <w:p>
            <w:pPr>
              <w:pStyle w:val="TableText"/>
              <w:keepNext w:val="0"/>
              <w:widowControl/>
            </w:pPr>
            <w:r>
              <w:rPr>
                <w:rFonts w:ascii="Lato" w:hAnsi="Lato"/>
                <w:b/>
                <w:color w:val="25323A"/>
                <w:sz w:val="18"/>
              </w:rPr>
              <w:t>3. World loot and pickup</w:t>
            </w:r>
          </w:p>
        </w:tc>
        <w:tc>
          <w:tcPr>
            <w:tcW w:type="dxa" w:w="3226"/>
            <w:vAlign w:val="top"/>
            <w:shd w:fill="F6F8F9"/>
          </w:tcPr>
          <w:p>
            <w:pPr>
              <w:pStyle w:val="TableText"/>
              <w:keepNext w:val="0"/>
              <w:widowControl/>
            </w:pPr>
            <w:r>
              <w:rPr>
                <w:rFonts w:ascii="Lato" w:hAnsi="Lato"/>
                <w:b w:val="0"/>
                <w:color w:val="25323A"/>
                <w:sz w:val="18"/>
              </w:rPr>
              <w:t>Aim dot, contextual item data, E/left-click pickup, carried-slot filling, selected held model, dedicated loot interaction layer, and provisional item catalogue.</w:t>
            </w:r>
          </w:p>
        </w:tc>
        <w:tc>
          <w:tcPr>
            <w:tcW w:type="dxa" w:w="3427"/>
            <w:vAlign w:val="top"/>
            <w:shd w:fill="F6F8F9"/>
          </w:tcPr>
          <w:p>
            <w:pPr>
              <w:pStyle w:val="TableText"/>
              <w:keepNext w:val="0"/>
              <w:widowControl/>
            </w:pPr>
            <w:r>
              <w:rPr>
                <w:rFonts w:ascii="Lato" w:hAnsi="Lato"/>
                <w:b w:val="0"/>
                <w:color w:val="25323A"/>
                <w:sz w:val="18"/>
              </w:rPr>
              <w:t>Only designated loot needs to be pickupable; carried selection and world removal feel responsive. Shelf contents can be targeted independently of coarse movement collision.</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4. Deterministic storage surface</w:t>
            </w:r>
          </w:p>
        </w:tc>
        <w:tc>
          <w:tcPr>
            <w:tcW w:type="dxa" w:w="3226"/>
            <w:vAlign w:val="top"/>
          </w:tcPr>
          <w:p>
            <w:pPr>
              <w:pStyle w:val="TableText"/>
              <w:keepNext w:val="0"/>
              <w:widowControl/>
            </w:pPr>
            <w:r>
              <w:rPr>
                <w:rFonts w:ascii="Lato" w:hAnsi="Lato"/>
                <w:b w:val="0"/>
                <w:color w:val="25323A"/>
                <w:sz w:val="18"/>
              </w:rPr>
              <w:t>StorageSurface grid, per-level profiles, reservations by item ID, footprint rotation, release, debug visualization, and distinct shelf interaction areas.</w:t>
            </w:r>
          </w:p>
        </w:tc>
        <w:tc>
          <w:tcPr>
            <w:tcW w:type="dxa" w:w="3427"/>
            <w:vAlign w:val="top"/>
          </w:tcPr>
          <w:p>
            <w:pPr>
              <w:pStyle w:val="TableText"/>
              <w:keepNext w:val="0"/>
              <w:widowControl/>
            </w:pPr>
            <w:r>
              <w:rPr>
                <w:rFonts w:ascii="Lato" w:hAnsi="Lato"/>
                <w:b w:val="0"/>
                <w:color w:val="25323A"/>
                <w:sz w:val="18"/>
              </w:rPr>
              <w:t>A shelf can be an authored deterministic data surface rather than physics. Scale-aware capacity and per-level profiling avoid treating a shelf as one AABB.</w:t>
            </w:r>
          </w:p>
        </w:tc>
        <w:tc>
          <w:tcPr>
            <w:tcW w:type="dxa" w:w="1771"/>
            <w:vAlign w:val="top"/>
          </w:tcPr>
          <w:p>
            <w:pPr>
              <w:pStyle w:val="TableText"/>
              <w:keepNext w:val="0"/>
              <w:widowControl/>
            </w:pPr>
            <w:r>
              <w:rPr>
                <w:rFonts w:ascii="Lato" w:hAnsi="Lato"/>
                <w:b w:val="0"/>
                <w:color w:val="25323A"/>
                <w:sz w:val="18"/>
              </w:rPr>
              <w:t>Implemented / validated in debug</w:t>
            </w:r>
          </w:p>
        </w:tc>
      </w:tr>
      <w:tr>
        <w:trPr>
          <w:cantSplit/>
        </w:trPr>
        <w:tc>
          <w:tcPr>
            <w:tcW w:type="dxa" w:w="1440"/>
            <w:vAlign w:val="top"/>
            <w:shd w:fill="F6F8F9"/>
          </w:tcPr>
          <w:p>
            <w:pPr>
              <w:pStyle w:val="TableText"/>
              <w:keepNext w:val="0"/>
              <w:widowControl/>
            </w:pPr>
            <w:r>
              <w:rPr>
                <w:rFonts w:ascii="Lato" w:hAnsi="Lato"/>
                <w:b/>
                <w:color w:val="25323A"/>
                <w:sz w:val="18"/>
              </w:rPr>
              <w:t>5. Full placement loop</w:t>
            </w:r>
          </w:p>
        </w:tc>
        <w:tc>
          <w:tcPr>
            <w:tcW w:type="dxa" w:w="3226"/>
            <w:vAlign w:val="top"/>
            <w:shd w:fill="F6F8F9"/>
          </w:tcPr>
          <w:p>
            <w:pPr>
              <w:pStyle w:val="TableText"/>
              <w:keepNext w:val="0"/>
              <w:widowControl/>
            </w:pPr>
            <w:r>
              <w:rPr>
                <w:rFonts w:ascii="Lato" w:hAnsi="Lato"/>
                <w:b w:val="0"/>
                <w:color w:val="25323A"/>
                <w:sz w:val="18"/>
              </w:rPr>
              <w:t>World loot -&gt; pickup -&gt; carried strip -&gt; selected model -&gt; placement ghost -&gt; exact reservation -&gt; stored world item -&gt; pickup/release.</w:t>
            </w:r>
          </w:p>
        </w:tc>
        <w:tc>
          <w:tcPr>
            <w:tcW w:type="dxa" w:w="3427"/>
            <w:vAlign w:val="top"/>
            <w:shd w:fill="F6F8F9"/>
          </w:tcPr>
          <w:p>
            <w:pPr>
              <w:pStyle w:val="TableText"/>
              <w:keepNext w:val="0"/>
              <w:widowControl/>
            </w:pPr>
            <w:r>
              <w:rPr>
                <w:rFonts w:ascii="Lato" w:hAnsi="Lato"/>
                <w:b w:val="0"/>
                <w:color w:val="25323A"/>
                <w:sz w:val="18"/>
              </w:rPr>
              <w:t>The core no-rigidbody loop works and visually reads as objects arranged on a shelf. This is the most important confirmation so far.</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5A. Interaction and storage refinements</w:t>
            </w:r>
          </w:p>
        </w:tc>
        <w:tc>
          <w:tcPr>
            <w:tcW w:type="dxa" w:w="3226"/>
            <w:vAlign w:val="top"/>
          </w:tcPr>
          <w:p>
            <w:pPr>
              <w:pStyle w:val="TableText"/>
              <w:keepNext w:val="0"/>
              <w:widowControl/>
            </w:pPr>
            <w:r>
              <w:rPr>
                <w:rFonts w:ascii="Lato" w:hAnsi="Lato"/>
                <w:b w:val="0"/>
                <w:color w:val="25323A"/>
                <w:sz w:val="18"/>
              </w:rPr>
              <w:t>Separated pickup/retrieval from storage; stored-item reach uses storage interaction distance; actual placement ghost restored; shelf visual scale isolated from StorageSurface/placed items; manual placement retained as explicit precision mode.</w:t>
            </w:r>
          </w:p>
        </w:tc>
        <w:tc>
          <w:tcPr>
            <w:tcW w:type="dxa" w:w="3427"/>
            <w:vAlign w:val="top"/>
          </w:tcPr>
          <w:p>
            <w:pPr>
              <w:pStyle w:val="TableText"/>
              <w:keepNext w:val="0"/>
              <w:widowControl/>
            </w:pPr>
            <w:r>
              <w:rPr>
                <w:rFonts w:ascii="Lato" w:hAnsi="Lato"/>
                <w:b w:val="0"/>
                <w:color w:val="25323A"/>
                <w:sz w:val="18"/>
              </w:rPr>
              <w:t>Visual shelf variants can be scaled without distorting loot. LMB and E now support distinct muscle memory. Manual placement works, but precision targeting is slower than policy-driven storage.</w:t>
            </w:r>
          </w:p>
        </w:tc>
        <w:tc>
          <w:tcPr>
            <w:tcW w:type="dxa" w:w="1771"/>
            <w:vAlign w:val="top"/>
          </w:tcPr>
          <w:p>
            <w:pPr>
              <w:pStyle w:val="TableText"/>
              <w:keepNext w:val="0"/>
              <w:widowControl/>
            </w:pPr>
            <w:r>
              <w:rPr>
                <w:rFonts w:ascii="Lato" w:hAnsi="Lato"/>
                <w:b w:val="0"/>
                <w:color w:val="25323A"/>
                <w:sz w:val="18"/>
              </w:rPr>
              <w:t>Validated</w:t>
            </w:r>
          </w:p>
        </w:tc>
      </w:tr>
      <w:tr>
        <w:trPr>
          <w:cantSplit/>
        </w:trPr>
        <w:tc>
          <w:tcPr>
            <w:tcW w:type="dxa" w:w="1440"/>
            <w:vAlign w:val="top"/>
            <w:shd w:fill="F6F8F9"/>
          </w:tcPr>
          <w:p>
            <w:pPr>
              <w:pStyle w:val="TableText"/>
              <w:keepNext w:val="0"/>
              <w:widowControl/>
            </w:pPr>
            <w:r>
              <w:rPr>
                <w:rFonts w:ascii="Lato" w:hAnsi="Lato"/>
                <w:b/>
                <w:color w:val="25323A"/>
                <w:sz w:val="18"/>
              </w:rPr>
              <w:t>6.1-6.2 Storage-zone authoring</w:t>
            </w:r>
          </w:p>
        </w:tc>
        <w:tc>
          <w:tcPr>
            <w:tcW w:type="dxa" w:w="3226"/>
            <w:vAlign w:val="top"/>
            <w:shd w:fill="F6F8F9"/>
          </w:tcPr>
          <w:p>
            <w:pPr>
              <w:pStyle w:val="TableText"/>
              <w:keepNext w:val="0"/>
              <w:widowControl/>
            </w:pPr>
            <w:r>
              <w:rPr>
                <w:rFonts w:ascii="Lato" w:hAnsi="Lato"/>
                <w:b w:val="0"/>
                <w:color w:val="25323A"/>
                <w:sz w:val="18"/>
              </w:rPr>
              <w:t>Paused flat 2D editor for one StorageSurface at a time; hidden-cell rectangular painting; General/Food/Hydration/Medical/Weapons/Protection/Fuel/Morale/Electronics categories; erase/clear; percentage feedback; allocation summary; first-use General 100%; editable surface name.</w:t>
            </w:r>
          </w:p>
        </w:tc>
        <w:tc>
          <w:tcPr>
            <w:tcW w:type="dxa" w:w="3427"/>
            <w:vAlign w:val="top"/>
            <w:shd w:fill="F6F8F9"/>
          </w:tcPr>
          <w:p>
            <w:pPr>
              <w:pStyle w:val="TableText"/>
              <w:keepNext w:val="0"/>
              <w:widowControl/>
            </w:pPr>
            <w:r>
              <w:rPr>
                <w:rFonts w:ascii="Lato" w:hAnsi="Lato"/>
                <w:b w:val="0"/>
                <w:color w:val="25323A"/>
                <w:sz w:val="18"/>
              </w:rPr>
              <w:t>The player can author storage policy quickly without drawing directly on 3D shelf geometry. Rectangular zone editing is easy to understand, fast, and readable.</w:t>
            </w:r>
          </w:p>
        </w:tc>
        <w:tc>
          <w:tcPr>
            <w:tcW w:type="dxa" w:w="1771"/>
            <w:vAlign w:val="top"/>
            <w:shd w:fill="F6F8F9"/>
          </w:tcPr>
          <w:p>
            <w:pPr>
              <w:pStyle w:val="TableText"/>
              <w:keepNext w:val="0"/>
              <w:widowControl/>
            </w:pPr>
            <w:r>
              <w:rPr>
                <w:rFonts w:ascii="Lato" w:hAnsi="Lato"/>
                <w:b w:val="0"/>
                <w:color w:val="25323A"/>
                <w:sz w:val="18"/>
              </w:rPr>
              <w:t>Validated</w:t>
            </w:r>
          </w:p>
        </w:tc>
      </w:tr>
      <w:tr>
        <w:trPr>
          <w:cantSplit/>
        </w:trPr>
        <w:tc>
          <w:tcPr>
            <w:tcW w:type="dxa" w:w="1440"/>
            <w:vAlign w:val="top"/>
          </w:tcPr>
          <w:p>
            <w:pPr>
              <w:pStyle w:val="TableText"/>
              <w:keepNext w:val="0"/>
              <w:widowControl/>
            </w:pPr>
            <w:r>
              <w:rPr>
                <w:rFonts w:ascii="Lato" w:hAnsi="Lato"/>
                <w:b/>
                <w:color w:val="25323A"/>
                <w:sz w:val="18"/>
              </w:rPr>
              <w:t>6.3 Zone-aware auto-store</w:t>
            </w:r>
          </w:p>
        </w:tc>
        <w:tc>
          <w:tcPr>
            <w:tcW w:type="dxa" w:w="3226"/>
            <w:vAlign w:val="top"/>
          </w:tcPr>
          <w:p>
            <w:pPr>
              <w:pStyle w:val="TableText"/>
              <w:keepNext w:val="0"/>
              <w:widowControl/>
            </w:pPr>
            <w:r>
              <w:rPr>
                <w:rFonts w:ascii="Lato" w:hAnsi="Lato"/>
                <w:b w:val="0"/>
                <w:color w:val="25323A"/>
                <w:sz w:val="18"/>
              </w:rPr>
              <w:t>Primary Storage Category on ItemDefinition; E auto-stores into matching zone, then General. At the v0.2 checkpoint unassigned cells were also a fallback; later stabilization redefined blank/erased cells as disabled storage. M toggles manual placement; hold E repeats auto-store after a short delay.</w:t>
            </w:r>
          </w:p>
        </w:tc>
        <w:tc>
          <w:tcPr>
            <w:tcW w:type="dxa" w:w="3427"/>
            <w:vAlign w:val="top"/>
          </w:tcPr>
          <w:p>
            <w:pPr>
              <w:pStyle w:val="TableText"/>
              <w:keepNext w:val="0"/>
              <w:widowControl/>
            </w:pPr>
            <w:r>
              <w:rPr>
                <w:rFonts w:ascii="Lato" w:hAnsi="Lato"/>
                <w:b w:val="0"/>
                <w:color w:val="25323A"/>
                <w:sz w:val="18"/>
              </w:rPr>
              <w:t>Auto-placement remains decisively faster than manual sorting, especially with mixed bundles and dense shelves. The placement-policy result remains validated; the old unassigned-cell fallback is superseded.</w:t>
            </w:r>
          </w:p>
        </w:tc>
        <w:tc>
          <w:tcPr>
            <w:tcW w:type="dxa" w:w="1771"/>
            <w:vAlign w:val="top"/>
          </w:tcPr>
          <w:p>
            <w:pPr>
              <w:pStyle w:val="TableText"/>
              <w:keepNext w:val="0"/>
              <w:widowControl/>
            </w:pPr>
            <w:r>
              <w:rPr>
                <w:rFonts w:ascii="Lato" w:hAnsi="Lato"/>
                <w:b w:val="0"/>
                <w:color w:val="25323A"/>
                <w:sz w:val="18"/>
              </w:rPr>
              <w:t>Validated; fallback superseded</w:t>
            </w:r>
          </w:p>
        </w:tc>
      </w:tr>
    </w:tbl>
    <w:p>
      <w:pPr>
        <w:spacing w:after="60" w:before="0" w:line="40" w:lineRule="exact"/>
      </w:pPr>
      <w:r>
        <w:rPr>
          <w:sz w:val="4"/>
        </w:rPr>
      </w:r>
    </w:p>
    <w:p>
      <w:pPr>
        <w:pStyle w:val="Heading2"/>
        <w:widowControl/>
      </w:pPr>
      <w:r>
        <w:t>Controls and current interaction grammar</w:t>
      </w:r>
    </w:p>
    <w:p>
      <w:pPr>
        <w:pStyle w:val="ListBullet"/>
        <w:widowControl/>
      </w:pPr>
      <w:r>
        <w:t>Left Mouse Button: select / pick up / retrieve the loot item under the reticle. E: store / place / eventually submit the currently selected carried item.</w:t>
      </w:r>
    </w:p>
    <w:p>
      <w:pPr>
        <w:pStyle w:val="ListBullet"/>
        <w:widowControl/>
      </w:pPr>
      <w:r>
        <w:t>Mouse wheel or number keys: select a carried item. Hold E in zone-auto mode for repeated storage. M toggles manual placement. R rotates only in manual mode. O opens/reopens zoning. In the continuing wing, F6 developer grids are retained and default off; F7 is suppressed. Historical fixtures retain only their recorded debug behavior.</w:t>
      </w:r>
    </w:p>
    <w:p>
      <w:pPr>
        <w:pStyle w:val="ListBullet"/>
        <w:widowControl/>
      </w:pPr>
      <w:r>
        <w:t>The former dual-purpose interaction was rejected after playtesting. Left-hand keyboard input now expresses PUT/SUBMIT while right-hand mouse input expresses TAKE/SELECT, reducing accidental place-then-pick-up reversals.</w:t>
      </w:r>
    </w:p>
    <w:p>
      <w:pPr>
        <w:pStyle w:val="Heading1"/>
        <w:widowControl/>
      </w:pPr>
      <w:r>
        <w:t>4. Failures, bugs, and fixes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Issue</w:t>
            </w:r>
          </w:p>
        </w:tc>
        <w:tc>
          <w:tcPr>
            <w:tcW w:type="dxa" w:w="3816"/>
            <w:vAlign w:val="top"/>
            <w:shd w:fill="253842"/>
          </w:tcPr>
          <w:p>
            <w:pPr>
              <w:pStyle w:val="TableText"/>
              <w:keepNext/>
              <w:widowControl/>
            </w:pPr>
            <w:r>
              <w:rPr>
                <w:rFonts w:ascii="Lato" w:hAnsi="Lato"/>
                <w:b/>
                <w:color w:val="FFFFFF"/>
                <w:sz w:val="18"/>
              </w:rPr>
              <w:t>Observed behavior</w:t>
            </w:r>
          </w:p>
        </w:tc>
        <w:tc>
          <w:tcPr>
            <w:tcW w:type="dxa" w:w="3701"/>
            <w:vAlign w:val="top"/>
            <w:shd w:fill="253842"/>
          </w:tcPr>
          <w:p>
            <w:pPr>
              <w:pStyle w:val="TableText"/>
              <w:keepNext/>
              <w:widowControl/>
            </w:pPr>
            <w:r>
              <w:rPr>
                <w:rFonts w:ascii="Lato" w:hAnsi="Lato"/>
                <w:b/>
                <w:color w:val="FFFFFF"/>
                <w:sz w:val="18"/>
              </w:rPr>
              <w:t>Resolution / lesson</w:t>
            </w:r>
          </w:p>
        </w:tc>
      </w:tr>
      <w:tr>
        <w:trPr>
          <w:cantSplit/>
        </w:trPr>
        <w:tc>
          <w:tcPr>
            <w:tcW w:type="dxa" w:w="2347"/>
            <w:vAlign w:val="top"/>
          </w:tcPr>
          <w:p>
            <w:pPr>
              <w:pStyle w:val="TableText"/>
              <w:keepNext w:val="0"/>
              <w:widowControl/>
            </w:pPr>
            <w:r>
              <w:rPr>
                <w:rFonts w:ascii="Lato" w:hAnsi="Lato"/>
                <w:b/>
                <w:color w:val="25323A"/>
                <w:sz w:val="18"/>
              </w:rPr>
              <w:t>Runtime SubViewport lighting</w:t>
            </w:r>
          </w:p>
        </w:tc>
        <w:tc>
          <w:tcPr>
            <w:tcW w:type="dxa" w:w="3816"/>
            <w:vAlign w:val="top"/>
          </w:tcPr>
          <w:p>
            <w:pPr>
              <w:pStyle w:val="TableText"/>
              <w:keepNext w:val="0"/>
              <w:widowControl/>
            </w:pPr>
            <w:r>
              <w:rPr>
                <w:rFonts w:ascii="Lato" w:hAnsi="Lato"/>
                <w:b w:val="0"/>
                <w:color w:val="25323A"/>
                <w:sz w:val="18"/>
              </w:rPr>
              <w:t>Picking up the first item visibly brightened the room. Isolation showed both live HUD previews and held-item previews contributed; the HUD effect was stronger.</w:t>
            </w:r>
          </w:p>
        </w:tc>
        <w:tc>
          <w:tcPr>
            <w:tcW w:type="dxa" w:w="3701"/>
            <w:vAlign w:val="top"/>
          </w:tcPr>
          <w:p>
            <w:pPr>
              <w:pStyle w:val="TableText"/>
              <w:keepNext w:val="0"/>
              <w:widowControl/>
            </w:pPr>
            <w:r>
              <w:rPr>
                <w:rFonts w:ascii="Lato" w:hAnsi="Lato"/>
                <w:b w:val="0"/>
                <w:color w:val="25323A"/>
                <w:sz w:val="18"/>
              </w:rPr>
              <w:t>Reject the prototype implementation, not the technology categorically. The current game uses a camera-attached real mesh and temporary HUD presentation. A future release-quality pass may reconsider a fresh, rigorously isolated SubViewport approach alongside cached/offline thumbnails and authored held transforms.</w:t>
            </w:r>
          </w:p>
        </w:tc>
      </w:tr>
      <w:tr>
        <w:trPr>
          <w:cantSplit/>
        </w:trPr>
        <w:tc>
          <w:tcPr>
            <w:tcW w:type="dxa" w:w="2347"/>
            <w:vAlign w:val="top"/>
            <w:shd w:fill="F6F8F9"/>
          </w:tcPr>
          <w:p>
            <w:pPr>
              <w:pStyle w:val="TableText"/>
              <w:keepNext w:val="0"/>
              <w:widowControl/>
            </w:pPr>
            <w:r>
              <w:rPr>
                <w:rFonts w:ascii="Lato" w:hAnsi="Lato"/>
                <w:b/>
                <w:color w:val="25323A"/>
                <w:sz w:val="18"/>
              </w:rPr>
              <w:t>Held-item clipping / overlap</w:t>
            </w:r>
          </w:p>
        </w:tc>
        <w:tc>
          <w:tcPr>
            <w:tcW w:type="dxa" w:w="3816"/>
            <w:vAlign w:val="top"/>
            <w:shd w:fill="F6F8F9"/>
          </w:tcPr>
          <w:p>
            <w:pPr>
              <w:pStyle w:val="TableText"/>
              <w:keepNext w:val="0"/>
              <w:widowControl/>
            </w:pPr>
            <w:r>
              <w:rPr>
                <w:rFonts w:ascii="Lato" w:hAnsi="Lato"/>
                <w:b w:val="0"/>
                <w:color w:val="25323A"/>
                <w:sz w:val="18"/>
              </w:rPr>
              <w:t>Early viewmodel variants clipped and the held object could be obstructed by a growing HUD strip.</w:t>
            </w:r>
          </w:p>
        </w:tc>
        <w:tc>
          <w:tcPr>
            <w:tcW w:type="dxa" w:w="3701"/>
            <w:vAlign w:val="top"/>
            <w:shd w:fill="F6F8F9"/>
          </w:tcPr>
          <w:p>
            <w:pPr>
              <w:pStyle w:val="TableText"/>
              <w:keepNext w:val="0"/>
              <w:widowControl/>
            </w:pPr>
            <w:r>
              <w:rPr>
                <w:rFonts w:ascii="Lato" w:hAnsi="Lato"/>
                <w:b w:val="0"/>
                <w:color w:val="25323A"/>
                <w:sz w:val="18"/>
              </w:rPr>
              <w:t>The final prototype uses a camera-attached visual with constrained screen layering. Per-item transform tuning remains a content task.</w:t>
            </w:r>
          </w:p>
        </w:tc>
      </w:tr>
      <w:tr>
        <w:trPr>
          <w:cantSplit/>
        </w:trPr>
        <w:tc>
          <w:tcPr>
            <w:tcW w:type="dxa" w:w="2347"/>
            <w:vAlign w:val="top"/>
          </w:tcPr>
          <w:p>
            <w:pPr>
              <w:pStyle w:val="TableText"/>
              <w:keepNext w:val="0"/>
              <w:widowControl/>
            </w:pPr>
            <w:r>
              <w:rPr>
                <w:rFonts w:ascii="Lato" w:hAnsi="Lato"/>
                <w:b/>
                <w:color w:val="25323A"/>
                <w:sz w:val="18"/>
              </w:rPr>
              <w:t>Shelf contents blocked by furniture collision</w:t>
            </w:r>
          </w:p>
        </w:tc>
        <w:tc>
          <w:tcPr>
            <w:tcW w:type="dxa" w:w="3816"/>
            <w:vAlign w:val="top"/>
          </w:tcPr>
          <w:p>
            <w:pPr>
              <w:pStyle w:val="TableText"/>
              <w:keepNext w:val="0"/>
              <w:widowControl/>
            </w:pPr>
            <w:r>
              <w:rPr>
                <w:rFonts w:ascii="Lato" w:hAnsi="Lato"/>
                <w:b w:val="0"/>
                <w:color w:val="25323A"/>
                <w:sz w:val="18"/>
              </w:rPr>
              <w:t>The pickup ray hit the shelf’s coarse movement collider before the stored item, making shelf loot unselectable.</w:t>
            </w:r>
          </w:p>
        </w:tc>
        <w:tc>
          <w:tcPr>
            <w:tcW w:type="dxa" w:w="3701"/>
            <w:vAlign w:val="top"/>
          </w:tcPr>
          <w:p>
            <w:pPr>
              <w:pStyle w:val="TableText"/>
              <w:keepNext w:val="0"/>
              <w:widowControl/>
            </w:pPr>
            <w:r>
              <w:rPr>
                <w:rFonts w:ascii="Lato" w:hAnsi="Lato"/>
                <w:b w:val="0"/>
                <w:color w:val="25323A"/>
                <w:sz w:val="18"/>
              </w:rPr>
              <w:t>Separate movement collision from dedicated loot-interaction collision. This validates visual mesh, coarse player collider, and storage/interactions as distinct layers.</w:t>
            </w:r>
          </w:p>
        </w:tc>
      </w:tr>
      <w:tr>
        <w:trPr>
          <w:cantSplit/>
        </w:trPr>
        <w:tc>
          <w:tcPr>
            <w:tcW w:type="dxa" w:w="2347"/>
            <w:vAlign w:val="top"/>
            <w:shd w:fill="F6F8F9"/>
          </w:tcPr>
          <w:p>
            <w:pPr>
              <w:pStyle w:val="TableText"/>
              <w:keepNext w:val="0"/>
              <w:widowControl/>
            </w:pPr>
            <w:r>
              <w:rPr>
                <w:rFonts w:ascii="Lato" w:hAnsi="Lato"/>
                <w:b/>
                <w:color w:val="25323A"/>
                <w:sz w:val="18"/>
              </w:rPr>
              <w:t>Storage grids misaligned</w:t>
            </w:r>
          </w:p>
        </w:tc>
        <w:tc>
          <w:tcPr>
            <w:tcW w:type="dxa" w:w="3816"/>
            <w:vAlign w:val="top"/>
            <w:shd w:fill="F6F8F9"/>
          </w:tcPr>
          <w:p>
            <w:pPr>
              <w:pStyle w:val="TableText"/>
              <w:keepNext w:val="0"/>
              <w:widowControl/>
            </w:pPr>
            <w:r>
              <w:rPr>
                <w:rFonts w:ascii="Lato" w:hAnsi="Lato"/>
                <w:b w:val="0"/>
                <w:color w:val="25323A"/>
                <w:sz w:val="18"/>
              </w:rPr>
              <w:t>Unit-wide AABB profiling left unused width, floated grids off surfaces, and misrepresented locker depth.</w:t>
            </w:r>
          </w:p>
        </w:tc>
        <w:tc>
          <w:tcPr>
            <w:tcW w:type="dxa" w:w="3701"/>
            <w:vAlign w:val="top"/>
            <w:shd w:fill="F6F8F9"/>
          </w:tcPr>
          <w:p>
            <w:pPr>
              <w:pStyle w:val="TableText"/>
              <w:keepNext w:val="0"/>
              <w:widowControl/>
            </w:pPr>
            <w:r>
              <w:rPr>
                <w:rFonts w:ascii="Lato" w:hAnsi="Lato"/>
                <w:b w:val="0"/>
                <w:color w:val="25323A"/>
                <w:sz w:val="18"/>
              </w:rPr>
              <w:t>Profile each shelf level independently: width, depth, height, and front/back offset. Subsequent alignment is content tuning, not system surgery.</w:t>
            </w:r>
          </w:p>
        </w:tc>
      </w:tr>
      <w:tr>
        <w:trPr>
          <w:cantSplit/>
        </w:trPr>
        <w:tc>
          <w:tcPr>
            <w:tcW w:type="dxa" w:w="2347"/>
            <w:vAlign w:val="top"/>
          </w:tcPr>
          <w:p>
            <w:pPr>
              <w:pStyle w:val="TableText"/>
              <w:keepNext w:val="0"/>
              <w:widowControl/>
            </w:pPr>
            <w:r>
              <w:rPr>
                <w:rFonts w:ascii="Lato" w:hAnsi="Lato"/>
                <w:b/>
                <w:color w:val="25323A"/>
                <w:sz w:val="18"/>
              </w:rPr>
              <w:t>Rifle Footprint mismatch</w:t>
            </w:r>
          </w:p>
        </w:tc>
        <w:tc>
          <w:tcPr>
            <w:tcW w:type="dxa" w:w="3816"/>
            <w:vAlign w:val="top"/>
          </w:tcPr>
          <w:p>
            <w:pPr>
              <w:pStyle w:val="TableText"/>
              <w:keepNext w:val="0"/>
              <w:widowControl/>
            </w:pPr>
            <w:r>
              <w:rPr>
                <w:rFonts w:ascii="Lato" w:hAnsi="Lato"/>
                <w:b w:val="0"/>
                <w:color w:val="25323A"/>
                <w:sz w:val="18"/>
              </w:rPr>
              <w:t>The grid accepted a provisional 1 x 5 Footprint even though the visual rifle was longer, producing overlap.</w:t>
            </w:r>
          </w:p>
        </w:tc>
        <w:tc>
          <w:tcPr>
            <w:tcW w:type="dxa" w:w="3701"/>
            <w:vAlign w:val="top"/>
          </w:tcPr>
          <w:p>
            <w:pPr>
              <w:pStyle w:val="TableText"/>
              <w:keepNext w:val="0"/>
              <w:widowControl/>
            </w:pPr>
            <w:r>
              <w:rPr>
                <w:rFonts w:ascii="Lato" w:hAnsi="Lato"/>
                <w:b w:val="0"/>
                <w:color w:val="25323A"/>
                <w:sz w:val="18"/>
              </w:rPr>
              <w:t>Not a physics failure: Footprint must be authored to match intended occupancy. Future tooling can suggest a Footprint from mesh bounds, with override.</w:t>
            </w:r>
          </w:p>
        </w:tc>
      </w:tr>
      <w:tr>
        <w:trPr>
          <w:cantSplit/>
        </w:trPr>
        <w:tc>
          <w:tcPr>
            <w:tcW w:type="dxa" w:w="2347"/>
            <w:vAlign w:val="top"/>
            <w:shd w:fill="F6F8F9"/>
          </w:tcPr>
          <w:p>
            <w:pPr>
              <w:pStyle w:val="TableText"/>
              <w:keepNext w:val="0"/>
              <w:widowControl/>
            </w:pPr>
            <w:r>
              <w:rPr>
                <w:rFonts w:ascii="Lato" w:hAnsi="Lato"/>
                <w:b/>
                <w:color w:val="25323A"/>
                <w:sz w:val="18"/>
              </w:rPr>
              <w:t>GDScript warnings-as-errors</w:t>
            </w:r>
          </w:p>
        </w:tc>
        <w:tc>
          <w:tcPr>
            <w:tcW w:type="dxa" w:w="3816"/>
            <w:vAlign w:val="top"/>
            <w:shd w:fill="F6F8F9"/>
          </w:tcPr>
          <w:p>
            <w:pPr>
              <w:pStyle w:val="TableText"/>
              <w:keepNext w:val="0"/>
              <w:widowControl/>
            </w:pPr>
            <w:r>
              <w:rPr>
                <w:rFonts w:ascii="Lato" w:hAnsi="Lato"/>
                <w:b w:val="0"/>
                <w:color w:val="25323A"/>
                <w:sz w:val="18"/>
              </w:rPr>
              <w:t>Variant inference and a missing shared collision-layer constant stopped the project at parse time.</w:t>
            </w:r>
          </w:p>
        </w:tc>
        <w:tc>
          <w:tcPr>
            <w:tcW w:type="dxa" w:w="3701"/>
            <w:vAlign w:val="top"/>
            <w:shd w:fill="F6F8F9"/>
          </w:tcPr>
          <w:p>
            <w:pPr>
              <w:pStyle w:val="TableText"/>
              <w:keepNext w:val="0"/>
              <w:widowControl/>
            </w:pPr>
            <w:r>
              <w:rPr>
                <w:rFonts w:ascii="Lato" w:hAnsi="Lato"/>
                <w:b w:val="0"/>
                <w:color w:val="25323A"/>
                <w:sz w:val="18"/>
              </w:rPr>
              <w:t>Use explicit types where required; maintain shared constants at the owning data class. These were implementation repairs, not design changes.</w:t>
            </w:r>
          </w:p>
        </w:tc>
      </w:tr>
      <w:tr>
        <w:trPr>
          <w:cantSplit/>
        </w:trPr>
        <w:tc>
          <w:tcPr>
            <w:tcW w:type="dxa" w:w="2347"/>
            <w:vAlign w:val="top"/>
          </w:tcPr>
          <w:p>
            <w:pPr>
              <w:pStyle w:val="TableText"/>
              <w:keepNext w:val="0"/>
              <w:widowControl/>
            </w:pPr>
            <w:r>
              <w:rPr>
                <w:rFonts w:ascii="Lato" w:hAnsi="Lato"/>
                <w:b/>
                <w:color w:val="25323A"/>
                <w:sz w:val="18"/>
              </w:rPr>
              <w:t>Scaled shelf distorted placed loot</w:t>
            </w:r>
          </w:p>
        </w:tc>
        <w:tc>
          <w:tcPr>
            <w:tcW w:type="dxa" w:w="3816"/>
            <w:vAlign w:val="top"/>
          </w:tcPr>
          <w:p>
            <w:pPr>
              <w:pStyle w:val="TableText"/>
              <w:keepNext w:val="0"/>
              <w:widowControl/>
            </w:pPr>
            <w:r>
              <w:rPr>
                <w:rFonts w:ascii="Lato" w:hAnsi="Lato"/>
                <w:b w:val="0"/>
                <w:color w:val="25323A"/>
                <w:sz w:val="18"/>
              </w:rPr>
              <w:t>Non-uniformly scaling a shelf also scaled child storage/loot, flattening or stretching item meshes.</w:t>
            </w:r>
          </w:p>
        </w:tc>
        <w:tc>
          <w:tcPr>
            <w:tcW w:type="dxa" w:w="3701"/>
            <w:vAlign w:val="top"/>
          </w:tcPr>
          <w:p>
            <w:pPr>
              <w:pStyle w:val="TableText"/>
              <w:keepNext w:val="0"/>
              <w:widowControl/>
            </w:pPr>
            <w:r>
              <w:rPr>
                <w:rFonts w:ascii="Lato" w:hAnsi="Lato"/>
                <w:b w:val="0"/>
                <w:color w:val="25323A"/>
                <w:sz w:val="18"/>
              </w:rPr>
              <w:t>StorageSurface now captures the shelf-relative world pose but operates at unit scale; placed loot preserves its own geometry. This also makes shallow shelf variants cheap to prototype.</w:t>
            </w:r>
          </w:p>
        </w:tc>
      </w:tr>
      <w:tr>
        <w:trPr>
          <w:cantSplit/>
        </w:trPr>
        <w:tc>
          <w:tcPr>
            <w:tcW w:type="dxa" w:w="2347"/>
            <w:vAlign w:val="top"/>
            <w:shd w:fill="F6F8F9"/>
          </w:tcPr>
          <w:p>
            <w:pPr>
              <w:pStyle w:val="TableText"/>
              <w:keepNext w:val="0"/>
              <w:widowControl/>
            </w:pPr>
            <w:r>
              <w:rPr>
                <w:rFonts w:ascii="Lato" w:hAnsi="Lato"/>
                <w:b/>
                <w:color w:val="25323A"/>
                <w:sz w:val="18"/>
              </w:rPr>
              <w:t>Placement ghost lifecycle</w:t>
            </w:r>
          </w:p>
        </w:tc>
        <w:tc>
          <w:tcPr>
            <w:tcW w:type="dxa" w:w="3816"/>
            <w:vAlign w:val="top"/>
            <w:shd w:fill="F6F8F9"/>
          </w:tcPr>
          <w:p>
            <w:pPr>
              <w:pStyle w:val="TableText"/>
              <w:keepNext w:val="0"/>
              <w:widowControl/>
            </w:pPr>
            <w:r>
              <w:rPr>
                <w:rFonts w:ascii="Lato" w:hAnsi="Lato"/>
                <w:b w:val="0"/>
                <w:color w:val="25323A"/>
                <w:sz w:val="18"/>
              </w:rPr>
              <w:t>An early scale-isolation refactor made the ghost and stored item invisible; a later ghost reparent path generated repeated parentless-node errors.</w:t>
            </w:r>
          </w:p>
        </w:tc>
        <w:tc>
          <w:tcPr>
            <w:tcW w:type="dxa" w:w="3701"/>
            <w:vAlign w:val="top"/>
            <w:shd w:fill="F6F8F9"/>
          </w:tcPr>
          <w:p>
            <w:pPr>
              <w:pStyle w:val="TableText"/>
              <w:keepNext w:val="0"/>
              <w:widowControl/>
            </w:pPr>
            <w:r>
              <w:rPr>
                <w:rFonts w:ascii="Lato" w:hAnsi="Lato"/>
                <w:b w:val="0"/>
                <w:color w:val="25323A"/>
                <w:sz w:val="18"/>
              </w:rPr>
              <w:t>Restore the simple surface-local transform path, keep StorageSurface scale-isolated, and parent the ghost deterministically before reparenting. The green item silhouette now matches final placement.</w:t>
            </w:r>
          </w:p>
        </w:tc>
      </w:tr>
      <w:tr>
        <w:trPr>
          <w:cantSplit/>
        </w:trPr>
        <w:tc>
          <w:tcPr>
            <w:tcW w:type="dxa" w:w="2347"/>
            <w:vAlign w:val="top"/>
          </w:tcPr>
          <w:p>
            <w:pPr>
              <w:pStyle w:val="TableText"/>
              <w:keepNext w:val="0"/>
              <w:widowControl/>
            </w:pPr>
            <w:r>
              <w:rPr>
                <w:rFonts w:ascii="Lato" w:hAnsi="Lato"/>
                <w:b/>
                <w:color w:val="25323A"/>
                <w:sz w:val="18"/>
              </w:rPr>
              <w:t>Manual placement throughput</w:t>
            </w:r>
          </w:p>
        </w:tc>
        <w:tc>
          <w:tcPr>
            <w:tcW w:type="dxa" w:w="3816"/>
            <w:vAlign w:val="top"/>
          </w:tcPr>
          <w:p>
            <w:pPr>
              <w:pStyle w:val="TableText"/>
              <w:keepNext w:val="0"/>
              <w:widowControl/>
            </w:pPr>
            <w:r>
              <w:rPr>
                <w:rFonts w:ascii="Lato" w:hAnsi="Lato"/>
                <w:b w:val="0"/>
                <w:color w:val="25323A"/>
                <w:sz w:val="18"/>
              </w:rPr>
              <w:t>Rapidly storing mixed bundles required repeated visual category decisions and precise local placement; empty shelves lacked spatial category cues, while packed shelves made remaining gaps hard to judge.</w:t>
            </w:r>
          </w:p>
        </w:tc>
        <w:tc>
          <w:tcPr>
            <w:tcW w:type="dxa" w:w="3701"/>
            <w:vAlign w:val="top"/>
          </w:tcPr>
          <w:p>
            <w:pPr>
              <w:pStyle w:val="TableText"/>
              <w:keepNext w:val="0"/>
              <w:widowControl/>
            </w:pPr>
            <w:r>
              <w:rPr>
                <w:rFonts w:ascii="Lato" w:hAnsi="Lato"/>
                <w:b w:val="0"/>
                <w:color w:val="25323A"/>
                <w:sz w:val="18"/>
              </w:rPr>
              <w:t>Do not solve with more aiming assistance. Make zone-aware auto-placement the default and retain manual placement as an optional override/organization tool.</w:t>
            </w:r>
          </w:p>
        </w:tc>
      </w:tr>
      <w:tr>
        <w:trPr>
          <w:cantSplit/>
        </w:trPr>
        <w:tc>
          <w:tcPr>
            <w:tcW w:type="dxa" w:w="2347"/>
            <w:vAlign w:val="top"/>
            <w:shd w:fill="F6F8F9"/>
          </w:tcPr>
          <w:p>
            <w:pPr>
              <w:pStyle w:val="TableText"/>
              <w:keepNext w:val="0"/>
              <w:widowControl/>
            </w:pPr>
            <w:r>
              <w:rPr>
                <w:rFonts w:ascii="Lato" w:hAnsi="Lato"/>
                <w:b/>
                <w:color w:val="25323A"/>
                <w:sz w:val="18"/>
              </w:rPr>
              <w:t>loot_000010 pickup registration</w:t>
            </w:r>
          </w:p>
        </w:tc>
        <w:tc>
          <w:tcPr>
            <w:tcW w:type="dxa" w:w="3816"/>
            <w:vAlign w:val="top"/>
            <w:shd w:fill="F6F8F9"/>
          </w:tcPr>
          <w:p>
            <w:pPr>
              <w:pStyle w:val="TableText"/>
              <w:keepNext w:val="0"/>
              <w:widowControl/>
            </w:pPr>
            <w:r>
              <w:rPr>
                <w:rFonts w:ascii="Lato" w:hAnsi="Lato"/>
                <w:b w:val="0"/>
                <w:color w:val="25323A"/>
                <w:sz w:val="18"/>
              </w:rPr>
              <w:t>One dry-goods can could not be picked up reliably even though its authoring metadata and storage behavior were otherwise valid.</w:t>
            </w:r>
          </w:p>
        </w:tc>
        <w:tc>
          <w:tcPr>
            <w:tcW w:type="dxa" w:w="3701"/>
            <w:vAlign w:val="top"/>
            <w:shd w:fill="F6F8F9"/>
          </w:tcPr>
          <w:p>
            <w:pPr>
              <w:pStyle w:val="TableText"/>
              <w:keepNext w:val="0"/>
              <w:widowControl/>
            </w:pPr>
            <w:r>
              <w:rPr>
                <w:rFonts w:ascii="Lato" w:hAnsi="Lato"/>
                <w:b w:val="0"/>
                <w:color w:val="25323A"/>
                <w:sz w:val="18"/>
              </w:rPr>
              <w:t>Debug separately from Auto Group authoring. The pickup-registration defect was fixed, regression-tested, and manually validated in game before the catalogue-scale stacking gate.</w:t>
            </w:r>
          </w:p>
        </w:tc>
      </w:tr>
      <w:tr>
        <w:trPr>
          <w:cantSplit/>
        </w:trPr>
        <w:tc>
          <w:tcPr>
            <w:tcW w:type="dxa" w:w="2347"/>
            <w:vAlign w:val="top"/>
          </w:tcPr>
          <w:p>
            <w:pPr>
              <w:pStyle w:val="TableText"/>
              <w:keepNext w:val="0"/>
              <w:widowControl/>
            </w:pPr>
            <w:r>
              <w:rPr>
                <w:rFonts w:ascii="Lato" w:hAnsi="Lato"/>
                <w:b/>
                <w:color w:val="25323A"/>
                <w:sz w:val="18"/>
              </w:rPr>
              <w:t>Singleton shelf vertical clearance</w:t>
            </w:r>
          </w:p>
        </w:tc>
        <w:tc>
          <w:tcPr>
            <w:tcW w:type="dxa" w:w="3816"/>
            <w:vAlign w:val="top"/>
          </w:tcPr>
          <w:p>
            <w:pPr>
              <w:pStyle w:val="TableText"/>
              <w:keepNext w:val="0"/>
              <w:widowControl/>
            </w:pPr>
            <w:r>
              <w:rPr>
                <w:rFonts w:ascii="Lato" w:hAnsi="Lato"/>
                <w:b w:val="0"/>
                <w:color w:val="25323A"/>
                <w:sz w:val="18"/>
              </w:rPr>
              <w:t>Automatic and manual empty placement could accept sufficiently tall standalone items whose seated visual penetrated the shelf or fixture above. Stack placement already rejected equivalent over-clearance cases.</w:t>
            </w:r>
          </w:p>
        </w:tc>
        <w:tc>
          <w:tcPr>
            <w:tcW w:type="dxa" w:w="3701"/>
            <w:vAlign w:val="top"/>
          </w:tcPr>
          <w:p>
            <w:pPr>
              <w:pStyle w:val="TableText"/>
              <w:keepNext w:val="0"/>
              <w:widowControl/>
            </w:pPr>
            <w:r>
              <w:rPr>
                <w:rFonts w:ascii="Lato" w:hAnsi="Lato"/>
                <w:b w:val="0"/>
                <w:color w:val="25323A"/>
                <w:sz w:val="18"/>
              </w:rPr>
              <w:t>Empty placement now uses a shared physical-clearance predicate based on the authoritative seated posed top and revalidates at commit. Singletons use physical clearance only; the separate 95 percent gameplay-headroom rule remains stack-specific. Human auto/manual validation passed.</w:t>
            </w:r>
          </w:p>
        </w:tc>
      </w:tr>
      <w:tr>
        <w:trPr>
          <w:cantSplit/>
        </w:trPr>
        <w:tc>
          <w:tcPr>
            <w:tcW w:type="dxa" w:w="2347"/>
            <w:vAlign w:val="top"/>
            <w:shd w:fill="F6F8F9"/>
          </w:tcPr>
          <w:p>
            <w:pPr>
              <w:pStyle w:val="TableText"/>
              <w:keepNext w:val="0"/>
              <w:widowControl/>
            </w:pPr>
            <w:r>
              <w:rPr>
                <w:rFonts w:ascii="Lato" w:hAnsi="Lato"/>
                <w:b/>
                <w:color w:val="25323A"/>
                <w:sz w:val="18"/>
              </w:rPr>
              <w:t>Godot test false-PASS hazard</w:t>
            </w:r>
          </w:p>
        </w:tc>
        <w:tc>
          <w:tcPr>
            <w:tcW w:type="dxa" w:w="3816"/>
            <w:vAlign w:val="top"/>
            <w:shd w:fill="F6F8F9"/>
          </w:tcPr>
          <w:p>
            <w:pPr>
              <w:pStyle w:val="TableText"/>
              <w:keepNext w:val="0"/>
              <w:widowControl/>
            </w:pPr>
            <w:r>
              <w:rPr>
                <w:rFonts w:ascii="Lato" w:hAnsi="Lato"/>
                <w:b w:val="0"/>
                <w:color w:val="25323A"/>
                <w:sz w:val="18"/>
              </w:rPr>
              <w:t>Stage A found helper errors could occur even when a harness eventually printed PASS or returned an apparently successful result.</w:t>
            </w:r>
          </w:p>
        </w:tc>
        <w:tc>
          <w:tcPr>
            <w:tcW w:type="dxa" w:w="3701"/>
            <w:vAlign w:val="top"/>
            <w:shd w:fill="F6F8F9"/>
          </w:tcPr>
          <w:p>
            <w:pPr>
              <w:pStyle w:val="TableText"/>
              <w:keepNext w:val="0"/>
              <w:widowControl/>
            </w:pPr>
            <w:r>
              <w:rPr>
                <w:rFonts w:ascii="Lato" w:hAnsi="Lato"/>
                <w:b w:val="0"/>
                <w:color w:val="25323A"/>
                <w:sz w:val="18"/>
              </w:rPr>
              <w:t>Six focused harnesses were hardened; reported final evidence checks PASS/error output as well as exit status. Do not infer historical-suite failure merely because the hazard was found.</w:t>
            </w:r>
          </w:p>
        </w:tc>
      </w:tr>
      <w:tr>
        <w:trPr>
          <w:cantSplit/>
        </w:trPr>
        <w:tc>
          <w:tcPr>
            <w:tcW w:type="dxa" w:w="2347"/>
            <w:vAlign w:val="top"/>
          </w:tcPr>
          <w:p>
            <w:pPr>
              <w:pStyle w:val="TableText"/>
              <w:keepNext w:val="0"/>
              <w:widowControl/>
            </w:pPr>
            <w:r>
              <w:rPr>
                <w:rFonts w:ascii="Lato" w:hAnsi="Lato"/>
                <w:b/>
                <w:color w:val="25323A"/>
                <w:sz w:val="18"/>
              </w:rPr>
              <w:t>Receiving shell visual failure</w:t>
            </w:r>
          </w:p>
        </w:tc>
        <w:tc>
          <w:tcPr>
            <w:tcW w:type="dxa" w:w="3816"/>
            <w:vAlign w:val="top"/>
          </w:tcPr>
          <w:p>
            <w:pPr>
              <w:pStyle w:val="TableText"/>
              <w:keepNext w:val="0"/>
              <w:widowControl/>
            </w:pPr>
            <w:r>
              <w:rPr>
                <w:rFonts w:ascii="Lato" w:hAnsi="Lato"/>
                <w:b w:val="0"/>
                <w:color w:val="25323A"/>
                <w:sz w:val="18"/>
              </w:rPr>
              <w:t>Healthy imports, contract tests and a render produced a metal-heavy, mismatched composition.</w:t>
            </w:r>
          </w:p>
        </w:tc>
        <w:tc>
          <w:tcPr>
            <w:tcW w:type="dxa" w:w="3701"/>
            <w:vAlign w:val="top"/>
          </w:tcPr>
          <w:p>
            <w:pPr>
              <w:pStyle w:val="TableText"/>
              <w:keepNext w:val="0"/>
              <w:widowControl/>
            </w:pPr>
            <w:r>
              <w:rPr>
                <w:rFonts w:ascii="Lato" w:hAnsi="Lato"/>
                <w:b w:val="0"/>
                <w:color w:val="25323A"/>
                <w:sz w:val="18"/>
              </w:rPr>
              <w:t>Human NO-GO; no merge. Define world/art authority and independent shell/finish reviews rather than patching appearance with more props or warm light.</w:t>
            </w:r>
          </w:p>
        </w:tc>
      </w:tr>
      <w:tr>
        <w:trPr>
          <w:cantSplit/>
        </w:trPr>
        <w:tc>
          <w:tcPr>
            <w:tcW w:type="dxa" w:w="2347"/>
            <w:vAlign w:val="top"/>
            <w:shd w:fill="F6F8F9"/>
          </w:tcPr>
          <w:p>
            <w:pPr>
              <w:pStyle w:val="TableText"/>
              <w:keepNext w:val="0"/>
              <w:widowControl/>
            </w:pPr>
            <w:r>
              <w:rPr>
                <w:rFonts w:ascii="Lato" w:hAnsi="Lato"/>
                <w:b/>
                <w:color w:val="25323A"/>
                <w:sz w:val="18"/>
              </w:rPr>
              <w:t>loot_000015 texture-driven reimport</w:t>
            </w:r>
          </w:p>
        </w:tc>
        <w:tc>
          <w:tcPr>
            <w:tcW w:type="dxa" w:w="3816"/>
            <w:vAlign w:val="top"/>
            <w:shd w:fill="F6F8F9"/>
          </w:tcPr>
          <w:p>
            <w:pPr>
              <w:pStyle w:val="TableText"/>
              <w:keepNext w:val="0"/>
              <w:widowControl/>
            </w:pPr>
            <w:r>
              <w:rPr>
                <w:rFonts w:ascii="Lato" w:hAnsi="Lato"/>
                <w:b w:val="0"/>
                <w:color w:val="25323A"/>
                <w:sz w:val="18"/>
              </w:rPr>
              <w:t>Developer reimported Fuel Canister before Pass 1; fingerprint/pose-dependent assertions drifted.</w:t>
            </w:r>
          </w:p>
        </w:tc>
        <w:tc>
          <w:tcPr>
            <w:tcW w:type="dxa" w:w="3701"/>
            <w:vAlign w:val="top"/>
            <w:shd w:fill="F6F8F9"/>
          </w:tcPr>
          <w:p>
            <w:pPr>
              <w:pStyle w:val="TableText"/>
              <w:keepNext w:val="0"/>
              <w:widowControl/>
            </w:pPr>
            <w:r>
              <w:rPr>
                <w:rFonts w:ascii="Lato" w:hAnsi="Lato"/>
                <w:b w:val="0"/>
                <w:color w:val="25323A"/>
                <w:sz w:val="18"/>
              </w:rPr>
              <w:t>Bounded debt at that checkpoint, not a new design decision. The later maintenance pass preserved the intended metadata and completed the reconciliation recorded in §24.2.</w:t>
            </w:r>
          </w:p>
        </w:tc>
      </w:tr>
    </w:tbl>
    <w:p>
      <w:pPr>
        <w:spacing w:after="60" w:before="0" w:line="40" w:lineRule="exact"/>
      </w:pPr>
      <w:r>
        <w:rPr>
          <w:sz w:val="4"/>
        </w:rPr>
      </w:r>
    </w:p>
    <w:p>
      <w:pPr>
        <w:pStyle w:val="Heading1"/>
        <w:widowControl/>
      </w:pPr>
      <w:r>
        <w:t>5. Playtesting observations and conclusions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Observation</w:t>
            </w:r>
          </w:p>
        </w:tc>
        <w:tc>
          <w:tcPr>
            <w:tcW w:type="dxa" w:w="3816"/>
            <w:vAlign w:val="top"/>
            <w:shd w:fill="253842"/>
          </w:tcPr>
          <w:p>
            <w:pPr>
              <w:pStyle w:val="TableText"/>
              <w:keepNext/>
              <w:widowControl/>
            </w:pPr>
            <w:r>
              <w:rPr>
                <w:rFonts w:ascii="Lato" w:hAnsi="Lato"/>
                <w:b/>
                <w:color w:val="FFFFFF"/>
                <w:sz w:val="18"/>
              </w:rPr>
              <w:t>Interpretation</w:t>
            </w:r>
          </w:p>
        </w:tc>
        <w:tc>
          <w:tcPr>
            <w:tcW w:type="dxa" w:w="3701"/>
            <w:vAlign w:val="top"/>
            <w:shd w:fill="253842"/>
          </w:tcPr>
          <w:p>
            <w:pPr>
              <w:pStyle w:val="TableText"/>
              <w:keepNext/>
              <w:widowControl/>
            </w:pPr>
            <w:r>
              <w:rPr>
                <w:rFonts w:ascii="Lato" w:hAnsi="Lato"/>
                <w:b/>
                <w:color w:val="FFFFFF"/>
                <w:sz w:val="18"/>
              </w:rPr>
              <w:t>Design consequence</w:t>
            </w:r>
          </w:p>
        </w:tc>
      </w:tr>
      <w:tr>
        <w:trPr>
          <w:cantSplit/>
        </w:trPr>
        <w:tc>
          <w:tcPr>
            <w:tcW w:type="dxa" w:w="2347"/>
            <w:vAlign w:val="top"/>
          </w:tcPr>
          <w:p>
            <w:pPr>
              <w:pStyle w:val="TableText"/>
              <w:keepNext w:val="0"/>
              <w:widowControl/>
            </w:pPr>
            <w:r>
              <w:rPr>
                <w:rFonts w:ascii="Lato" w:hAnsi="Lato"/>
                <w:b/>
                <w:color w:val="25323A"/>
                <w:sz w:val="18"/>
              </w:rPr>
              <w:t>Coarse collision felt natural; plausible gaps remained passable.</w:t>
            </w:r>
          </w:p>
        </w:tc>
        <w:tc>
          <w:tcPr>
            <w:tcW w:type="dxa" w:w="3816"/>
            <w:vAlign w:val="top"/>
          </w:tcPr>
          <w:p>
            <w:pPr>
              <w:pStyle w:val="TableText"/>
              <w:keepNext w:val="0"/>
              <w:widowControl/>
            </w:pPr>
            <w:r>
              <w:rPr>
                <w:rFonts w:ascii="Lato" w:hAnsi="Lato"/>
                <w:b w:val="0"/>
                <w:color w:val="25323A"/>
                <w:sz w:val="18"/>
              </w:rPr>
              <w:t>Players accept collision simpler than visual geometry when it respects perceived object footprint.</w:t>
            </w:r>
          </w:p>
        </w:tc>
        <w:tc>
          <w:tcPr>
            <w:tcW w:type="dxa" w:w="3701"/>
            <w:vAlign w:val="top"/>
          </w:tcPr>
          <w:p>
            <w:pPr>
              <w:pStyle w:val="TableText"/>
              <w:keepNext w:val="0"/>
              <w:widowControl/>
            </w:pPr>
            <w:r>
              <w:rPr>
                <w:rFonts w:ascii="Lato" w:hAnsi="Lato"/>
                <w:b w:val="0"/>
                <w:color w:val="25323A"/>
                <w:sz w:val="18"/>
              </w:rPr>
              <w:t>Keep collision authored for movement ergonomics, not mesh literalism.</w:t>
            </w:r>
          </w:p>
        </w:tc>
      </w:tr>
      <w:tr>
        <w:trPr>
          <w:cantSplit/>
        </w:trPr>
        <w:tc>
          <w:tcPr>
            <w:tcW w:type="dxa" w:w="2347"/>
            <w:vAlign w:val="top"/>
            <w:shd w:fill="F6F8F9"/>
          </w:tcPr>
          <w:p>
            <w:pPr>
              <w:pStyle w:val="TableText"/>
              <w:keepNext w:val="0"/>
              <w:widowControl/>
            </w:pPr>
            <w:r>
              <w:rPr>
                <w:rFonts w:ascii="Lato" w:hAnsi="Lato"/>
                <w:b/>
                <w:color w:val="25323A"/>
                <w:sz w:val="18"/>
              </w:rPr>
              <w:t>Selected held model, pickup feedback, and carried-slot changes read clearly with no noticeable performance issue in the small test.</w:t>
            </w:r>
          </w:p>
        </w:tc>
        <w:tc>
          <w:tcPr>
            <w:tcW w:type="dxa" w:w="3816"/>
            <w:vAlign w:val="top"/>
            <w:shd w:fill="F6F8F9"/>
          </w:tcPr>
          <w:p>
            <w:pPr>
              <w:pStyle w:val="TableText"/>
              <w:keepNext w:val="0"/>
              <w:widowControl/>
            </w:pPr>
            <w:r>
              <w:rPr>
                <w:rFonts w:ascii="Lato" w:hAnsi="Lato"/>
                <w:b w:val="0"/>
                <w:color w:val="25323A"/>
                <w:sz w:val="18"/>
              </w:rPr>
              <w:t>The item-state loop is readable in first person.</w:t>
            </w:r>
          </w:p>
        </w:tc>
        <w:tc>
          <w:tcPr>
            <w:tcW w:type="dxa" w:w="3701"/>
            <w:vAlign w:val="top"/>
            <w:shd w:fill="F6F8F9"/>
          </w:tcPr>
          <w:p>
            <w:pPr>
              <w:pStyle w:val="TableText"/>
              <w:keepNext w:val="0"/>
              <w:widowControl/>
            </w:pPr>
            <w:r>
              <w:rPr>
                <w:rFonts w:ascii="Lato" w:hAnsi="Lato"/>
                <w:b w:val="0"/>
                <w:color w:val="25323A"/>
                <w:sz w:val="18"/>
              </w:rPr>
              <w:t>Retain one source visual asset across world, held, and future thumbnail contexts.</w:t>
            </w:r>
          </w:p>
        </w:tc>
      </w:tr>
      <w:tr>
        <w:trPr>
          <w:cantSplit/>
        </w:trPr>
        <w:tc>
          <w:tcPr>
            <w:tcW w:type="dxa" w:w="2347"/>
            <w:vAlign w:val="top"/>
          </w:tcPr>
          <w:p>
            <w:pPr>
              <w:pStyle w:val="TableText"/>
              <w:keepNext w:val="0"/>
              <w:widowControl/>
            </w:pPr>
            <w:r>
              <w:rPr>
                <w:rFonts w:ascii="Lato" w:hAnsi="Lato"/>
                <w:b/>
                <w:color w:val="25323A"/>
                <w:sz w:val="18"/>
              </w:rPr>
              <w:t>Irregular objects were hard to identify in live thumbnails without a good angle.</w:t>
            </w:r>
          </w:p>
        </w:tc>
        <w:tc>
          <w:tcPr>
            <w:tcW w:type="dxa" w:w="3816"/>
            <w:vAlign w:val="top"/>
          </w:tcPr>
          <w:p>
            <w:pPr>
              <w:pStyle w:val="TableText"/>
              <w:keepNext w:val="0"/>
              <w:widowControl/>
            </w:pPr>
            <w:r>
              <w:rPr>
                <w:rFonts w:ascii="Lato" w:hAnsi="Lato"/>
                <w:b w:val="0"/>
                <w:color w:val="25323A"/>
                <w:sz w:val="18"/>
              </w:rPr>
              <w:t>Presentation is an asset-authoring problem, not something to solve with endlessly rotating thumbnails.</w:t>
            </w:r>
          </w:p>
        </w:tc>
        <w:tc>
          <w:tcPr>
            <w:tcW w:type="dxa" w:w="3701"/>
            <w:vAlign w:val="top"/>
          </w:tcPr>
          <w:p>
            <w:pPr>
              <w:pStyle w:val="TableText"/>
              <w:keepNext w:val="0"/>
              <w:widowControl/>
            </w:pPr>
            <w:r>
              <w:rPr>
                <w:rFonts w:ascii="Lato" w:hAnsi="Lato"/>
                <w:b w:val="0"/>
                <w:color w:val="25323A"/>
                <w:sz w:val="18"/>
              </w:rPr>
              <w:t>Keep optional per-item preview/held transforms and a future tuning tool.</w:t>
            </w:r>
          </w:p>
        </w:tc>
      </w:tr>
      <w:tr>
        <w:trPr>
          <w:cantSplit/>
        </w:trPr>
        <w:tc>
          <w:tcPr>
            <w:tcW w:type="dxa" w:w="2347"/>
            <w:vAlign w:val="top"/>
            <w:shd w:fill="F6F8F9"/>
          </w:tcPr>
          <w:p>
            <w:pPr>
              <w:pStyle w:val="TableText"/>
              <w:keepNext w:val="0"/>
              <w:widowControl/>
            </w:pPr>
            <w:r>
              <w:rPr>
                <w:rFonts w:ascii="Lato" w:hAnsi="Lato"/>
                <w:b/>
                <w:color w:val="25323A"/>
                <w:sz w:val="18"/>
              </w:rPr>
              <w:t>High shelves and deep storage are awkward from a standing camera.</w:t>
            </w:r>
          </w:p>
        </w:tc>
        <w:tc>
          <w:tcPr>
            <w:tcW w:type="dxa" w:w="3816"/>
            <w:vAlign w:val="top"/>
            <w:shd w:fill="F6F8F9"/>
          </w:tcPr>
          <w:p>
            <w:pPr>
              <w:pStyle w:val="TableText"/>
              <w:keepNext w:val="0"/>
              <w:widowControl/>
            </w:pPr>
            <w:r>
              <w:rPr>
                <w:rFonts w:ascii="Lato" w:hAnsi="Lato"/>
                <w:b w:val="0"/>
                <w:color w:val="25323A"/>
                <w:sz w:val="18"/>
              </w:rPr>
              <w:t>Reachability is not only collision. A small object can be physically valid but visually occluded.</w:t>
            </w:r>
          </w:p>
        </w:tc>
        <w:tc>
          <w:tcPr>
            <w:tcW w:type="dxa" w:w="3701"/>
            <w:vAlign w:val="top"/>
            <w:shd w:fill="F6F8F9"/>
          </w:tcPr>
          <w:p>
            <w:pPr>
              <w:pStyle w:val="TableText"/>
              <w:keepNext w:val="0"/>
              <w:widowControl/>
            </w:pPr>
            <w:r>
              <w:rPr>
                <w:rFonts w:ascii="Lato" w:hAnsi="Lato"/>
                <w:b w:val="0"/>
                <w:color w:val="25323A"/>
                <w:sz w:val="18"/>
              </w:rPr>
              <w:t>Prefer accessible furniture geometry and test interaction proxies/range before traversal features.</w:t>
            </w:r>
          </w:p>
        </w:tc>
      </w:tr>
      <w:tr>
        <w:trPr>
          <w:cantSplit/>
        </w:trPr>
        <w:tc>
          <w:tcPr>
            <w:tcW w:type="dxa" w:w="2347"/>
            <w:vAlign w:val="top"/>
          </w:tcPr>
          <w:p>
            <w:pPr>
              <w:pStyle w:val="TableText"/>
              <w:keepNext w:val="0"/>
              <w:widowControl/>
            </w:pPr>
            <w:r>
              <w:rPr>
                <w:rFonts w:ascii="Lato" w:hAnsi="Lato"/>
                <w:b/>
                <w:color w:val="25323A"/>
                <w:sz w:val="18"/>
              </w:rPr>
              <w:t>Rapidly storing 5-6 items caused repeated place/pickup errors.</w:t>
            </w:r>
          </w:p>
        </w:tc>
        <w:tc>
          <w:tcPr>
            <w:tcW w:type="dxa" w:w="3816"/>
            <w:vAlign w:val="top"/>
          </w:tcPr>
          <w:p>
            <w:pPr>
              <w:pStyle w:val="TableText"/>
              <w:keepNext w:val="0"/>
              <w:widowControl/>
            </w:pPr>
            <w:r>
              <w:rPr>
                <w:rFonts w:ascii="Lato" w:hAnsi="Lato"/>
                <w:b w:val="0"/>
                <w:color w:val="25323A"/>
                <w:sz w:val="18"/>
              </w:rPr>
              <w:t>Grid precision and shared interaction meaning become friction at actual sorting speed.</w:t>
            </w:r>
          </w:p>
        </w:tc>
        <w:tc>
          <w:tcPr>
            <w:tcW w:type="dxa" w:w="3701"/>
            <w:vAlign w:val="top"/>
          </w:tcPr>
          <w:p>
            <w:pPr>
              <w:pStyle w:val="TableText"/>
              <w:keepNext w:val="0"/>
              <w:widowControl/>
            </w:pPr>
            <w:r>
              <w:rPr>
                <w:rFonts w:ascii="Lato" w:hAnsi="Lato"/>
                <w:b w:val="0"/>
                <w:color w:val="25323A"/>
                <w:sz w:val="18"/>
              </w:rPr>
              <w:t>Test assisted/automatic storage and a separate retrieve input.</w:t>
            </w:r>
          </w:p>
        </w:tc>
      </w:tr>
      <w:tr>
        <w:trPr>
          <w:cantSplit/>
        </w:trPr>
        <w:tc>
          <w:tcPr>
            <w:tcW w:type="dxa" w:w="2347"/>
            <w:vAlign w:val="top"/>
            <w:shd w:fill="F6F8F9"/>
          </w:tcPr>
          <w:p>
            <w:pPr>
              <w:pStyle w:val="TableText"/>
              <w:keepNext w:val="0"/>
              <w:widowControl/>
            </w:pPr>
            <w:r>
              <w:rPr>
                <w:rFonts w:ascii="Lato" w:hAnsi="Lato"/>
                <w:b/>
                <w:color w:val="25323A"/>
                <w:sz w:val="18"/>
              </w:rPr>
              <w:t>Small items can be hidden behind tall or wide items on deep shelves.</w:t>
            </w:r>
          </w:p>
        </w:tc>
        <w:tc>
          <w:tcPr>
            <w:tcW w:type="dxa" w:w="3816"/>
            <w:vAlign w:val="top"/>
            <w:shd w:fill="F6F8F9"/>
          </w:tcPr>
          <w:p>
            <w:pPr>
              <w:pStyle w:val="TableText"/>
              <w:keepNext w:val="0"/>
              <w:widowControl/>
            </w:pPr>
            <w:r>
              <w:rPr>
                <w:rFonts w:ascii="Lato" w:hAnsi="Lato"/>
                <w:b w:val="0"/>
                <w:color w:val="25323A"/>
                <w:sz w:val="18"/>
              </w:rPr>
              <w:t>Aim forgiveness, crouching, or a stool cannot reveal a fully occluded item.</w:t>
            </w:r>
          </w:p>
        </w:tc>
        <w:tc>
          <w:tcPr>
            <w:tcW w:type="dxa" w:w="3701"/>
            <w:vAlign w:val="top"/>
            <w:shd w:fill="F6F8F9"/>
          </w:tcPr>
          <w:p>
            <w:pPr>
              <w:pStyle w:val="TableText"/>
              <w:keepNext w:val="0"/>
              <w:widowControl/>
            </w:pPr>
            <w:r>
              <w:rPr>
                <w:rFonts w:ascii="Lato" w:hAnsi="Lato"/>
                <w:b w:val="0"/>
                <w:color w:val="25323A"/>
                <w:sz w:val="18"/>
              </w:rPr>
              <w:t>Treat deep open shelving as a structural readability risk; one-depth usable surfaces are the leading mitigation.</w:t>
            </w:r>
          </w:p>
        </w:tc>
      </w:tr>
      <w:tr>
        <w:trPr>
          <w:cantSplit/>
        </w:trPr>
        <w:tc>
          <w:tcPr>
            <w:tcW w:type="dxa" w:w="2347"/>
            <w:vAlign w:val="top"/>
          </w:tcPr>
          <w:p>
            <w:pPr>
              <w:pStyle w:val="TableText"/>
              <w:keepNext w:val="0"/>
              <w:widowControl/>
            </w:pPr>
            <w:r>
              <w:rPr>
                <w:rFonts w:ascii="Lato" w:hAnsi="Lato"/>
                <w:b/>
                <w:color w:val="25323A"/>
                <w:sz w:val="18"/>
              </w:rPr>
              <w:t>Rectangular zone editing remained easy to use after repeated passes.</w:t>
            </w:r>
          </w:p>
        </w:tc>
        <w:tc>
          <w:tcPr>
            <w:tcW w:type="dxa" w:w="3816"/>
            <w:vAlign w:val="top"/>
          </w:tcPr>
          <w:p>
            <w:pPr>
              <w:pStyle w:val="TableText"/>
              <w:keepNext w:val="0"/>
              <w:widowControl/>
            </w:pPr>
            <w:r>
              <w:rPr>
                <w:rFonts w:ascii="Lato" w:hAnsi="Lato"/>
                <w:b w:val="0"/>
                <w:color w:val="25323A"/>
                <w:sz w:val="18"/>
              </w:rPr>
              <w:t>A flat modal representation of one shelf surface avoids the precision and perspective problems of drawing directly on world geometry.</w:t>
            </w:r>
          </w:p>
        </w:tc>
        <w:tc>
          <w:tcPr>
            <w:tcW w:type="dxa" w:w="3701"/>
            <w:vAlign w:val="top"/>
          </w:tcPr>
          <w:p>
            <w:pPr>
              <w:pStyle w:val="TableText"/>
              <w:keepNext w:val="0"/>
              <w:widowControl/>
            </w:pPr>
            <w:r>
              <w:rPr>
                <w:rFonts w:ascii="Lato" w:hAnsi="Lato"/>
                <w:b w:val="0"/>
                <w:color w:val="25323A"/>
                <w:sz w:val="18"/>
              </w:rPr>
              <w:t>Freeze the zoning authoring slice for prototype purposes; further visual polish is not a prototype priority.</w:t>
            </w:r>
          </w:p>
        </w:tc>
      </w:tr>
      <w:tr>
        <w:trPr>
          <w:cantSplit/>
        </w:trPr>
        <w:tc>
          <w:tcPr>
            <w:tcW w:type="dxa" w:w="2347"/>
            <w:vAlign w:val="top"/>
            <w:shd w:fill="F6F8F9"/>
          </w:tcPr>
          <w:p>
            <w:pPr>
              <w:pStyle w:val="TableText"/>
              <w:keepNext w:val="0"/>
              <w:widowControl/>
            </w:pPr>
            <w:r>
              <w:rPr>
                <w:rFonts w:ascii="Lato" w:hAnsi="Lato"/>
                <w:b/>
                <w:color w:val="25323A"/>
                <w:sz w:val="18"/>
              </w:rPr>
              <w:t>Auto-placement was much faster than manual placement for 10-item mixed baskets.</w:t>
            </w:r>
          </w:p>
        </w:tc>
        <w:tc>
          <w:tcPr>
            <w:tcW w:type="dxa" w:w="3816"/>
            <w:vAlign w:val="top"/>
            <w:shd w:fill="F6F8F9"/>
          </w:tcPr>
          <w:p>
            <w:pPr>
              <w:pStyle w:val="TableText"/>
              <w:keepNext w:val="0"/>
              <w:widowControl/>
            </w:pPr>
            <w:r>
              <w:rPr>
                <w:rFonts w:ascii="Lato" w:hAnsi="Lato"/>
                <w:b w:val="0"/>
                <w:color w:val="25323A"/>
                <w:sz w:val="18"/>
              </w:rPr>
              <w:t>The meaningful Quartermaster skill is deciding where categories belong, not remembering the exact local coordinates for each bean can, pill bottle, pistol, and drink.</w:t>
            </w:r>
          </w:p>
        </w:tc>
        <w:tc>
          <w:tcPr>
            <w:tcW w:type="dxa" w:w="3701"/>
            <w:vAlign w:val="top"/>
            <w:shd w:fill="F6F8F9"/>
          </w:tcPr>
          <w:p>
            <w:pPr>
              <w:pStyle w:val="TableText"/>
              <w:keepNext w:val="0"/>
              <w:widowControl/>
            </w:pPr>
            <w:r>
              <w:rPr>
                <w:rFonts w:ascii="Lato" w:hAnsi="Lato"/>
                <w:b w:val="0"/>
                <w:color w:val="25323A"/>
                <w:sz w:val="18"/>
              </w:rPr>
              <w:t>Zone-auto placement becomes the current default interaction direction; manual mode remains available for exceptions and exact arrangements.</w:t>
            </w:r>
          </w:p>
        </w:tc>
      </w:tr>
      <w:tr>
        <w:trPr>
          <w:cantSplit/>
        </w:trPr>
        <w:tc>
          <w:tcPr>
            <w:tcW w:type="dxa" w:w="2347"/>
            <w:vAlign w:val="top"/>
          </w:tcPr>
          <w:p>
            <w:pPr>
              <w:pStyle w:val="TableText"/>
              <w:keepNext w:val="0"/>
              <w:widowControl/>
            </w:pPr>
            <w:r>
              <w:rPr>
                <w:rFonts w:ascii="Lato" w:hAnsi="Lato"/>
                <w:b/>
                <w:color w:val="25323A"/>
                <w:sz w:val="18"/>
              </w:rPr>
              <w:t>Holding E with a short repeat interval felt significantly better than repeated presses.</w:t>
            </w:r>
          </w:p>
        </w:tc>
        <w:tc>
          <w:tcPr>
            <w:tcW w:type="dxa" w:w="3816"/>
            <w:vAlign w:val="top"/>
          </w:tcPr>
          <w:p>
            <w:pPr>
              <w:pStyle w:val="TableText"/>
              <w:keepNext w:val="0"/>
              <w:widowControl/>
            </w:pPr>
            <w:r>
              <w:rPr>
                <w:rFonts w:ascii="Lato" w:hAnsi="Lato"/>
                <w:b w:val="0"/>
                <w:color w:val="25323A"/>
                <w:sz w:val="18"/>
              </w:rPr>
              <w:t>A well-organized shelf should convert planning into visible operational throughput.</w:t>
            </w:r>
          </w:p>
        </w:tc>
        <w:tc>
          <w:tcPr>
            <w:tcW w:type="dxa" w:w="3701"/>
            <w:vAlign w:val="top"/>
          </w:tcPr>
          <w:p>
            <w:pPr>
              <w:pStyle w:val="TableText"/>
              <w:keepNext w:val="0"/>
              <w:widowControl/>
            </w:pPr>
            <w:r>
              <w:rPr>
                <w:rFonts w:ascii="Lato" w:hAnsi="Lato"/>
                <w:b w:val="0"/>
                <w:color w:val="25323A"/>
                <w:sz w:val="18"/>
              </w:rPr>
              <w:t>Retain continuous E auto-store. Current 0.25 s initial delay / 0.12 s repeat are good prototype defaults and remain tuning handles.</w:t>
            </w:r>
          </w:p>
        </w:tc>
      </w:tr>
      <w:tr>
        <w:trPr>
          <w:cantSplit/>
        </w:trPr>
        <w:tc>
          <w:tcPr>
            <w:tcW w:type="dxa" w:w="2347"/>
            <w:vAlign w:val="top"/>
            <w:shd w:fill="F6F8F9"/>
          </w:tcPr>
          <w:p>
            <w:pPr>
              <w:pStyle w:val="TableText"/>
              <w:keepNext w:val="0"/>
              <w:widowControl/>
            </w:pPr>
            <w:r>
              <w:rPr>
                <w:rFonts w:ascii="Lato" w:hAnsi="Lato"/>
                <w:b/>
                <w:color w:val="25323A"/>
                <w:sz w:val="18"/>
              </w:rPr>
              <w:t>Shelves can be visually rescaled to create shallow variants while stored loot keeps correct proportions.</w:t>
            </w:r>
          </w:p>
        </w:tc>
        <w:tc>
          <w:tcPr>
            <w:tcW w:type="dxa" w:w="3816"/>
            <w:vAlign w:val="top"/>
            <w:shd w:fill="F6F8F9"/>
          </w:tcPr>
          <w:p>
            <w:pPr>
              <w:pStyle w:val="TableText"/>
              <w:keepNext w:val="0"/>
              <w:widowControl/>
            </w:pPr>
            <w:r>
              <w:rPr>
                <w:rFonts w:ascii="Lato" w:hAnsi="Lato"/>
                <w:b w:val="0"/>
                <w:color w:val="25323A"/>
                <w:sz w:val="18"/>
              </w:rPr>
              <w:t>Visual furniture geometry and gameplay storage geometry should remain separable.</w:t>
            </w:r>
          </w:p>
        </w:tc>
        <w:tc>
          <w:tcPr>
            <w:tcW w:type="dxa" w:w="3701"/>
            <w:vAlign w:val="top"/>
            <w:shd w:fill="F6F8F9"/>
          </w:tcPr>
          <w:p>
            <w:pPr>
              <w:pStyle w:val="TableText"/>
              <w:keepNext w:val="0"/>
              <w:widowControl/>
            </w:pPr>
            <w:r>
              <w:rPr>
                <w:rFonts w:ascii="Lato" w:hAnsi="Lato"/>
                <w:b w:val="0"/>
                <w:color w:val="25323A"/>
                <w:sz w:val="18"/>
              </w:rPr>
              <w:t>Use cheap visual variants for prototype depth tests; make dedicated Blender variants only when visual deformation itself becomes objectionable.</w:t>
            </w:r>
          </w:p>
        </w:tc>
      </w:tr>
    </w:tbl>
    <w:p>
      <w:pPr>
        <w:spacing w:after="60" w:before="0" w:line="40" w:lineRule="exact"/>
      </w:pPr>
      <w:r>
        <w:rPr>
          <w:sz w:val="4"/>
        </w:rPr>
      </w:r>
    </w:p>
    <w:p>
      <w:pPr>
        <w:pStyle w:val="Heading1"/>
        <w:widowControl/>
      </w:pPr>
      <w:r>
        <w:t>6. Storage-zone direction: validated prototype result</w:t>
      </w:r>
    </w:p>
    <w:p>
      <w:pPr>
        <w:pStyle w:val="Callout"/>
        <w:keepLines/>
        <w:shd w:fill="F0F4F5"/>
        <w:ind w:left="140" w:right="140"/>
      </w:pPr>
      <w:r>
        <w:t>VALIDATED DIRECTION  The player should author storage policy rather than manually target every ordinary item. Category zones plus automatic placement preserve the Quartermaster fantasy while removing precision friction. Manual placement remains an explicit override, not the default burden.</w:t>
      </w:r>
    </w:p>
    <w:p>
      <w:pPr>
        <w:widowControl/>
      </w:pPr>
      <w:r>
        <w:t>A zone is implemented as category metadata over hidden deterministic cells on one StorageSurface. The player edits zones through a paused flat UI rather than directly on shelf geometry. Each item has one primary Storage Category for storage policy even if it can provide different Utility at different destinations. Existing physical items do not teleport when zones are redrawn; zones steer future automatic placement.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Candidate rule</w:t>
            </w:r>
          </w:p>
        </w:tc>
        <w:tc>
          <w:tcPr>
            <w:tcW w:type="dxa" w:w="3816"/>
            <w:vAlign w:val="top"/>
            <w:shd w:fill="253842"/>
          </w:tcPr>
          <w:p>
            <w:pPr>
              <w:pStyle w:val="TableText"/>
              <w:keepNext/>
              <w:widowControl/>
            </w:pPr>
            <w:r>
              <w:rPr>
                <w:rFonts w:ascii="Lato" w:hAnsi="Lato"/>
                <w:b/>
                <w:color w:val="FFFFFF"/>
                <w:sz w:val="18"/>
              </w:rPr>
              <w:t>Rationale</w:t>
            </w:r>
          </w:p>
        </w:tc>
        <w:tc>
          <w:tcPr>
            <w:tcW w:type="dxa" w:w="3701"/>
            <w:vAlign w:val="top"/>
            <w:shd w:fill="253842"/>
          </w:tcPr>
          <w:p>
            <w:pPr>
              <w:pStyle w:val="TableText"/>
              <w:keepNext/>
              <w:widowControl/>
            </w:pPr>
            <w:r>
              <w:rPr>
                <w:rFonts w:ascii="Lato" w:hAnsi="Lato"/>
                <w:b/>
                <w:color w:val="FFFFFF"/>
                <w:sz w:val="18"/>
              </w:rPr>
              <w:t>Evidence status</w:t>
            </w:r>
          </w:p>
        </w:tc>
      </w:tr>
      <w:tr>
        <w:trPr>
          <w:cantSplit/>
        </w:trPr>
        <w:tc>
          <w:tcPr>
            <w:tcW w:type="dxa" w:w="2347"/>
            <w:vAlign w:val="top"/>
          </w:tcPr>
          <w:p>
            <w:pPr>
              <w:pStyle w:val="TableText"/>
              <w:keepNext w:val="0"/>
              <w:widowControl/>
            </w:pPr>
            <w:r>
              <w:rPr>
                <w:rFonts w:ascii="Lato" w:hAnsi="Lato"/>
                <w:b/>
                <w:color w:val="25323A"/>
                <w:sz w:val="18"/>
              </w:rPr>
              <w:t>Zones are snapped rectangles on one storage surface.</w:t>
            </w:r>
          </w:p>
        </w:tc>
        <w:tc>
          <w:tcPr>
            <w:tcW w:type="dxa" w:w="3816"/>
            <w:vAlign w:val="top"/>
          </w:tcPr>
          <w:p>
            <w:pPr>
              <w:pStyle w:val="TableText"/>
              <w:keepNext w:val="0"/>
              <w:widowControl/>
            </w:pPr>
            <w:r>
              <w:rPr>
                <w:rFonts w:ascii="Lato" w:hAnsi="Lato"/>
                <w:b w:val="0"/>
                <w:color w:val="25323A"/>
                <w:sz w:val="18"/>
              </w:rPr>
              <w:t>Matches the existing deterministic grid while keeping cell boundaries hidden from the player.</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Auto-placement searches matching category -&gt; General and stops; it never uses a different specific category or a blank/erased cell.</w:t>
            </w:r>
          </w:p>
        </w:tc>
        <w:tc>
          <w:tcPr>
            <w:tcW w:type="dxa" w:w="3816"/>
            <w:vAlign w:val="top"/>
            <w:shd w:fill="F6F8F9"/>
          </w:tcPr>
          <w:p>
            <w:pPr>
              <w:pStyle w:val="TableText"/>
              <w:keepNext w:val="0"/>
              <w:widowControl/>
            </w:pPr>
            <w:r>
              <w:rPr>
                <w:rFonts w:ascii="Lato" w:hAnsi="Lato"/>
                <w:b w:val="0"/>
                <w:color w:val="25323A"/>
                <w:sz w:val="18"/>
              </w:rPr>
              <w:t>The v0.2 unassigned-cell fallback was superseded after stacking stabilization. General is the forgiving universal zone; blank/erased means deliberately disabled storage.</w:t>
            </w:r>
          </w:p>
        </w:tc>
        <w:tc>
          <w:tcPr>
            <w:tcW w:type="dxa" w:w="3701"/>
            <w:vAlign w:val="top"/>
            <w:shd w:fill="F6F8F9"/>
          </w:tcPr>
          <w:p>
            <w:pPr>
              <w:pStyle w:val="TableText"/>
              <w:keepNext w:val="0"/>
              <w:widowControl/>
            </w:pPr>
            <w:r>
              <w:rPr>
                <w:rFonts w:ascii="Lato" w:hAnsi="Lato"/>
                <w:b w:val="0"/>
                <w:color w:val="25323A"/>
                <w:sz w:val="18"/>
              </w:rPr>
              <w:t>Validated; supersedes v0.2 fallback</w:t>
            </w:r>
          </w:p>
        </w:tc>
      </w:tr>
      <w:tr>
        <w:trPr>
          <w:cantSplit/>
        </w:trPr>
        <w:tc>
          <w:tcPr>
            <w:tcW w:type="dxa" w:w="2347"/>
            <w:vAlign w:val="top"/>
          </w:tcPr>
          <w:p>
            <w:pPr>
              <w:pStyle w:val="TableText"/>
              <w:keepNext w:val="0"/>
              <w:widowControl/>
            </w:pPr>
            <w:r>
              <w:rPr>
                <w:rFonts w:ascii="Lato" w:hAnsi="Lato"/>
                <w:b/>
                <w:color w:val="25323A"/>
                <w:sz w:val="18"/>
              </w:rPr>
              <w:t>Manual placement may ignore category zoning but cannot use disabled/erased cells.</w:t>
            </w:r>
          </w:p>
        </w:tc>
        <w:tc>
          <w:tcPr>
            <w:tcW w:type="dxa" w:w="3816"/>
            <w:vAlign w:val="top"/>
          </w:tcPr>
          <w:p>
            <w:pPr>
              <w:pStyle w:val="TableText"/>
              <w:keepNext w:val="0"/>
              <w:widowControl/>
            </w:pPr>
            <w:r>
              <w:rPr>
                <w:rFonts w:ascii="Lato" w:hAnsi="Lato"/>
                <w:b w:val="0"/>
                <w:color w:val="25323A"/>
                <w:sz w:val="18"/>
              </w:rPr>
              <w:t>Manual mode remains the Quartermaster's deliberate exception path without making No Zone synonymous with General.</w:t>
            </w:r>
          </w:p>
        </w:tc>
        <w:tc>
          <w:tcPr>
            <w:tcW w:type="dxa" w:w="3701"/>
            <w:vAlign w:val="top"/>
          </w:tcPr>
          <w:p>
            <w:pPr>
              <w:pStyle w:val="TableText"/>
              <w:keepNext w:val="0"/>
              <w:widowControl/>
            </w:pPr>
            <w:r>
              <w:rPr>
                <w:rFonts w:ascii="Lato" w:hAnsi="Lato"/>
                <w:b w:val="0"/>
                <w:color w:val="25323A"/>
                <w:sz w:val="18"/>
              </w:rPr>
              <w:t>Validated; refined after stacking stabilization</w:t>
            </w:r>
          </w:p>
        </w:tc>
      </w:tr>
      <w:tr>
        <w:trPr>
          <w:cantSplit/>
        </w:trPr>
        <w:tc>
          <w:tcPr>
            <w:tcW w:type="dxa" w:w="2347"/>
            <w:vAlign w:val="top"/>
            <w:shd w:fill="F6F8F9"/>
          </w:tcPr>
          <w:p>
            <w:pPr>
              <w:pStyle w:val="TableText"/>
              <w:keepNext w:val="0"/>
              <w:widowControl/>
            </w:pPr>
            <w:r>
              <w:rPr>
                <w:rFonts w:ascii="Lato" w:hAnsi="Lato"/>
                <w:b/>
                <w:color w:val="25323A"/>
                <w:sz w:val="18"/>
              </w:rPr>
              <w:t>One cell belongs to zero or one zone.</w:t>
            </w:r>
          </w:p>
        </w:tc>
        <w:tc>
          <w:tcPr>
            <w:tcW w:type="dxa" w:w="3816"/>
            <w:vAlign w:val="top"/>
            <w:shd w:fill="F6F8F9"/>
          </w:tcPr>
          <w:p>
            <w:pPr>
              <w:pStyle w:val="TableText"/>
              <w:keepNext w:val="0"/>
              <w:widowControl/>
            </w:pPr>
            <w:r>
              <w:rPr>
                <w:rFonts w:ascii="Lato" w:hAnsi="Lato"/>
                <w:b w:val="0"/>
                <w:color w:val="25323A"/>
                <w:sz w:val="18"/>
              </w:rPr>
              <w:t>Avoids priority ambiguity and makes rectangle repainting predictable.</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Resizing, clearing, or recategorizing zones does not move existing items.</w:t>
            </w:r>
          </w:p>
        </w:tc>
        <w:tc>
          <w:tcPr>
            <w:tcW w:type="dxa" w:w="3816"/>
            <w:vAlign w:val="top"/>
          </w:tcPr>
          <w:p>
            <w:pPr>
              <w:pStyle w:val="TableText"/>
              <w:keepNext w:val="0"/>
              <w:widowControl/>
            </w:pPr>
            <w:r>
              <w:rPr>
                <w:rFonts w:ascii="Lato" w:hAnsi="Lato"/>
                <w:b w:val="0"/>
                <w:color w:val="25323A"/>
                <w:sz w:val="18"/>
              </w:rPr>
              <w:t>Zones guide future placement rather than performing magical cleanup.</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Deterministic single-column support stacking provides vertical density; whether ordinary open shelves should also default to one shallow usable depth remains a separate furniture/readability question.</w:t>
            </w:r>
          </w:p>
        </w:tc>
        <w:tc>
          <w:tcPr>
            <w:tcW w:type="dxa" w:w="3816"/>
            <w:vAlign w:val="top"/>
            <w:shd w:fill="F6F8F9"/>
          </w:tcPr>
          <w:p>
            <w:pPr>
              <w:pStyle w:val="TableText"/>
              <w:keepNext w:val="0"/>
              <w:widowControl/>
            </w:pPr>
            <w:r>
              <w:rPr>
                <w:rFonts w:ascii="Lato" w:hAnsi="Lato"/>
                <w:b w:val="0"/>
                <w:color w:val="25323A"/>
                <w:sz w:val="18"/>
              </w:rPr>
              <w:t>Representative content showed that vertical stacking solves much of the apparent wasted-height problem without a volumetric grid. Deep-shelf occlusion remains a distinct world-design risk.</w:t>
            </w:r>
          </w:p>
        </w:tc>
        <w:tc>
          <w:tcPr>
            <w:tcW w:type="dxa" w:w="3701"/>
            <w:vAlign w:val="top"/>
            <w:shd w:fill="F6F8F9"/>
          </w:tcPr>
          <w:p>
            <w:pPr>
              <w:pStyle w:val="TableText"/>
              <w:keepNext w:val="0"/>
              <w:widowControl/>
            </w:pPr>
            <w:r>
              <w:rPr>
                <w:rFonts w:ascii="Lato" w:hAnsi="Lato"/>
                <w:b w:val="0"/>
                <w:color w:val="25323A"/>
                <w:sz w:val="18"/>
              </w:rPr>
              <w:t>Stacking validated; one-depth default still tentative</w:t>
            </w:r>
          </w:p>
        </w:tc>
      </w:tr>
      <w:tr>
        <w:trPr>
          <w:cantSplit/>
        </w:trPr>
        <w:tc>
          <w:tcPr>
            <w:tcW w:type="dxa" w:w="2347"/>
            <w:vAlign w:val="top"/>
          </w:tcPr>
          <w:p>
            <w:pPr>
              <w:pStyle w:val="TableText"/>
              <w:keepNext w:val="0"/>
              <w:widowControl/>
            </w:pPr>
            <w:r>
              <w:rPr>
                <w:rFonts w:ascii="Lato" w:hAnsi="Lato"/>
                <w:b/>
                <w:color w:val="25323A"/>
                <w:sz w:val="18"/>
              </w:rPr>
              <w:t>Untouched shelf surfaces initialize to General 100% on their first zoning interaction.</w:t>
            </w:r>
          </w:p>
        </w:tc>
        <w:tc>
          <w:tcPr>
            <w:tcW w:type="dxa" w:w="3816"/>
            <w:vAlign w:val="top"/>
          </w:tcPr>
          <w:p>
            <w:pPr>
              <w:pStyle w:val="TableText"/>
              <w:keepNext w:val="0"/>
              <w:widowControl/>
            </w:pPr>
            <w:r>
              <w:rPr>
                <w:rFonts w:ascii="Lato" w:hAnsi="Lato"/>
                <w:b w:val="0"/>
                <w:color w:val="25323A"/>
                <w:sz w:val="18"/>
              </w:rPr>
              <w:t>Players are introduced to zoning instead of receiving invisible automatic behavior they never authored. Clearing zones later does not re-trigger first-use initialization.</w:t>
            </w:r>
          </w:p>
        </w:tc>
        <w:tc>
          <w:tcPr>
            <w:tcW w:type="dxa" w:w="3701"/>
            <w:vAlign w:val="top"/>
          </w:tcPr>
          <w:p>
            <w:pPr>
              <w:pStyle w:val="TableText"/>
              <w:keepNext w:val="0"/>
              <w:widowControl/>
            </w:pPr>
            <w:r>
              <w:rPr>
                <w:rFonts w:ascii="Lato" w:hAnsi="Lato"/>
                <w:b w:val="0"/>
                <w:color w:val="25323A"/>
                <w:sz w:val="18"/>
              </w:rPr>
              <w:t>Validated</w:t>
            </w:r>
          </w:p>
        </w:tc>
      </w:tr>
      <w:tr>
        <w:trPr>
          <w:cantSplit/>
        </w:trPr>
        <w:tc>
          <w:tcPr>
            <w:tcW w:type="dxa" w:w="2347"/>
            <w:vAlign w:val="top"/>
            <w:shd w:fill="F6F8F9"/>
          </w:tcPr>
          <w:p>
            <w:pPr>
              <w:pStyle w:val="TableText"/>
              <w:keepNext w:val="0"/>
              <w:widowControl/>
            </w:pPr>
            <w:r>
              <w:rPr>
                <w:rFonts w:ascii="Lato" w:hAnsi="Lato"/>
                <w:b/>
                <w:color w:val="25323A"/>
                <w:sz w:val="18"/>
              </w:rPr>
              <w:t>Default zone-auto mode shows no placement grid or green ghost; manual mode carries precision/debug presentation.</w:t>
            </w:r>
          </w:p>
        </w:tc>
        <w:tc>
          <w:tcPr>
            <w:tcW w:type="dxa" w:w="3816"/>
            <w:vAlign w:val="top"/>
            <w:shd w:fill="F6F8F9"/>
          </w:tcPr>
          <w:p>
            <w:pPr>
              <w:pStyle w:val="TableText"/>
              <w:keepNext w:val="0"/>
              <w:widowControl/>
            </w:pPr>
            <w:r>
              <w:rPr>
                <w:rFonts w:ascii="Lato" w:hAnsi="Lato"/>
                <w:b w:val="0"/>
                <w:color w:val="25323A"/>
                <w:sz w:val="18"/>
              </w:rPr>
              <w:t>Trying to serve both workflows simultaneously created visual clutter and worse ergonomics.</w:t>
            </w:r>
          </w:p>
        </w:tc>
        <w:tc>
          <w:tcPr>
            <w:tcW w:type="dxa" w:w="3701"/>
            <w:vAlign w:val="top"/>
            <w:shd w:fill="F6F8F9"/>
          </w:tcPr>
          <w:p>
            <w:pPr>
              <w:pStyle w:val="TableText"/>
              <w:keepNext w:val="0"/>
              <w:widowControl/>
            </w:pPr>
            <w:r>
              <w:rPr>
                <w:rFonts w:ascii="Lato" w:hAnsi="Lato"/>
                <w:b w:val="0"/>
                <w:color w:val="25323A"/>
                <w:sz w:val="18"/>
              </w:rPr>
              <w:t>Validated</w:t>
            </w:r>
          </w:p>
        </w:tc>
      </w:tr>
      <w:tr>
        <w:trPr>
          <w:cantSplit/>
        </w:trPr>
        <w:tc>
          <w:tcPr>
            <w:tcW w:type="dxa" w:w="2347"/>
            <w:vAlign w:val="top"/>
          </w:tcPr>
          <w:p>
            <w:pPr>
              <w:pStyle w:val="TableText"/>
              <w:keepNext w:val="0"/>
              <w:widowControl/>
            </w:pPr>
            <w:r>
              <w:rPr>
                <w:rFonts w:ascii="Lato" w:hAnsi="Lato"/>
                <w:b/>
                <w:color w:val="25323A"/>
                <w:sz w:val="18"/>
              </w:rPr>
              <w:t>Holding E repeatedly stores the current/next carried items using zoning policy.</w:t>
            </w:r>
          </w:p>
        </w:tc>
        <w:tc>
          <w:tcPr>
            <w:tcW w:type="dxa" w:w="3816"/>
            <w:vAlign w:val="top"/>
          </w:tcPr>
          <w:p>
            <w:pPr>
              <w:pStyle w:val="TableText"/>
              <w:keepNext w:val="0"/>
              <w:widowControl/>
            </w:pPr>
            <w:r>
              <w:rPr>
                <w:rFonts w:ascii="Lato" w:hAnsi="Lato"/>
                <w:b w:val="0"/>
                <w:color w:val="25323A"/>
                <w:sz w:val="18"/>
              </w:rPr>
              <w:t>Turns good organization into tactile throughput and reduces repetitive keypresses.</w:t>
            </w:r>
          </w:p>
        </w:tc>
        <w:tc>
          <w:tcPr>
            <w:tcW w:type="dxa" w:w="3701"/>
            <w:vAlign w:val="top"/>
          </w:tcPr>
          <w:p>
            <w:pPr>
              <w:pStyle w:val="TableText"/>
              <w:keepNext w:val="0"/>
              <w:widowControl/>
            </w:pPr>
            <w:r>
              <w:rPr>
                <w:rFonts w:ascii="Lato" w:hAnsi="Lato"/>
                <w:b w:val="0"/>
                <w:color w:val="25323A"/>
                <w:sz w:val="18"/>
              </w:rPr>
              <w:t>Validated</w:t>
            </w:r>
          </w:p>
        </w:tc>
      </w:tr>
    </w:tbl>
    <w:p>
      <w:pPr>
        <w:spacing w:after="60" w:before="0" w:line="40" w:lineRule="exact"/>
      </w:pPr>
      <w:r>
        <w:rPr>
          <w:sz w:val="4"/>
        </w:rPr>
      </w:r>
    </w:p>
    <w:p>
      <w:pPr>
        <w:pStyle w:val="Heading2"/>
        <w:widowControl/>
      </w:pPr>
      <w:r>
        <w:t>Why this remains compatible with the GDD</w:t>
      </w:r>
    </w:p>
    <w:p>
      <w:pPr>
        <w:widowControl/>
      </w:pPr>
      <w:r>
        <w:t>GDD v0.10 retains the zoning rules promoted in the earlier storage gate. The representative catalogue evidence supports preserving that policy; service-space, greybox and continuing-wing updates do not reopen storage mechanics.</w:t>
      </w:r>
    </w:p>
    <w:p>
      <w:pPr>
        <w:pStyle w:val="Heading1"/>
        <w:widowControl/>
      </w:pPr>
      <w:r>
        <w:t>7. Validated assumptions and unresolved questions</w:t>
      </w:r>
    </w:p>
    <w:p>
      <w:pPr/>
      <w:r>
        <w:t>29 September supersession: the following question table is a 21 September checkpoint. Fixed ladder, Stage B presentation and EAF1–EAF5 progressed afterward; §§26–30 carry their current status.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Area</w:t>
            </w:r>
          </w:p>
        </w:tc>
        <w:tc>
          <w:tcPr>
            <w:tcW w:type="dxa" w:w="3816"/>
            <w:vAlign w:val="top"/>
            <w:shd w:fill="253842"/>
          </w:tcPr>
          <w:p>
            <w:pPr>
              <w:pStyle w:val="TableText"/>
              <w:keepNext/>
              <w:widowControl/>
            </w:pPr>
            <w:r>
              <w:rPr>
                <w:rFonts w:ascii="Lato" w:hAnsi="Lato"/>
                <w:b/>
                <w:color w:val="FFFFFF"/>
                <w:sz w:val="18"/>
              </w:rPr>
              <w:t>Current conclusion</w:t>
            </w:r>
          </w:p>
        </w:tc>
        <w:tc>
          <w:tcPr>
            <w:tcW w:type="dxa" w:w="3701"/>
            <w:vAlign w:val="top"/>
            <w:shd w:fill="253842"/>
          </w:tcPr>
          <w:p>
            <w:pPr>
              <w:pStyle w:val="TableText"/>
              <w:keepNext/>
              <w:widowControl/>
            </w:pPr>
            <w:r>
              <w:rPr>
                <w:rFonts w:ascii="Lato" w:hAnsi="Lato"/>
                <w:b/>
                <w:color w:val="FFFFFF"/>
                <w:sz w:val="18"/>
              </w:rPr>
              <w:t>Required next evidence</w:t>
            </w:r>
          </w:p>
        </w:tc>
      </w:tr>
      <w:tr>
        <w:trPr>
          <w:cantSplit/>
        </w:trPr>
        <w:tc>
          <w:tcPr>
            <w:tcW w:type="dxa" w:w="2347"/>
            <w:vAlign w:val="top"/>
          </w:tcPr>
          <w:p>
            <w:pPr>
              <w:pStyle w:val="TableText"/>
              <w:keepNext w:val="0"/>
              <w:widowControl/>
            </w:pPr>
            <w:r>
              <w:rPr>
                <w:rFonts w:ascii="Lato" w:hAnsi="Lato"/>
                <w:b/>
                <w:color w:val="25323A"/>
                <w:sz w:val="18"/>
              </w:rPr>
              <w:t>Deterministic no-drop handling</w:t>
            </w:r>
          </w:p>
        </w:tc>
        <w:tc>
          <w:tcPr>
            <w:tcW w:type="dxa" w:w="3816"/>
            <w:vAlign w:val="top"/>
          </w:tcPr>
          <w:p>
            <w:pPr>
              <w:pStyle w:val="TableText"/>
              <w:keepNext w:val="0"/>
              <w:widowControl/>
            </w:pPr>
            <w:r>
              <w:rPr>
                <w:rFonts w:ascii="Lato" w:hAnsi="Lato"/>
                <w:b w:val="0"/>
                <w:color w:val="25323A"/>
                <w:sz w:val="18"/>
              </w:rPr>
              <w:t>Human-validated across the 40 eligible items within the 42-definition catalogue and the 14-scenario gate. No claim that Gloves/Pants passed gameplay eligibility.</w:t>
            </w:r>
          </w:p>
        </w:tc>
        <w:tc>
          <w:tcPr>
            <w:tcW w:type="dxa" w:w="3701"/>
            <w:vAlign w:val="top"/>
          </w:tcPr>
          <w:p>
            <w:pPr>
              <w:pStyle w:val="TableText"/>
              <w:keepNext w:val="0"/>
              <w:widowControl/>
            </w:pPr>
            <w:r>
              <w:rPr>
                <w:rFonts w:ascii="Lato" w:hAnsi="Lato"/>
                <w:b w:val="0"/>
                <w:color w:val="25323A"/>
                <w:sz w:val="18"/>
              </w:rPr>
              <w:t>Preserve regressions; reuse the review-scene supply setup and validate new furniture contexts rather than reinvent handling.</w:t>
            </w:r>
          </w:p>
        </w:tc>
      </w:tr>
      <w:tr>
        <w:trPr>
          <w:cantSplit/>
        </w:trPr>
        <w:tc>
          <w:tcPr>
            <w:tcW w:type="dxa" w:w="2347"/>
            <w:vAlign w:val="top"/>
            <w:shd w:fill="F6F8F9"/>
          </w:tcPr>
          <w:p>
            <w:pPr>
              <w:pStyle w:val="TableText"/>
              <w:keepNext w:val="0"/>
              <w:widowControl/>
            </w:pPr>
            <w:r>
              <w:rPr>
                <w:rFonts w:ascii="Lato" w:hAnsi="Lato"/>
                <w:b/>
                <w:color w:val="25323A"/>
                <w:sz w:val="18"/>
              </w:rPr>
              <w:t>Shelf geometry</w:t>
            </w:r>
          </w:p>
        </w:tc>
        <w:tc>
          <w:tcPr>
            <w:tcW w:type="dxa" w:w="3816"/>
            <w:vAlign w:val="top"/>
            <w:shd w:fill="F6F8F9"/>
          </w:tcPr>
          <w:p>
            <w:pPr>
              <w:pStyle w:val="TableText"/>
              <w:keepNext w:val="0"/>
              <w:widowControl/>
            </w:pPr>
            <w:r>
              <w:rPr>
                <w:rFonts w:ascii="Lato" w:hAnsi="Lato"/>
                <w:b w:val="0"/>
                <w:color w:val="25323A"/>
                <w:sz w:val="18"/>
              </w:rPr>
              <w:t>Per-level profiles and scale-isolated StorageSurfaces are workable. Closed/intermediate stack clearance is derived from adjacent authored shelf planes and Y scale; open-top clearance is explicitly authored per placed instance. Standalone empty placement now also rejects items whose authoritative seated posed top exceeds the surface physical clearance.</w:t>
            </w:r>
          </w:p>
        </w:tc>
        <w:tc>
          <w:tcPr>
            <w:tcW w:type="dxa" w:w="3701"/>
            <w:vAlign w:val="top"/>
            <w:shd w:fill="F6F8F9"/>
          </w:tcPr>
          <w:p>
            <w:pPr>
              <w:pStyle w:val="TableText"/>
              <w:keepNext w:val="0"/>
              <w:widowControl/>
            </w:pPr>
            <w:r>
              <w:rPr>
                <w:rFonts w:ascii="Lato" w:hAnsi="Lato"/>
                <w:b w:val="0"/>
                <w:color w:val="25323A"/>
                <w:sz w:val="18"/>
              </w:rPr>
              <w:t>Approved visual direction favors shallow wall-fitted shelves and deeper multi-sided units. Exact depth/height and top-level visibility still require first-person tests; no universal one-item-depth rule is imposed.</w:t>
            </w:r>
          </w:p>
        </w:tc>
      </w:tr>
      <w:tr>
        <w:trPr>
          <w:cantSplit/>
        </w:trPr>
        <w:tc>
          <w:tcPr>
            <w:tcW w:type="dxa" w:w="2347"/>
            <w:vAlign w:val="center"/>
          </w:tcPr>
          <w:p>
            <w:r>
              <w:t>Crouch / ladders</w:t>
            </w:r>
          </w:p>
        </w:tc>
        <w:tc>
          <w:tcPr>
            <w:tcW w:type="dxa" w:w="3816"/>
            <w:vAlign w:val="center"/>
          </w:tcPr>
          <w:p>
            <w:r>
              <w:t>Crouch remains deferred. A fixed floor-position ladder serving selected taller racks is approved for one proof. No general climbing, jumping, movable/sliding ladder, animation, visible hands, fall system or shelf-top traversal is promoted.</w:t>
            </w:r>
          </w:p>
        </w:tc>
        <w:tc>
          <w:tcPr>
            <w:tcW w:type="dxa" w:w="3701"/>
            <w:vAlign w:val="center"/>
          </w:tcPr>
          <w:p>
            <w:r>
              <w:t>Run the single-rack proof and obtain a human decision. Validate yaw clamp, climb speed, selected installation geometry and human acceptability.</w:t>
            </w:r>
          </w:p>
        </w:tc>
      </w:tr>
      <w:tr>
        <w:trPr>
          <w:cantSplit/>
        </w:trPr>
        <w:tc>
          <w:tcPr>
            <w:tcW w:type="dxa" w:w="2347"/>
            <w:vAlign w:val="top"/>
            <w:shd w:fill="F6F8F9"/>
          </w:tcPr>
          <w:p>
            <w:pPr>
              <w:pStyle w:val="TableText"/>
              <w:keepNext w:val="0"/>
              <w:widowControl/>
            </w:pPr>
            <w:r>
              <w:rPr>
                <w:rFonts w:ascii="Lato" w:hAnsi="Lato"/>
                <w:b/>
                <w:color w:val="25323A"/>
                <w:sz w:val="18"/>
              </w:rPr>
              <w:t>Auto-placement / zones</w:t>
            </w:r>
          </w:p>
        </w:tc>
        <w:tc>
          <w:tcPr>
            <w:tcW w:type="dxa" w:w="3816"/>
            <w:vAlign w:val="top"/>
            <w:shd w:fill="F6F8F9"/>
          </w:tcPr>
          <w:p>
            <w:pPr>
              <w:pStyle w:val="TableText"/>
              <w:keepNext w:val="0"/>
              <w:widowControl/>
            </w:pPr>
            <w:r>
              <w:rPr>
                <w:rFonts w:ascii="Lato" w:hAnsi="Lato"/>
                <w:b w:val="0"/>
                <w:color w:val="25323A"/>
                <w:sz w:val="18"/>
              </w:rPr>
              <w:t>Validated as the current direction, including catalogue-scale stacking and zone behavior. Exact item Storage Categories are Food, Hydration, Medical, Weapons, Protection, Fuel, Morale, and Electronics. General is a universal zone, not an item category; erased cells are disabled.</w:t>
            </w:r>
          </w:p>
        </w:tc>
        <w:tc>
          <w:tcPr>
            <w:tcW w:type="dxa" w:w="3701"/>
            <w:vAlign w:val="top"/>
            <w:shd w:fill="F6F8F9"/>
          </w:tcPr>
          <w:p>
            <w:pPr>
              <w:pStyle w:val="TableText"/>
              <w:keepNext w:val="0"/>
              <w:widowControl/>
            </w:pPr>
            <w:r>
              <w:rPr>
                <w:rFonts w:ascii="Lato" w:hAnsi="Lato"/>
                <w:b w:val="0"/>
                <w:color w:val="25323A"/>
                <w:sz w:val="18"/>
              </w:rPr>
              <w:t>Observe category throughput, saturation, and player-authored organization under future random Receiving batches and timed system demands. No zoning redesign is currently indicated.</w:t>
            </w:r>
          </w:p>
        </w:tc>
      </w:tr>
      <w:tr>
        <w:trPr>
          <w:cantSplit/>
        </w:trPr>
        <w:tc>
          <w:tcPr>
            <w:tcW w:type="dxa" w:w="2347"/>
            <w:vAlign w:val="top"/>
          </w:tcPr>
          <w:p>
            <w:pPr>
              <w:pStyle w:val="TableText"/>
              <w:keepNext w:val="0"/>
              <w:widowControl/>
            </w:pPr>
            <w:r>
              <w:rPr>
                <w:rFonts w:ascii="Lato" w:hAnsi="Lato"/>
                <w:b/>
                <w:color w:val="25323A"/>
                <w:sz w:val="18"/>
              </w:rPr>
              <w:t>Asset authoring scale</w:t>
            </w:r>
          </w:p>
        </w:tc>
        <w:tc>
          <w:tcPr>
            <w:tcW w:type="dxa" w:w="3816"/>
            <w:vAlign w:val="top"/>
          </w:tcPr>
          <w:p>
            <w:pPr>
              <w:pStyle w:val="TableText"/>
              <w:keepNext w:val="0"/>
              <w:widowControl/>
            </w:pPr>
            <w:r>
              <w:rPr>
                <w:rFonts w:ascii="Lato" w:hAnsi="Lato"/>
                <w:b w:val="0"/>
                <w:color w:val="25323A"/>
                <w:sz w:val="18"/>
              </w:rPr>
              <w:t>Loot authoring/import pipeline remains viable. Environment relocation passed; 408 GLBs were inspected. KitBash support clarification is recorded, and a ready-map material sample was inspected.</w:t>
            </w:r>
          </w:p>
        </w:tc>
        <w:tc>
          <w:tcPr>
            <w:tcW w:type="dxa" w:w="3701"/>
            <w:vAlign w:val="top"/>
          </w:tcPr>
          <w:p>
            <w:pPr>
              <w:pStyle w:val="TableText"/>
              <w:keepNext w:val="0"/>
              <w:widowControl/>
            </w:pPr>
            <w:r>
              <w:rPr>
                <w:rFonts w:ascii="Lato" w:hAnsi="Lato"/>
                <w:b w:val="0"/>
                <w:color w:val="25323A"/>
                <w:sz w:val="18"/>
              </w:rPr>
              <w:t>Prove material coherence under the new visual authority. PBR/generated structural kit is available as a candidate, not validated production output.</w:t>
            </w:r>
          </w:p>
        </w:tc>
      </w:tr>
      <w:tr>
        <w:trPr>
          <w:cantSplit/>
        </w:trPr>
        <w:tc>
          <w:tcPr>
            <w:tcW w:type="dxa" w:w="2347"/>
            <w:vAlign w:val="top"/>
            <w:shd w:fill="F6F8F9"/>
          </w:tcPr>
          <w:p>
            <w:pPr>
              <w:pStyle w:val="TableText"/>
              <w:keepNext w:val="0"/>
              <w:widowControl/>
            </w:pPr>
            <w:r>
              <w:rPr>
                <w:rFonts w:ascii="Lato" w:hAnsi="Lato"/>
                <w:b/>
                <w:color w:val="25323A"/>
                <w:sz w:val="18"/>
              </w:rPr>
              <w:t>Thumbnail presentation</w:t>
            </w:r>
          </w:p>
        </w:tc>
        <w:tc>
          <w:tcPr>
            <w:tcW w:type="dxa" w:w="3816"/>
            <w:vAlign w:val="top"/>
            <w:shd w:fill="F6F8F9"/>
          </w:tcPr>
          <w:p>
            <w:pPr>
              <w:pStyle w:val="TableText"/>
              <w:keepNext w:val="0"/>
              <w:widowControl/>
            </w:pPr>
            <w:r>
              <w:rPr>
                <w:rFonts w:ascii="Lato" w:hAnsi="Lato"/>
                <w:b w:val="0"/>
                <w:color w:val="25323A"/>
                <w:sz w:val="18"/>
              </w:rPr>
              <w:t>The early live-preview implementation failed lighting isolation. Prototype held meshes/HUD remain temporary; SubViewport technology itself is not prohibited.</w:t>
            </w:r>
          </w:p>
        </w:tc>
        <w:tc>
          <w:tcPr>
            <w:tcW w:type="dxa" w:w="3701"/>
            <w:vAlign w:val="top"/>
            <w:shd w:fill="F6F8F9"/>
          </w:tcPr>
          <w:p>
            <w:pPr>
              <w:pStyle w:val="TableText"/>
              <w:keepNext w:val="0"/>
              <w:widowControl/>
            </w:pPr>
            <w:r>
              <w:rPr>
                <w:rFonts w:ascii="Lato" w:hAnsi="Lato"/>
                <w:b w:val="0"/>
                <w:color w:val="25323A"/>
                <w:sz w:val="18"/>
              </w:rPr>
              <w:t>Defer offline/editor thumbnail baking until it blocks content readability or a later production-art pass.</w:t>
            </w:r>
          </w:p>
        </w:tc>
      </w:tr>
      <w:tr>
        <w:trPr>
          <w:cantSplit/>
        </w:trPr>
        <w:tc>
          <w:tcPr>
            <w:tcW w:type="dxa" w:w="2347"/>
            <w:vAlign w:val="center"/>
          </w:tcPr>
          <w:p>
            <w:r>
              <w:t>Footprint authoring</w:t>
            </w:r>
          </w:p>
        </w:tc>
        <w:tc>
          <w:tcPr>
            <w:tcW w:type="dxa" w:w="3816"/>
            <w:vAlign w:val="center"/>
          </w:tcPr>
          <w:p>
            <w:r>
              <w:t>The 11 September 28/12 split remains historical. Current 21 September reconciliation covers all 40 eligible definitions: 21 default / 19 custom poses and 27 geometry / 13 deliberate Footprint overrides; Gloves and Pants remain blocked.</w:t>
            </w:r>
          </w:p>
        </w:tc>
        <w:tc>
          <w:tcPr>
            <w:tcW w:type="dxa" w:w="3701"/>
            <w:vAlign w:val="center"/>
          </w:tcPr>
          <w:p>
            <w:r>
              <w:t>Use the canonical pose workbench for new content. Preserve explicit authored Footprint and human approval; reopen only when a source or intentional pose change invalidates dependent evidence.</w:t>
            </w:r>
          </w:p>
        </w:tc>
      </w:tr>
      <w:tr>
        <w:trPr>
          <w:cantSplit/>
        </w:trPr>
        <w:tc>
          <w:tcPr>
            <w:tcW w:type="dxa" w:w="2347"/>
            <w:vAlign w:val="center"/>
            <w:shd w:fill="F6F8F9"/>
          </w:tcPr>
          <w:p>
            <w:r>
              <w:t>Full game systems</w:t>
            </w:r>
          </w:p>
        </w:tc>
        <w:tc>
          <w:tcPr>
            <w:tcW w:type="dxa" w:w="3816"/>
            <w:vAlign w:val="center"/>
            <w:shd w:fill="F6F8F9"/>
          </w:tcPr>
          <w:p>
            <w:r>
              <w:t>Stage A data/lifecycle, neutral wing and the Storage Authoring Foundation are complete. Physical Receiving, timed obligations, economy and full-system saves remain unvalidated.</w:t>
            </w:r>
          </w:p>
        </w:tc>
        <w:tc>
          <w:tcPr>
            <w:tcW w:type="dxa" w:w="3701"/>
            <w:vAlign w:val="center"/>
            <w:shd w:fill="F6F8F9"/>
          </w:tcPr>
          <w:p>
            <w:r>
              <w:t>Single-rack fixed-ladder proof -&gt; human ladder decision -&gt; functional Receiving unless a concrete storage blocker appears, then timed obligations.</w:t>
            </w:r>
          </w:p>
        </w:tc>
      </w:tr>
      <w:tr>
        <w:trPr>
          <w:cantSplit/>
        </w:trPr>
        <w:tc>
          <w:tcPr>
            <w:tcW w:type="dxa" w:w="2347"/>
            <w:vAlign w:val="top"/>
          </w:tcPr>
          <w:p>
            <w:pPr>
              <w:pStyle w:val="TableText"/>
              <w:keepNext w:val="0"/>
              <w:widowControl/>
            </w:pPr>
            <w:r>
              <w:rPr>
                <w:rFonts w:ascii="Lato" w:hAnsi="Lato"/>
                <w:b/>
                <w:color w:val="25323A"/>
                <w:sz w:val="18"/>
              </w:rPr>
              <w:t>Local AI / Godot integration</w:t>
            </w:r>
          </w:p>
        </w:tc>
        <w:tc>
          <w:tcPr>
            <w:tcW w:type="dxa" w:w="3816"/>
            <w:vAlign w:val="top"/>
          </w:tcPr>
          <w:p>
            <w:pPr>
              <w:pStyle w:val="TableText"/>
              <w:keepNext w:val="0"/>
              <w:widowControl/>
            </w:pPr>
            <w:r>
              <w:rPr>
                <w:rFonts w:ascii="Lato" w:hAnsi="Lato"/>
                <w:b w:val="0"/>
                <w:color w:val="25323A"/>
                <w:sz w:val="18"/>
              </w:rPr>
              <w:t>Local Codex access to the authoritative Windows Godot project, ignored assets/, .godot import state, and direct Godot CLI is established. The online GitHub repository is useful supplementary context but is not asset/import authority.</w:t>
            </w:r>
          </w:p>
        </w:tc>
        <w:tc>
          <w:tcPr>
            <w:tcW w:type="dxa" w:w="3701"/>
            <w:vAlign w:val="top"/>
          </w:tcPr>
          <w:p>
            <w:pPr>
              <w:pStyle w:val="TableText"/>
              <w:keepNext w:val="0"/>
              <w:widowControl/>
            </w:pPr>
            <w:r>
              <w:rPr>
                <w:rFonts w:ascii="Lato" w:hAnsi="Lato"/>
                <w:b w:val="0"/>
                <w:color w:val="25323A"/>
                <w:sz w:val="18"/>
              </w:rPr>
              <w:t>Continue asset-sensitive inspection and validation against the authoritative local project; use GitHub for tracked source/history and independent review where appropriate.</w:t>
            </w:r>
          </w:p>
        </w:tc>
      </w:tr>
      <w:tr>
        <w:trPr>
          <w:cantSplit/>
        </w:trPr>
        <w:tc>
          <w:tcPr>
            <w:tcW w:type="dxa" w:w="2347"/>
            <w:vAlign w:val="top"/>
            <w:shd w:fill="F6F8F9"/>
          </w:tcPr>
          <w:p>
            <w:pPr>
              <w:pStyle w:val="TableText"/>
              <w:keepNext w:val="0"/>
              <w:widowControl/>
            </w:pPr>
            <w:r>
              <w:rPr>
                <w:rFonts w:ascii="Lato" w:hAnsi="Lato"/>
                <w:b/>
                <w:color w:val="25323A"/>
                <w:sz w:val="18"/>
              </w:rPr>
              <w:t>Deterministic support stacking</w:t>
            </w:r>
          </w:p>
        </w:tc>
        <w:tc>
          <w:tcPr>
            <w:tcW w:type="dxa" w:w="3816"/>
            <w:vAlign w:val="top"/>
            <w:shd w:fill="F6F8F9"/>
          </w:tcPr>
          <w:p>
            <w:pPr>
              <w:pStyle w:val="TableText"/>
              <w:keepNext w:val="0"/>
              <w:widowControl/>
            </w:pPr>
            <w:r>
              <w:rPr>
                <w:rFonts w:ascii="Lato" w:hAnsi="Lato"/>
                <w:b w:val="0"/>
                <w:color w:val="25323A"/>
                <w:sz w:val="18"/>
              </w:rPr>
              <w:t>Promoted after the representative 14-scenario catalogue-scale gate: authored support roles, four strict Auto Groups, stack-first placement, smart insertion, auto-only base promotion, 95% stack headroom, visible-member retrieval, deterministic compression, reservation shrink/expand, and representative manual mixed stacking all passed mechanically and predictably.</w:t>
            </w:r>
          </w:p>
        </w:tc>
        <w:tc>
          <w:tcPr>
            <w:tcW w:type="dxa" w:w="3701"/>
            <w:vAlign w:val="top"/>
            <w:shd w:fill="F6F8F9"/>
          </w:tcPr>
          <w:p>
            <w:pPr>
              <w:pStyle w:val="TableText"/>
              <w:keepNext w:val="0"/>
              <w:widowControl/>
            </w:pPr>
            <w:r>
              <w:rPr>
                <w:rFonts w:ascii="Lato" w:hAnsi="Lato"/>
                <w:b w:val="0"/>
                <w:color w:val="25323A"/>
                <w:sz w:val="18"/>
              </w:rPr>
              <w:t>Reopen only if materially expanded content or future system pressure exposes a specific failure. Mixed/non-auto-coherent auto behavior, manual under-base insertion, and multi-column support packing remain intentionally unchanged/deferred.</w:t>
            </w:r>
          </w:p>
        </w:tc>
      </w:tr>
      <w:tr>
        <w:trPr>
          <w:cantSplit/>
        </w:trPr>
        <w:tc>
          <w:tcPr>
            <w:tcW w:type="dxa" w:w="2347"/>
            <w:vAlign w:val="top"/>
          </w:tcPr>
          <w:p>
            <w:pPr>
              <w:pStyle w:val="TableText"/>
              <w:keepNext w:val="0"/>
              <w:widowControl/>
            </w:pPr>
            <w:r>
              <w:rPr>
                <w:rFonts w:ascii="Lato" w:hAnsi="Lato"/>
                <w:b/>
                <w:color w:val="25323A"/>
                <w:sz w:val="18"/>
              </w:rPr>
              <w:t>Human validation handoffs</w:t>
            </w:r>
          </w:p>
        </w:tc>
        <w:tc>
          <w:tcPr>
            <w:tcW w:type="dxa" w:w="3816"/>
            <w:vAlign w:val="top"/>
          </w:tcPr>
          <w:p>
            <w:pPr>
              <w:pStyle w:val="TableText"/>
              <w:keepNext w:val="0"/>
              <w:widowControl/>
            </w:pPr>
            <w:r>
              <w:rPr>
                <w:rFonts w:ascii="Lato" w:hAnsi="Lato"/>
                <w:b w:val="0"/>
                <w:color w:val="25323A"/>
                <w:sz w:val="18"/>
              </w:rPr>
              <w:t>A repo-local /docs/testing playtest handoff is now the standard delivery whenever player-facing evidence is required. The deterministic-support, catalogue-scale, pickup, and singleton-clearance gates all preserved automated correctness separately from human evidence.</w:t>
            </w:r>
          </w:p>
        </w:tc>
        <w:tc>
          <w:tcPr>
            <w:tcW w:type="dxa" w:w="3701"/>
            <w:vAlign w:val="top"/>
          </w:tcPr>
          <w:p>
            <w:pPr>
              <w:pStyle w:val="TableText"/>
              <w:keepNext w:val="0"/>
              <w:widowControl/>
            </w:pPr>
            <w:r>
              <w:rPr>
                <w:rFonts w:ascii="Lato" w:hAnsi="Lato"/>
                <w:b w:val="0"/>
                <w:color w:val="25323A"/>
                <w:sz w:val="18"/>
              </w:rPr>
              <w:t>Continue scaling evidence burden to task impact and require explicit promote/revise/reject questions for architectural gameplay gates.</w:t>
            </w:r>
          </w:p>
        </w:tc>
      </w:tr>
      <w:tr>
        <w:trPr>
          <w:cantSplit/>
        </w:trPr>
        <w:tc>
          <w:tcPr>
            <w:tcW w:type="dxa" w:w="2347"/>
            <w:vAlign w:val="top"/>
            <w:shd w:fill="F6F8F9"/>
          </w:tcPr>
          <w:p>
            <w:pPr>
              <w:pStyle w:val="TableText"/>
              <w:keepNext w:val="0"/>
              <w:widowControl/>
            </w:pPr>
            <w:r>
              <w:rPr>
                <w:rFonts w:ascii="Lato" w:hAnsi="Lato"/>
                <w:b/>
                <w:color w:val="25323A"/>
                <w:sz w:val="18"/>
              </w:rPr>
              <w:t>Environment validation</w:t>
            </w:r>
          </w:p>
        </w:tc>
        <w:tc>
          <w:tcPr>
            <w:tcW w:type="dxa" w:w="3816"/>
            <w:vAlign w:val="top"/>
            <w:shd w:fill="F6F8F9"/>
          </w:tcPr>
          <w:p>
            <w:pPr>
              <w:pStyle w:val="TableText"/>
              <w:keepNext w:val="0"/>
              <w:widowControl/>
            </w:pPr>
            <w:r>
              <w:rPr>
                <w:sz w:val="18"/>
              </w:rPr>
              <w:t>Human-PROMOTED neutral wing after correction rounds and final Medical-only tuning. Supervised authoring feasibility and isolated revision demonstrated; art quality not established.</w:t>
            </w:r>
          </w:p>
        </w:tc>
        <w:tc>
          <w:tcPr>
            <w:tcW w:type="dxa" w:w="3701"/>
            <w:vAlign w:val="top"/>
            <w:shd w:fill="F6F8F9"/>
          </w:tcPr>
          <w:p>
            <w:pPr>
              <w:pStyle w:val="TableText"/>
              <w:keepNext w:val="0"/>
              <w:widowControl/>
            </w:pPr>
            <w:r>
              <w:rPr>
                <w:sz w:val="18"/>
              </w:rPr>
              <w:t>Use accepted geometry and the completed continuing gameplay integration. Test review-scene supply reuse, reusable rack authoring and bounded ladder interaction, not another abstract full-wing geometry gate.</w:t>
            </w:r>
          </w:p>
        </w:tc>
      </w:tr>
    </w:tbl>
    <w:p>
      <w:pPr>
        <w:spacing w:after="60" w:before="0" w:line="40" w:lineRule="exact"/>
      </w:pPr>
      <w:r>
        <w:rPr>
          <w:sz w:val="4"/>
        </w:rPr>
      </w:r>
    </w:p>
    <w:p>
      <w:pPr>
        <w:pStyle w:val="Heading1"/>
        <w:widowControl/>
      </w:pPr>
      <w:r>
        <w:t>8. v0.2 recommended next prototype slice (historical checkpoint)</w:t>
      </w:r>
    </w:p>
    <w:p>
      <w:pPr>
        <w:widowControl/>
      </w:pPr>
      <w:r>
        <w:t>This slice has now been substantially completed or superseded. The mesh-bounds audit, persistent catalogue, pose/Footprint review, representative-content test, Auto Group authoring, catalogue-scale stacking gate, and subsequent singleton-clearance stabilization all progressed after v0.2. Sections 13-14 record the current validated state and prototype closure.</w:t>
      </w:r>
    </w:p>
    <w:p>
      <w:pPr>
        <w:pStyle w:val="ListNumber"/>
        <w:widowControl/>
      </w:pPr>
      <w:r>
        <w:t>Establish a local ChatGPT/Codex development session with direct access to the working repository and Godot project, using GDD v0.3 and Prototype Findings v0.2 as the context bootstrap. Prefer local filesystem/CLI access and add MCP-style Godot integration only where it materially improves inspection or execution.</w:t>
      </w:r>
    </w:p>
    <w:p>
      <w:pPr>
        <w:pStyle w:val="ListNumber"/>
        <w:widowControl/>
      </w:pPr>
      <w:r>
        <w:t>Build a temporary bounds/catalogue utility that enumerates loot assets actually used in main.tscn, measures aggregate imported mesh bounds in Godot, records source path/category, and produces raw Footprint suggestions from the current storage-cell scale.</w:t>
      </w:r>
    </w:p>
    <w:p>
      <w:pPr>
        <w:pStyle w:val="ListNumber"/>
        <w:widowControl/>
      </w:pPr>
      <w:r>
        <w:t>Review the suggestions rather than accepting them blindly. Apply storage-oriented rotation, safety padding, and authored overrides for long or irregular items such as rifles, paired boots, clothing, firewood, fuel containers, helmets, electronics, and the pig carcass.</w:t>
      </w:r>
    </w:p>
    <w:p>
      <w:pPr>
        <w:pStyle w:val="ListNumber"/>
        <w:widowControl/>
      </w:pPr>
      <w:r>
        <w:t>Bring the representative prototype catalogue to at least two items in every Storage Category and roughly 20-30+ meaningful unique assets. Normalize source scale before Footprint authoring and preserve license/source metadata for externally sourced production candidates.</w:t>
      </w:r>
    </w:p>
    <w:p>
      <w:pPr>
        <w:pStyle w:val="ListNumber"/>
        <w:widowControl/>
      </w:pPr>
      <w:r>
        <w:t>Run repeated mixed-basket and dense-shelf stress tests using zone-auto placement and hold-E throughput. Observe packing fragmentation, automatic 90-degree rotation, General/unassigned fallback, zone saturation, retrieval visibility, category recognition, and whether auto-placement remains trustworthy with all categories represented.</w:t>
      </w:r>
    </w:p>
    <w:p>
      <w:pPr>
        <w:pStyle w:val="ListNumber"/>
        <w:widowControl/>
      </w:pPr>
      <w:r>
        <w:t>Only after representative-content testing, decide whether ordinary open shelving should default to shallow/one-depth usable surfaces with vertical stacking, whether retrieval needs shelf-cell assistance, and whether crouch adds enough value to justify implementation. Do not spend prototype time on further zone-editor polish unless it blocks testing.</w:t>
      </w:r>
    </w:p>
    <w:p>
      <w:pPr>
        <w:pStyle w:val="Callout"/>
        <w:keepLines/>
        <w:shd w:fill="F0F4F5"/>
        <w:ind w:left="140" w:right="140"/>
      </w:pPr>
      <w:r>
        <w:t>DECISION CHECKPOINT  The storage-policy hypothesis has now passed its first dedicated test: category zones plus automatic placement are materially faster and more legible than precision manual placement, while manual mode preserves direct control. The next question is whether that result survives representative content: dozens of categories/shapes, geometry-informed Footprints, dense shelves, mixed baskets, and retrieval under clutter.</w:t>
      </w:r>
    </w:p>
    <w:p>
      <w:pPr>
        <w:pStyle w:val="Heading1"/>
        <w:widowControl/>
      </w:pPr>
      <w:r>
        <w:t>9. v0.2 implementation snapshot (historical)</w:t>
      </w:r>
    </w:p>
    <w:p>
      <w:pPr>
        <w:pStyle w:val="Heading2"/>
        <w:widowControl/>
      </w:pPr>
      <w:r>
        <w:t>Current interaction grammar</w:t>
      </w:r>
    </w:p>
    <w:p>
      <w:pPr>
        <w:pStyle w:val="ListBullet"/>
        <w:widowControl/>
      </w:pPr>
      <w:r>
        <w:t>Left Mouse Button = TAKE: select / pick up / retrieve the item under the reticle.</w:t>
      </w:r>
    </w:p>
    <w:p>
      <w:pPr>
        <w:pStyle w:val="ListBullet"/>
        <w:widowControl/>
      </w:pPr>
      <w:r>
        <w:t>E = PUT: store / place and, by design direction, submit to facilities. In zone-auto mode E uses storage policy; holding E repeats after a short delay.</w:t>
      </w:r>
    </w:p>
    <w:p>
      <w:pPr>
        <w:pStyle w:val="ListBullet"/>
        <w:widowControl/>
      </w:pPr>
      <w:r>
        <w:t>M toggles manual placement. At the v0.2 checkpoint manual mode ignored category zones; later evidence refined this so manual mode may ignore category restrictions but cannot use deliberately disabled/erased cells.</w:t>
      </w:r>
    </w:p>
    <w:p>
      <w:pPr>
        <w:pStyle w:val="ListBullet"/>
        <w:widowControl/>
      </w:pPr>
      <w:r>
        <w:t>O opens the zoning editor explicitly. First E on an untouched auto-mode shelf opens zoning once and initializes that surface to General 100%.</w:t>
      </w:r>
    </w:p>
    <w:p>
      <w:pPr>
        <w:pStyle w:val="ListBullet"/>
        <w:widowControl/>
      </w:pPr>
      <w:r>
        <w:t>Zoning edits one shelf surface at a time through a paused flat UI. Rectangles are snapped to hidden cells; the player sees category colors and percentages, not cell counts.</w:t>
      </w:r>
    </w:p>
    <w:p>
      <w:pPr>
        <w:pStyle w:val="Heading2"/>
        <w:widowControl/>
      </w:pPr>
      <w:r>
        <w:t>Current production/content snapshot</w:t>
      </w:r>
    </w:p>
    <w:p>
      <w:pPr>
        <w:pStyle w:val="ListBullet"/>
        <w:widowControl/>
      </w:pPr>
      <w:r>
        <w:t>The v0.2 scene contained dozens of candidate loot props across Food, Hydration, Medical, Weapons, Protection, Fuel, Morale, and Electronics. General/miscellaneous was used informally at that checkpoint; later authoring clarified that General is a zone type only, never an item Storage Category.</w:t>
      </w:r>
    </w:p>
    <w:p>
      <w:pPr>
        <w:pStyle w:val="ListBullet"/>
        <w:widowControl/>
      </w:pPr>
      <w:r>
        <w:t>The repository intentionally ignores the binary assets/ folder and .godot data. This makes remote repository inspection insufficient for mesh-bound and import-state tooling, motivating a local ChatGPT/Codex session with direct project access.</w:t>
      </w:r>
    </w:p>
    <w:p>
      <w:pPr>
        <w:pStyle w:val="ListBullet"/>
        <w:widowControl/>
      </w:pPr>
      <w:r>
        <w:t>Source assets should be normalized before production use: plausible real-world dimensions, root scale near 1,1,1, stable orientation, and a retained source/license record. Skeletal clothing should normally be reposed/frozen into static loot unless runtime deformation is genuinely required.</w:t>
      </w:r>
    </w:p>
    <w:p>
      <w:pPr>
        <w:pStyle w:val="Heading2"/>
        <w:widowControl/>
      </w:pPr>
      <w:r>
        <w:t>Frozen prototype decisions for the next slice</w:t>
      </w:r>
    </w:p>
    <w:p>
      <w:pPr>
        <w:pStyle w:val="ListBullet"/>
        <w:widowControl/>
      </w:pPr>
      <w:r>
        <w:t>Do not add new storage interaction mechanics while footprint/content stress testing is underway.</w:t>
      </w:r>
    </w:p>
    <w:p>
      <w:pPr>
        <w:pStyle w:val="ListBullet"/>
        <w:widowControl/>
      </w:pPr>
      <w:r>
        <w:t>Do not spend prototype time polishing the zoning editor, held-item presentation, or HUD thumbnails unless a defect blocks the stress test.</w:t>
      </w:r>
    </w:p>
    <w:p>
      <w:pPr>
        <w:pStyle w:val="ListBullet"/>
        <w:widowControl/>
      </w:pPr>
      <w:r>
        <w:t>Zone-auto placement is the default test condition. Manual placement is a comparison/override mode, not the baseline throughput workflow.</w:t>
      </w:r>
    </w:p>
    <w:p>
      <w:pPr>
        <w:pStyle w:val="ListBullet"/>
        <w:widowControl/>
      </w:pPr>
      <w:r>
        <w:t>One-depth shelving, crouch, specialized racks, and retrieval proxies remained later validation items at v0.2. Vertical stacking has since passed its dedicated prototype gate.</w:t>
      </w:r>
    </w:p>
    <w:p>
      <w:pPr>
        <w:pStyle w:val="Heading1"/>
        <w:widowControl/>
      </w:pPr>
      <w:r>
        <w:t>10. Representative-content and scalable authoring findings</w:t>
      </w:r>
    </w:p>
    <w:p>
      <w:pPr>
        <w:pStyle w:val="Heading2"/>
        <w:widowControl/>
      </w:pPr>
      <w:r>
        <w:t>10.1 Persistent catalogue and audit pipeline</w:t>
      </w:r>
    </w:p>
    <w:p>
      <w:pPr>
        <w:widowControl/>
      </w:pPr>
      <w:r>
        <w:t>The prototype now uses a persistent Godot-native item catalogue rather than hard-coded prototype path branches. Forty-two unique loot definitions use opaque stable item IDs independent of filename and display name. A reusable schema-1.3 loot audit measures imported contributor bounds, canonical and posed geometry, raw Footprint suggestions, transform health, category-folder hints, and authoring anomalies without treating folder placement as gameplay authority.</w:t>
      </w:r>
    </w:p>
    <w:p>
      <w:pPr>
        <w:widowControl/>
      </w:pPr>
      <w:r>
        <w:t>A durable item-authoring review manifest tracks scale, storage pose, Footprint, Stack Role, and Auto Group decisions separately from gameplay data. Normal audits remain read-only; explicit seed/sync/apply tools change durable review state. This separation proved scalable and prevents tooling from silently turning suggestions into design authority.</w:t>
      </w:r>
    </w:p>
    <w:p>
      <w:pPr>
        <w:pStyle w:val="Heading2"/>
        <w:widowControl/>
      </w:pPr>
      <w:r>
        <w:t>10.2 Scale, storage pose and Footprint: 11 September checkpoint</w:t>
      </w:r>
    </w:p>
    <w:p>
      <w:pPr>
        <w:pStyle w:val="ListBullet"/>
        <w:widowControl/>
      </w:pPr>
      <w:r>
        <w:t>Canonical scale review is complete: 42/42 items are approved/current. Marketplace/source scale is not gameplay data.</w:t>
      </w:r>
    </w:p>
    <w:p>
      <w:pPr>
        <w:pStyle w:val="ListBullet"/>
        <w:widowControl/>
      </w:pPr>
      <w:r>
        <w:t>Storage pose is approved for 40/42 items. Gloves and Pants remain blocked because their current source meshes do not yet provide acceptable ordinary-shelf poses.</w:t>
      </w:r>
    </w:p>
    <w:p>
      <w:pPr>
        <w:pStyle w:val="ListBullet"/>
        <w:widowControl/>
      </w:pPr>
      <w:r>
        <w:t>Footprint is approved/current for the same 40/42 items: 28 geometry-approved and 12 deliberate overrides at the close of the Footprint gate.</w:t>
      </w:r>
    </w:p>
    <w:p>
      <w:pPr>
        <w:pStyle w:val="ListBullet"/>
        <w:widowControl/>
      </w:pPr>
      <w:r>
        <w:t>The storage model is a 2D surface reservation pretending to be 3D, not volumetric voxel packing. Bulk, Footprint, posed height, and stack support are separate authored concerns.</w:t>
      </w:r>
    </w:p>
    <w:p>
      <w:pPr>
        <w:widowControl/>
      </w:pPr>
      <w:r>
        <w:t>The successful dependency order is now explicit: Scale -&gt; Storage Pose -&gt; Footprint -&gt; Stack Role -&gt; Auto Group. A downstream approval becomes stale when a geometry-dependent upstream decision changes.</w:t>
      </w:r>
    </w:p>
    <w:p>
      <w:pPr>
        <w:widowControl/>
      </w:pPr>
      <w:r>
        <w:t>These counts remain the historical 11 September checkpoint and must not be read as current. Section 20 records the later Fuel Canister drift. Section 25.5 supersedes current pose/Footprint status with the 21 September full human reconciliation: 21 default / 19 custom poses and 27 geometry / 13 deliberate overrides across the same 40 eligible definitions.</w:t>
      </w:r>
    </w:p>
    <w:p>
      <w:pPr>
        <w:pStyle w:val="Heading2"/>
        <w:widowControl/>
      </w:pPr>
      <w:r>
        <w:t>10.3 Stack Role authoring: completed checkpoint</w:t>
      </w:r>
    </w:p>
    <w:p>
      <w:pPr>
        <w:widowControl/>
      </w:pPr>
      <w:r>
        <w:t>Stack Role is judged against the current approved stored pose and centered runtime model, not against abstract real-world possibility. The authoring rubric asks separately whether an item can plausibly rest on a sufficiently large support and whether it can plausibly support a smaller centered item. The representative eligible catalogue is complete: 40/40 Stack Roles are approved/current; Gloves and Pants remain blocked.</w:t>
      </w:r>
    </w:p>
    <w:p>
      <w:pPr>
        <w:widowControl/>
      </w:pPr>
      <w:r>
        <w:t>Pose choices may intentionally consider downstream stack usefulness, visual clarity, and physical credibility, but pose is still approved before Stack Role. The hammer/rifle review demonstrated why: a different pose can materially change whether stacking reads as physically plausible.</w:t>
      </w:r>
    </w:p>
    <w:p>
      <w:pPr>
        <w:pStyle w:val="Heading1"/>
        <w:widowControl/>
      </w:pPr>
      <w:r>
        <w:t>11. Storage-zone semantic revision</w:t>
      </w:r>
    </w:p>
    <w:p>
      <w:pPr>
        <w:widowControl/>
      </w:pPr>
      <w:r>
        <w:t>The zoning model was refined after v0.2. Item Storage Category is separate from Utility and has exactly eight values: Food, Hydration, Medical, Weapons, Protection, Fuel, Morale, and Electronics. General is not an item category; it is a universal storage-zone type.</w:t>
      </w:r>
    </w:p>
    <w:p>
      <w:pPr>
        <w:pStyle w:val="ListBullet"/>
        <w:widowControl/>
      </w:pPr>
      <w:r>
        <w:t>A zoned cell is either one specific category, General, or blank/erased. Blank/erased means disabled storage and accepts no item.</w:t>
      </w:r>
    </w:p>
    <w:p>
      <w:pPr>
        <w:pStyle w:val="ListBullet"/>
        <w:widowControl/>
      </w:pPr>
      <w:r>
        <w:t>Automatic placement searches the matching specific category, then General, and stops. It never uses a mismatched specific zone or disabled cell.</w:t>
      </w:r>
    </w:p>
    <w:p>
      <w:pPr>
        <w:pStyle w:val="ListBullet"/>
        <w:widowControl/>
      </w:pPr>
      <w:r>
        <w:t>Within an automatic tier, compatible stacks are preferred before empty placement.</w:t>
      </w:r>
    </w:p>
    <w:p>
      <w:pPr>
        <w:pStyle w:val="ListBullet"/>
        <w:widowControl/>
      </w:pPr>
      <w:r>
        <w:t>Manual placement may ignore category mismatch, but deliberately disabled/erased cells remain unavailable.</w:t>
      </w:r>
    </w:p>
    <w:p>
      <w:pPr>
        <w:pStyle w:val="ListBullet"/>
        <w:widowControl/>
      </w:pPr>
      <w:r>
        <w:t>Untouched surfaces initialize to General 100% only when the player first enters zoning. Later clearing does not restore General implicitly.</w:t>
      </w:r>
    </w:p>
    <w:p>
      <w:pPr>
        <w:pStyle w:val="ListBullet"/>
        <w:widowControl/>
      </w:pPr>
      <w:r>
        <w:t>Player-authored labels/surface names remain identification aids; Storage Zones are separate mechanical placement policy.</w:t>
      </w:r>
    </w:p>
    <w:p>
      <w:pPr>
        <w:pStyle w:val="ListBullet"/>
        <w:widowControl/>
      </w:pPr>
      <w:r>
        <w:t>The paused zoning editor is an intentional exception to the ordinary no-pause interface rule because it is modal and cannot advance world state or create a timing exploit.</w:t>
      </w:r>
    </w:p>
    <w:p>
      <w:pPr>
        <w:pStyle w:val="Heading1"/>
        <w:widowControl/>
      </w:pPr>
      <w:r>
        <w:t>12. Deterministic support-stacking findings</w:t>
      </w:r>
    </w:p>
    <w:p>
      <w:pPr>
        <w:pStyle w:val="Heading2"/>
        <w:widowControl/>
      </w:pPr>
      <w:r>
        <w:t>12.1 Validated stack model</w:t>
      </w:r>
    </w:p>
    <w:p>
      <w:pPr>
        <w:widowControl/>
      </w:pPr>
      <w:r>
        <w:t>The dedicated stacking gate validated a deterministic single-column support model without rigid-body physics. A stack is one base 2D reservation plus an ordered vertical list of physical WorldItems. Each item authors whether it may sit on another support, whether it may support another item, and one optional strict automatic compatibility group.</w:t>
      </w:r>
    </w:p>
    <w:p>
      <w:pPr>
        <w:pStyle w:val="ListBullet"/>
        <w:widowControl/>
      </w:pPr>
      <w:r>
        <w:t>Automatic placement is stack-first within the active zone tier. Compatible group members may smart-insert at the highest valid position without reordering or rotating existing members.</w:t>
      </w:r>
    </w:p>
    <w:p>
      <w:pPr>
        <w:pStyle w:val="ListBullet"/>
        <w:widowControl/>
      </w:pPr>
      <w:r>
        <w:t>Automatic base promotion is validated: a larger compatible incoming item may become the new base if the expanded reservation is valid. Manual under-base insertion remains deferred.</w:t>
      </w:r>
    </w:p>
    <w:p>
      <w:pPr>
        <w:pStyle w:val="ListBullet"/>
        <w:widowControl/>
      </w:pPr>
      <w:r>
        <w:t>Manual placement can create broader mixed stacks on the current top when support role, Footprint, orientation, and clearance permit; this is an intentional min-maxing tool rather than the default workflow.</w:t>
      </w:r>
    </w:p>
    <w:p>
      <w:pPr>
        <w:pStyle w:val="ListBullet"/>
        <w:widowControl/>
      </w:pPr>
      <w:r>
        <w:t>Any visible member may be retrieved. Top removal leaves lower items untouched; middle/base removal recompresses deterministically without falling physics, and base removal shrinks the reservation.</w:t>
      </w:r>
    </w:p>
    <w:p>
      <w:pPr>
        <w:pStyle w:val="ListBullet"/>
        <w:widowControl/>
      </w:pPr>
      <w:r>
        <w:t>Stack height uses a centralized 95% usable-height rule. Closed shelf levels derive physical clearance from adjacent authored shelf planes and Y scale; open-top levels use explicit per-instance world-context caps.</w:t>
      </w:r>
    </w:p>
    <w:p>
      <w:pPr>
        <w:pStyle w:val="Heading2"/>
        <w:widowControl/>
      </w:pPr>
      <w:r>
        <w:t>12.2 Human playtest conclusions</w:t>
      </w:r>
    </w:p>
    <w:p>
      <w:pPr>
        <w:widowControl/>
      </w:pPr>
      <w:r>
        <w:t>Playtesting found vertical stacks visually convincing rather than glued, floating, or chaotic. Book/CD and can stacks read naturally; stack-first auto-placement did not feel heavy-handed; smart insertion felt helpful; specific-member retrieval and compression felt smooth; and the system materially improved storage density while preserving visibility and item variation.</w:t>
      </w:r>
    </w:p>
    <w:p>
      <w:pPr>
        <w:widowControl/>
      </w:pPr>
      <w:r>
        <w:t>Manual mixed stacking created a useful effort-for-density tradeoff. Players can exploit spare headroom or unusual shapes for deliberate combinations without making mixed stacks the expected default. This adds a storage-efficiency lever: neat stackable forms can become valuable because of space ROI, while high-Utility irregular items may remain intentionally awkward.</w:t>
      </w:r>
    </w:p>
    <w:p>
      <w:pPr>
        <w:pStyle w:val="Heading2"/>
        <w:widowControl/>
      </w:pPr>
      <w:r>
        <w:t>12.3 Stabilization findings and open questions</w:t>
      </w:r>
    </w:p>
    <w:p>
      <w:pPr>
        <w:widowControl/>
      </w:pPr>
      <w:r>
        <w:t>A base-removal defect exposed a critical ownership invariant: when stack ownership changes, stack key, reservation owner, occupied-cell owner, lookup mappings, and surviving WorldItem metadata must transition atomically. The shared root cause was fixed and manually revalidated. Manual targeted-stack orientation now tries the player's preferred orientation and then the allowed 90-degree alternative without mutating persistent R preference.</w:t>
      </w:r>
    </w:p>
    <w:p>
      <w:pPr>
        <w:pStyle w:val="ListBullet"/>
        <w:widowControl/>
      </w:pPr>
      <w:r>
        <w:t>Mixed/non-auto-coherent stacks still reject automatic placement and smart insertion. The representative catalogue stress test found the manual-only / automatic-group distinction understandable in its tested cases, so the current rule is retained. Reconsider it only if later content or system evidence makes the distinction unpredictable.</w:t>
      </w:r>
    </w:p>
    <w:p>
      <w:pPr>
        <w:pStyle w:val="ListBullet"/>
        <w:widowControl/>
      </w:pPr>
      <w:r>
        <w:t>Manual under-base insertion remains deferred pending larger-scale playtesting.</w:t>
      </w:r>
    </w:p>
    <w:p>
      <w:pPr>
        <w:pStyle w:val="ListBullet"/>
        <w:widowControl/>
      </w:pPr>
      <w:r>
        <w:t>Multi-column/top-surface packing (for example many 1x1 items on one 5x5 support) is a separate architecture and is not implied by the validated linear-stack model.</w:t>
      </w:r>
    </w:p>
    <w:p>
      <w:pPr>
        <w:pStyle w:val="ListBullet"/>
        <w:widowControl/>
      </w:pPr>
      <w:r>
        <w:t>Very thin items may create targeting/occlusion problems; this is primarily a content/model selection issue and must be tested when such items enter the catalogue.</w:t>
      </w:r>
    </w:p>
    <w:p>
      <w:pPr>
        <w:pStyle w:val="Heading1"/>
        <w:widowControl/>
      </w:pPr>
      <w:r>
        <w:t>13. Validation delivery standard and completed interaction/content gate</w:t>
      </w:r>
    </w:p>
    <w:p>
      <w:pPr>
        <w:pStyle w:val="Heading2"/>
        <w:widowControl/>
      </w:pPr>
      <w:r>
        <w:t>13.1 Human validation handoff as a delivery artifact</w:t>
      </w:r>
    </w:p>
    <w:p>
      <w:pPr>
        <w:widowControl/>
      </w:pPr>
      <w:r>
        <w:t>The deterministic-support-stacking playtest document established a useful standard: when an update needs player-facing evidence, implementation delivery should include a reproducible /docs/testing handoff. The evidence burden scales with scope: narrow bug fixes need a short reproduction/fixed-path/regression check, while architectural gameplay gates require setup, isolated scenarios, expected observations, negative cases, regressions, and explicit promote/revise/reject questions.</w:t>
      </w:r>
    </w:p>
    <w:p>
      <w:pPr>
        <w:widowControl/>
      </w:pPr>
      <w:r>
        <w:t>Automated correctness and human playability evidence must remain distinct. The architecture/planning pass defines high-level evidence goals; Codex translates them into repo-specific steps and may add implementation-specific cases.</w:t>
      </w:r>
    </w:p>
    <w:p>
      <w:pPr>
        <w:pStyle w:val="Heading2"/>
        <w:widowControl/>
      </w:pPr>
      <w:r>
        <w:t>13.2 Readiness at the completed 11 September gate</w:t>
      </w:r>
    </w:p>
    <w:p>
      <w:pPr>
        <w:pStyle w:val="ListBullet"/>
        <w:widowControl/>
      </w:pPr>
      <w:r>
        <w:t>Scale: 42/42 approved/current.</w:t>
      </w:r>
    </w:p>
    <w:p>
      <w:pPr>
        <w:pStyle w:val="ListBullet"/>
        <w:widowControl/>
      </w:pPr>
      <w:r>
        <w:t>Storage Pose: 40/42 approved/current; Gloves and Pants remain blocked pending deliberate source/pose work.</w:t>
      </w:r>
    </w:p>
    <w:p>
      <w:pPr>
        <w:pStyle w:val="ListBullet"/>
        <w:widowControl/>
      </w:pPr>
      <w:r>
        <w:t>Footprint: 40/42 approved/current; Gloves and Pants remain blocked by unresolved Storage Pose.</w:t>
      </w:r>
    </w:p>
    <w:p>
      <w:pPr>
        <w:pStyle w:val="ListBullet"/>
        <w:widowControl/>
      </w:pPr>
      <w:r>
        <w:t>Stack Role: 40/40 eligible approved/current; Gloves and Pants remain dependency-blocked.</w:t>
      </w:r>
    </w:p>
    <w:p>
      <w:pPr>
        <w:pStyle w:val="ListBullet"/>
        <w:widowControl/>
      </w:pPr>
      <w:r>
        <w:t>Auto Group: 40/40 eligible approved/current. The controlled registry remains exactly four approved classes: boxed_food, flat_media, medical_boxes, and round_cans; explicit None is used for items that should not combine automatically.</w:t>
      </w:r>
    </w:p>
    <w:p>
      <w:pPr>
        <w:pStyle w:val="ListBullet"/>
        <w:widowControl/>
      </w:pPr>
      <w:r>
        <w:t>The loot_000010 pickup-registration defect was fixed separately, regression-tested, and human-validated before the formal catalogue-scale gate.</w:t>
      </w:r>
    </w:p>
    <w:p>
      <w:pPr>
        <w:widowControl/>
      </w:pPr>
      <w:r>
        <w:t>The formal catalogue-scale deterministic-stacking gate is complete and recorded as PROMOTE: 14/14 scenarios passed mechanically and all 14 predictability judgments were expected. A separate singleton empty-placement vertical-clearance defect discovered during that gate was then fixed and human-validated. The representative interaction/content storage slice is therefore complete; future prototype work can move into Receiving/Elevator and Systems-MVP domains without adding more storage mechanics by default.</w:t>
      </w:r>
    </w:p>
    <w:p>
      <w:pPr>
        <w:widowControl/>
      </w:pPr>
      <w:r>
        <w:t>Historical status qualifier: at the 13 September checkpoint, the content architecture remained promoted while loot_000015 still required an evidence refresh. Stage A was complete and the Stage-B shell described below was visually rejected. Section 24.2 records the later Fuel resolution; this section is not the latest milestone list.</w:t>
      </w:r>
    </w:p>
    <w:p>
      <w:pPr>
        <w:pStyle w:val="Heading1"/>
        <w:widowControl/>
      </w:pPr>
      <w:r>
        <w:t>14. Post-v0.3 catalogue validation and stabilization</w:t>
      </w:r>
    </w:p>
    <w:p>
      <w:pPr>
        <w:pStyle w:val="Heading2"/>
        <w:widowControl/>
      </w:pPr>
      <w:r>
        <w:t>14.1 Auto Group authoring completion</w:t>
      </w:r>
    </w:p>
    <w:p>
      <w:pPr>
        <w:widowControl/>
      </w:pPr>
      <w:r>
        <w:t>Auto Group review was completed for all 40 eligible items using the controlled mutually exclusive registry. The 31 items that remained after Stack Role authoring were reviewed against their approved pose, Footprint, and Stack Role: five were assigned to existing approved groups and 26 were deliberately approved as explicit None. No new registry class and no HOLD case was required.</w:t>
      </w:r>
    </w:p>
    <w:p>
      <w:pPr>
        <w:widowControl/>
      </w:pPr>
      <w:r>
        <w:t>The newly approved memberships were loot_000007 -&gt; boxed_food and loot_000008, loot_000010, loot_000022, and loot_000023 -&gt; round_cans. The registry remained boxed_food, flat_media, medical_boxes, and round_cans. Human approval was persisted through the established authoring workflow, leaving Auto Group at 40/40 eligible approved/current with zero unreviewed and zero stale records; Gloves and Pants remain blocked upstream.</w:t>
      </w:r>
    </w:p>
    <w:p>
      <w:pPr>
        <w:pStyle w:val="Heading2"/>
        <w:widowControl/>
      </w:pPr>
      <w:r>
        <w:t>14.2 loot_000010 pickup repair and baseline regression</w:t>
      </w:r>
    </w:p>
    <w:p>
      <w:pPr>
        <w:widowControl/>
      </w:pPr>
      <w:r>
        <w:t>The known loot_000010 pickup defect was kept separate from Auto Group authoring, repaired as a focused interaction bug, and manually validated in game. A subsequent storage/stacking baseline regression gate passed before catalogue-scale testing, covering pickup/carry/store/retrieve/re-store, zoning priorities and disabled cells, automatic/manual stacking, smart insertion, base promotion, orientation, visible-member retrieval, atomic base rekeying/reservation shrink, final cleanup, derived/authored clearance, and the centralized 95 percent stack boundary.</w:t>
      </w:r>
    </w:p>
    <w:p>
      <w:pPr>
        <w:pStyle w:val="Heading2"/>
        <w:widowControl/>
      </w:pPr>
      <w:r>
        <w:t>14.3 Formal catalogue-scale deterministic-stacking gate</w:t>
      </w:r>
    </w:p>
    <w:p>
      <w:pPr>
        <w:widowControl/>
      </w:pPr>
      <w:r>
        <w:t>The formal gate used a stratified 14-scenario human gameplay matrix rather than exhaustive pairwise testing. It covered every approved Auto Group, every physical Stack Role pattern present in the eligible catalogue, specific-category and General zones, cross-category can stacking, native/90-degree orientation, smart insertion, auto-only base promotion, blocked expansion, carry-order sensitivity, representative manual mixed stacks, top/middle/base retrieval, clearance boundaries, and dense/occluding cases.</w:t>
      </w:r>
    </w:p>
    <w:p>
      <w:pPr>
        <w:widowControl/>
      </w:pPr>
      <w:r>
        <w:t>Result: 14/14 scenarios passed mechanically and all 14 predictability judgments were expected. The four Auto Groups remained accepted with no authoring revision. Dimensional variation inside round_cans remained readable; dense can stacks retained sightlines; the largest visible 1x1 manual relationships such as Milk Carton on Soda Can were somewhat awkward but not sufficient evidence for a Footprint/Stack Role redesign. One cereal-box scenario was corrected because the existing enclosed fixture did not physically permit the originally requested three-box stack.</w:t>
      </w:r>
    </w:p>
    <w:p>
      <w:pPr>
        <w:widowControl/>
      </w:pPr>
      <w:r>
        <w:t>Decision: PROMOTE. The current deterministic single-column support-stacking architecture is gameplay-validated for the representative catalogue scope. Mixed/non-auto-coherent automatic behavior remains unchanged; manual under-base insertion remains deferred; multi-column/top-surface packing remains outside the validated architecture.</w:t>
      </w:r>
    </w:p>
    <w:p>
      <w:pPr>
        <w:pStyle w:val="Heading2"/>
        <w:widowControl/>
      </w:pPr>
      <w:r>
        <w:t>14.4 Singleton shelf vertical-clearance follow-up</w:t>
      </w:r>
    </w:p>
    <w:p>
      <w:pPr>
        <w:widowControl/>
      </w:pPr>
      <w:r>
        <w:t>The catalogue stress pass exposed a separate defect: automatic and manual empty placement checked horizontal footprint/occupancy but did not compare a singleton's authoritative seated posed top against StorageSurface physical clearance. Tall items could therefore penetrate the shelf or fixture above even though stack insertion correctly rejected equivalent over-clearance states.</w:t>
      </w:r>
    </w:p>
    <w:p>
      <w:pPr>
        <w:widowControl/>
      </w:pPr>
      <w:r>
        <w:t>The fix added one shared singleton physical-clearance predicate on StorageSurface, reused by automatic and manual empty-fit selection and revalidated during commit. It evaluates the final seated posed top using aligned bounds and the existing numeric tolerance. Singleton placement obeys physical clearance only; it does not inherit the stack-specific 95 percent gameplay-headroom factor. Stack behavior, Auto Groups, Stack Roles, promotion, authored metadata, and shelf profiles were unchanged.</w:t>
      </w:r>
    </w:p>
    <w:p>
      <w:pPr>
        <w:widowControl/>
      </w:pPr>
      <w:r>
        <w:t>Regression evidence distinguished valid and invalid singletons and included a nontrivial posed-bounds case to prevent height-only reconstruction. SM_ventilated_locker2 was confirmed to be physically enclosed, with its highest storage level remaining an interior surface; no exterior top storage grid was added. Automated verification passed and the resulting auto/manual behavior was then validated successfully in game.</w:t>
      </w:r>
    </w:p>
    <w:p>
      <w:pPr>
        <w:pStyle w:val="Heading2"/>
        <w:widowControl/>
      </w:pPr>
      <w:r>
        <w:t>14.5 Representative interaction/content prototype closure</w:t>
      </w:r>
    </w:p>
    <w:p>
      <w:pPr>
        <w:widowControl/>
      </w:pPr>
      <w:r>
        <w:t>The storage/content prototype has now answered its primary architecture questions: constrained no-drop item handling can feel physical; player-authored zoning can convert organization into throughput; a persistent catalogue and review manifest can scale content decisions; deterministic single-column stacking can create useful vertical density without physics; strict player-predictable automatic groups can coexist with broader manual stacking; and both stack and singleton vertical fit can remain deterministic and visually credible.</w:t>
      </w:r>
    </w:p>
    <w:p>
      <w:pPr>
        <w:widowControl/>
      </w:pPr>
      <w:r>
        <w:t>At this historical checkpoint, Gloves/Pants source work, held/HUD presentation, deep-shelf readability, crouch, specialist racks, thin-item targeting and deferred stack extensions remained separate work. The later world pass chose shallow wall-fitted storage plus selective multi-sided deeper units, while keeping exact metrics empirical. Receiving/Elevator became the next approved roadmap slice; its subsequent results are recorded in Sections 15-20.</w:t>
      </w:r>
    </w:p>
    <w:p>
      <w:pPr>
        <w:pStyle w:val="Callout"/>
        <w:keepLines/>
        <w:shd w:fill="F0F4F5"/>
        <w:ind w:left="140" w:right="140"/>
      </w:pPr>
      <w:r>
        <w:t>DECISION CHECKPOINT  The representative interaction/content storage slice is complete. The current evidence supports preserving the validated storage architecture and moving the next prototype work into dynamic Receiving/Elevator inflow and Systems-MVP survival obligations rather than adding more storage mechanics by default.</w:t>
      </w:r>
    </w:p>
    <w:p>
      <w:pPr>
        <w:pStyle w:val="Heading1"/>
        <w:widowControl/>
      </w:pPr>
      <w:r>
        <w:t>15. Post-11 September chronology and evidence boundaries</w:t>
      </w:r>
    </w:p>
    <w:p>
      <w:pPr/>
      <w:r>
        <w:t>29 September supersession: this chronology ends at the 21 September foundation close-out. The later ladder, Receiving Stage B and EAF1–EAF5 records continue in §§26–29.</w:t>
      </w:r>
    </w:p>
    <w:p>
      <w:pPr>
        <w:widowControl/>
      </w:pPr>
      <w:r>
        <w:t>This revision preserves the earlier storage history and adds the following reported results. Commits identify evidence anchors; they are not a claim that the remote/local HEAD was freshly inspected for this document. Source IDs are resolved in Section 21.</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Date / event</w:t>
            </w:r>
          </w:p>
        </w:tc>
        <w:tc>
          <w:tcPr>
            <w:tcW w:type="dxa" w:w="7488"/>
            <w:vAlign w:val="top"/>
            <w:shd w:fill="253842"/>
          </w:tcPr>
          <w:p>
            <w:pPr>
              <w:pStyle w:val="TableText"/>
              <w:keepNext/>
              <w:widowControl/>
            </w:pPr>
            <w:r>
              <w:rPr>
                <w:rFonts w:ascii="Lato" w:hAnsi="Lato"/>
                <w:b/>
                <w:color w:val="FFFFFF"/>
                <w:sz w:val="18"/>
              </w:rPr>
              <w:t>Evidence and decision</w:t>
            </w:r>
          </w:p>
        </w:tc>
      </w:tr>
      <w:tr>
        <w:trPr>
          <w:cantSplit/>
        </w:trPr>
        <w:tc>
          <w:tcPr>
            <w:tcW w:type="dxa" w:w="2376"/>
            <w:vAlign w:val="top"/>
          </w:tcPr>
          <w:p>
            <w:pPr>
              <w:pStyle w:val="TableText"/>
              <w:keepNext w:val="0"/>
              <w:widowControl/>
            </w:pPr>
            <w:r>
              <w:rPr>
                <w:rFonts w:ascii="Lato" w:hAnsi="Lato"/>
                <w:b/>
                <w:color w:val="25323A"/>
                <w:sz w:val="18"/>
              </w:rPr>
              <w:t>11 September: content closure</w:t>
            </w:r>
          </w:p>
        </w:tc>
        <w:tc>
          <w:tcPr>
            <w:tcW w:type="dxa" w:w="7488"/>
            <w:vAlign w:val="top"/>
          </w:tcPr>
          <w:p>
            <w:pPr>
              <w:pStyle w:val="TableText"/>
              <w:keepNext w:val="0"/>
              <w:widowControl/>
            </w:pPr>
            <w:r>
              <w:rPr>
                <w:rFonts w:ascii="Lato" w:hAnsi="Lato"/>
                <w:b w:val="0"/>
                <w:color w:val="25323A"/>
                <w:sz w:val="18"/>
              </w:rPr>
              <w:t>Auto Group completion, loot_000010 fix, 14-scenario catalogue PROMOTE, singleton clearance repair/human validation retained from v0.4.</w:t>
            </w:r>
          </w:p>
        </w:tc>
      </w:tr>
      <w:tr>
        <w:trPr>
          <w:cantSplit/>
        </w:trPr>
        <w:tc>
          <w:tcPr>
            <w:tcW w:type="dxa" w:w="2376"/>
            <w:vAlign w:val="top"/>
            <w:shd w:fill="F6F8F9"/>
          </w:tcPr>
          <w:p>
            <w:pPr>
              <w:pStyle w:val="TableText"/>
              <w:keepNext w:val="0"/>
              <w:widowControl/>
            </w:pPr>
            <w:r>
              <w:rPr>
                <w:rFonts w:ascii="Lato" w:hAnsi="Lato"/>
                <w:b/>
                <w:color w:val="25323A"/>
                <w:sz w:val="18"/>
              </w:rPr>
              <w:t>12 September: Receiving design and Stage A</w:t>
            </w:r>
          </w:p>
        </w:tc>
        <w:tc>
          <w:tcPr>
            <w:tcW w:type="dxa" w:w="7488"/>
            <w:vAlign w:val="top"/>
            <w:shd w:fill="F6F8F9"/>
          </w:tcPr>
          <w:p>
            <w:pPr>
              <w:pStyle w:val="TableText"/>
              <w:keepNext w:val="0"/>
              <w:widowControl/>
            </w:pPr>
            <w:r>
              <w:rPr>
                <w:rFonts w:ascii="Lato" w:hAnsi="Lato"/>
                <w:b w:val="0"/>
                <w:color w:val="25323A"/>
                <w:sz w:val="18"/>
              </w:rPr>
              <w:t>Architecture/spec approved and deployed; data/lifecycle implementation completed, independently reviewed, merged and synchronized.</w:t>
            </w:r>
          </w:p>
        </w:tc>
      </w:tr>
      <w:tr>
        <w:trPr>
          <w:cantSplit/>
        </w:trPr>
        <w:tc>
          <w:tcPr>
            <w:tcW w:type="dxa" w:w="2376"/>
            <w:vAlign w:val="top"/>
          </w:tcPr>
          <w:p>
            <w:pPr>
              <w:pStyle w:val="TableText"/>
              <w:keepNext w:val="0"/>
              <w:widowControl/>
            </w:pPr>
            <w:r>
              <w:rPr>
                <w:rFonts w:ascii="Lato" w:hAnsi="Lato"/>
                <w:b/>
                <w:color w:val="25323A"/>
                <w:sz w:val="18"/>
              </w:rPr>
              <w:t>12-13 September: environment normalization</w:t>
            </w:r>
          </w:p>
        </w:tc>
        <w:tc>
          <w:tcPr>
            <w:tcW w:type="dxa" w:w="7488"/>
            <w:vAlign w:val="top"/>
          </w:tcPr>
          <w:p>
            <w:pPr>
              <w:pStyle w:val="TableText"/>
              <w:keepNext w:val="0"/>
              <w:widowControl/>
            </w:pPr>
            <w:r>
              <w:rPr>
                <w:rFonts w:ascii="Lato" w:hAnsi="Lato"/>
                <w:b w:val="0"/>
                <w:color w:val="25323A"/>
                <w:sz w:val="18"/>
              </w:rPr>
              <w:t>Read-only inventory, approved path map, explicit duplicate retirement, manifest-driven migration and human smoke test. Later library expanded to 408 environment GLBs.</w:t>
            </w:r>
          </w:p>
        </w:tc>
      </w:tr>
      <w:tr>
        <w:trPr>
          <w:cantSplit/>
        </w:trPr>
        <w:tc>
          <w:tcPr>
            <w:tcW w:type="dxa" w:w="2376"/>
            <w:vAlign w:val="top"/>
            <w:shd w:fill="F6F8F9"/>
          </w:tcPr>
          <w:p>
            <w:pPr>
              <w:pStyle w:val="TableText"/>
              <w:keepNext w:val="0"/>
              <w:widowControl/>
            </w:pPr>
            <w:r>
              <w:rPr>
                <w:rFonts w:ascii="Lato" w:hAnsi="Lato"/>
                <w:b/>
                <w:color w:val="25323A"/>
                <w:sz w:val="18"/>
              </w:rPr>
              <w:t>13 September: first Stage-B shell</w:t>
            </w:r>
          </w:p>
        </w:tc>
        <w:tc>
          <w:tcPr>
            <w:tcW w:type="dxa" w:w="7488"/>
            <w:vAlign w:val="top"/>
            <w:shd w:fill="F6F8F9"/>
          </w:tcPr>
          <w:p>
            <w:pPr>
              <w:pStyle w:val="TableText"/>
              <w:keepNext w:val="0"/>
              <w:widowControl/>
            </w:pPr>
            <w:r>
              <w:rPr>
                <w:rFonts w:ascii="Lato" w:hAnsi="Lato"/>
                <w:b w:val="0"/>
                <w:color w:val="25323A"/>
                <w:sz w:val="18"/>
              </w:rPr>
              <w:t>Asset preflight GO led to authored shell c9752c8. Technical contracts passed with documented pre-existing canister drift; human rejected the visual composition.</w:t>
            </w:r>
          </w:p>
        </w:tc>
      </w:tr>
      <w:tr>
        <w:trPr>
          <w:cantSplit/>
        </w:trPr>
        <w:tc>
          <w:tcPr>
            <w:tcW w:type="dxa" w:w="2376"/>
            <w:vAlign w:val="top"/>
          </w:tcPr>
          <w:p>
            <w:pPr>
              <w:pStyle w:val="TableText"/>
              <w:keepNext w:val="0"/>
              <w:widowControl/>
            </w:pPr>
            <w:r>
              <w:rPr>
                <w:rFonts w:ascii="Lato" w:hAnsi="Lato"/>
                <w:b/>
                <w:color w:val="25323A"/>
                <w:sz w:val="18"/>
              </w:rPr>
              <w:t>13-14 September: world/art pass</w:t>
            </w:r>
          </w:p>
        </w:tc>
        <w:tc>
          <w:tcPr>
            <w:tcW w:type="dxa" w:w="7488"/>
            <w:vAlign w:val="top"/>
          </w:tcPr>
          <w:p>
            <w:pPr>
              <w:pStyle w:val="TableText"/>
              <w:keepNext w:val="0"/>
              <w:widowControl/>
            </w:pPr>
            <w:r>
              <w:rPr>
                <w:rFonts w:ascii="Lato" w:hAnsi="Lato"/>
                <w:b w:val="0"/>
                <w:color w:val="25323A"/>
                <w:sz w:val="18"/>
              </w:rPr>
              <w:t>Approved construction history, material/wear/lighting grammar, room production gates and all major zone relationships.</w:t>
            </w:r>
          </w:p>
        </w:tc>
      </w:tr>
      <w:tr>
        <w:trPr>
          <w:cantSplit/>
        </w:trPr>
        <w:tc>
          <w:tcPr>
            <w:tcW w:type="dxa" w:w="2376"/>
            <w:vAlign w:val="top"/>
            <w:shd w:fill="F6F8F9"/>
          </w:tcPr>
          <w:p>
            <w:pPr>
              <w:pStyle w:val="TableText"/>
              <w:keepNext w:val="0"/>
              <w:widowControl/>
            </w:pPr>
            <w:r>
              <w:rPr>
                <w:rFonts w:ascii="Lato" w:hAnsi="Lato"/>
                <w:b/>
                <w:color w:val="25323A"/>
                <w:sz w:val="18"/>
              </w:rPr>
              <w:t>14 September: Visual Direction v0.2</w:t>
            </w:r>
          </w:p>
        </w:tc>
        <w:tc>
          <w:tcPr>
            <w:tcW w:type="dxa" w:w="7488"/>
            <w:vAlign w:val="top"/>
            <w:shd w:fill="F6F8F9"/>
          </w:tcPr>
          <w:p>
            <w:pPr>
              <w:pStyle w:val="TableText"/>
              <w:keepNext w:val="0"/>
              <w:widowControl/>
            </w:pPr>
            <w:r>
              <w:rPr>
                <w:rFonts w:ascii="Lato" w:hAnsi="Lato"/>
                <w:b w:val="0"/>
                <w:color w:val="25323A"/>
                <w:sz w:val="18"/>
              </w:rPr>
              <w:t>Consolidated authority document drafted without a final schematic; developer continues layout sketches.</w:t>
            </w:r>
          </w:p>
        </w:tc>
      </w:tr>
      <w:tr>
        <w:trPr>
          <w:cantSplit/>
        </w:trPr>
        <w:tc>
          <w:tcPr>
            <w:tcW w:type="dxa" w:w="2376"/>
            <w:vAlign w:val="top"/>
          </w:tcPr>
          <w:p>
            <w:pPr>
              <w:pStyle w:val="TableText"/>
              <w:keepNext w:val="0"/>
              <w:widowControl/>
            </w:pPr>
            <w:r>
              <w:rPr>
                <w:sz w:val="18"/>
              </w:rPr>
              <w:t>15 September: topology/layout pass</w:t>
            </w:r>
          </w:p>
        </w:tc>
        <w:tc>
          <w:tcPr>
            <w:tcW w:type="dxa" w:w="7488"/>
            <w:vAlign w:val="top"/>
          </w:tcPr>
          <w:p>
            <w:pPr>
              <w:pStyle w:val="TableText"/>
              <w:keepNext w:val="0"/>
              <w:widowControl/>
            </w:pPr>
            <w:r>
              <w:rPr>
                <w:sz w:val="18"/>
              </w:rPr>
              <w:t>Three concept families were compared and refined into an approved logistics-wing topology. Five Storage galleries, C&lt;-&gt;D loop, service/inhabited branches, dog-legged Deeper-Bunker Approach, Bunker Ops/deeper-settlement separation and open-threshold policy were locked as the greybox baseline.</w:t>
            </w:r>
          </w:p>
        </w:tc>
      </w:tr>
      <w:tr>
        <w:trPr>
          <w:cantSplit/>
        </w:trPr>
        <w:tc>
          <w:tcPr>
            <w:tcW w:type="dxa" w:w="2376"/>
          </w:tcPr>
          <w:p>
            <w:r>
              <w:rPr>
                <w:sz w:val="18"/>
              </w:rPr>
              <w:t>15 September: Visual Direction v0.3 / schematics</w:t>
            </w:r>
          </w:p>
        </w:tc>
        <w:tc>
          <w:tcPr>
            <w:tcW w:type="dxa" w:w="7488"/>
          </w:tcPr>
          <w:p>
            <w:r>
              <w:rPr>
                <w:sz w:val="18"/>
              </w:rPr>
              <w:t>Visual authority updated with the topology refinements and two complementary artifacts: Detailed Topology V3 (not to scale) and Basic Structural Schematic V2 (approximate wall/opening reference). No Godot greybox or new gameplay implementation is asserted.</w:t>
            </w:r>
          </w:p>
        </w:tc>
      </w:tr>
      <w:tr>
        <w:trPr>
          <w:cantSplit/>
        </w:trPr>
        <w:tc>
          <w:tcPr>
            <w:tcW w:type="dxa" w:w="2376"/>
          </w:tcPr>
          <w:p>
            <w:pPr/>
            <w:r>
              <w:rPr>
                <w:sz w:val="18"/>
              </w:rPr>
              <w:t>16 September: first full-wing delivery</w:t>
            </w:r>
          </w:p>
        </w:tc>
        <w:tc>
          <w:tcPr>
            <w:tcW w:type="dxa" w:w="7488"/>
          </w:tcPr>
          <w:p>
            <w:pPr/>
            <w:r>
              <w:rPr>
                <w:sz w:val="18"/>
              </w:rPr>
              <w:t>Codex reported a complete separate greybox, 33/33 non-hanging scripts and 17 routes / 7 boundaries. Report verified through 7ba27a5; final handoff d81783f is user-reported. [W16]</w:t>
            </w:r>
          </w:p>
        </w:tc>
      </w:tr>
      <w:tr>
        <w:trPr>
          <w:cantSplit/>
        </w:trPr>
        <w:tc>
          <w:tcPr>
            <w:tcW w:type="dxa" w:w="2376"/>
          </w:tcPr>
          <w:p>
            <w:pPr/>
            <w:r>
              <w:rPr>
                <w:sz w:val="18"/>
              </w:rPr>
              <w:t>16 September: human/source review</w:t>
            </w:r>
          </w:p>
        </w:tc>
        <w:tc>
          <w:tcPr>
            <w:tcW w:type="dxa" w:w="7488"/>
          </w:tcPr>
          <w:p>
            <w:pPr/>
            <w:r>
              <w:rPr>
                <w:sz w:val="18"/>
              </w:rPr>
              <w:t>Developer walked the wing and requested refinement. Archived evidence and source review identify geometry/fidelity defects; no new Godot run was performed here. [H16, S16]</w:t>
            </w:r>
          </w:p>
        </w:tc>
      </w:tr>
      <w:tr>
        <w:trPr>
          <w:cantSplit/>
        </w:trPr>
        <w:tc>
          <w:tcPr>
            <w:tcW w:type="dxa" w:w="2376"/>
          </w:tcPr>
          <w:p>
            <w:pPr/>
            <w:r>
              <w:rPr>
                <w:sz w:val="18"/>
              </w:rPr>
              <w:t>16 September: service-space approval</w:t>
            </w:r>
          </w:p>
        </w:tc>
        <w:tc>
          <w:tcPr>
            <w:tcW w:type="dxa" w:w="7488"/>
          </w:tcPr>
          <w:p>
            <w:pPr/>
            <w:r>
              <w:rPr>
                <w:sz w:val="18"/>
              </w:rPr>
              <w:t>Dedicated Workshop/Kitchen service rooms, Medical Supply Anteroom and open Ops Transfer Landing approved, with distinct footprint character and three boundaries. Furnishing and delivery details deferred. [D16S]</w:t>
            </w:r>
          </w:p>
        </w:tc>
      </w:tr>
      <w:tr>
        <w:trPr>
          <w:cantSplit/>
        </w:trPr>
        <w:tc>
          <w:tcPr>
            <w:tcW w:type="dxa" w:w="2376"/>
            <w:vAlign w:val="center"/>
          </w:tcPr>
          <w:p>
            <w:r>
              <w:t>20 September: review-scene supply reuse</w:t>
            </w:r>
          </w:p>
        </w:tc>
        <w:tc>
          <w:tcPr>
            <w:tcW w:type="dxa" w:w="7488"/>
            <w:vAlign w:val="center"/>
          </w:tcPr>
          <w:p>
            <w:r>
              <w:t>Human PROMOTE. The shelf review now reuses the composed DevelopmentSetup from wing_gameplay.tscn and retires the active cabinet-only fixture path.</w:t>
            </w:r>
          </w:p>
        </w:tc>
      </w:tr>
      <w:tr>
        <w:trPr>
          <w:cantSplit/>
        </w:trPr>
        <w:tc>
          <w:tcPr>
            <w:tcW w:type="dxa" w:w="2376"/>
            <w:vAlign w:val="center"/>
          </w:tcPr>
          <w:p>
            <w:r>
              <w:t>20 September: reusable ModularRack</w:t>
            </w:r>
          </w:p>
        </w:tc>
        <w:tc>
          <w:tcPr>
            <w:tcW w:type="dxa" w:w="7488"/>
            <w:vAlign w:val="center"/>
          </w:tcPr>
          <w:p>
            <w:r>
              <w:t>Human PROMOTE. Shelf-empty reusable scaffold, local editable shelf wrappers, Rack02 deck calibration and F6 alignment accepted.</w:t>
            </w:r>
          </w:p>
        </w:tc>
      </w:tr>
      <w:tr>
        <w:trPr>
          <w:cantSplit/>
        </w:trPr>
        <w:tc>
          <w:tcPr>
            <w:tcW w:type="dxa" w:w="2376"/>
            <w:vAlign w:val="center"/>
          </w:tcPr>
          <w:p>
            <w:r>
              <w:t>21 September: unit orientation and zoning</w:t>
            </w:r>
          </w:p>
        </w:tc>
        <w:tc>
          <w:tcPr>
            <w:tcW w:type="dxa" w:w="7488"/>
            <w:vAlign w:val="center"/>
          </w:tcPr>
          <w:p>
            <w:r>
              <w:t>Human PROMOTE. One four-state orientation per unit, stable zoning view from authored Front and semantic-to-physical mapping accepted across rack, shelf and locker.</w:t>
            </w:r>
          </w:p>
        </w:tc>
      </w:tr>
      <w:tr>
        <w:trPr>
          <w:cantSplit/>
        </w:trPr>
        <w:tc>
          <w:tcPr>
            <w:tcW w:type="dxa" w:w="2376"/>
            <w:vAlign w:val="center"/>
          </w:tcPr>
          <w:p>
            <w:r>
              <w:t>21 September: canonical item pose and catalogue review</w:t>
            </w:r>
          </w:p>
        </w:tc>
        <w:tc>
          <w:tcPr>
            <w:tcW w:type="dxa" w:w="7488"/>
            <w:vAlign w:val="center"/>
          </w:tcPr>
          <w:p>
            <w:r>
              <w:t>Human PROMOTE. Canonical +Z Front, separate packing turn, combined physical parity, placed-state stability, corrected workbench and full 40-item review accepted.</w:t>
            </w:r>
          </w:p>
        </w:tc>
      </w:tr>
      <w:tr>
        <w:trPr>
          <w:cantSplit/>
        </w:trPr>
        <w:tc>
          <w:tcPr>
            <w:tcW w:type="dxa" w:w="2376"/>
            <w:vAlign w:val="center"/>
          </w:tcPr>
          <w:p>
            <w:r>
              <w:t>21 September: synchronized foundation close-out</w:t>
            </w:r>
          </w:p>
        </w:tc>
        <w:tc>
          <w:tcPr>
            <w:tcW w:type="dxa" w:w="7488"/>
            <w:vAlign w:val="center"/>
          </w:tcPr>
          <w:p>
            <w:r>
              <w:t>Current promoted main reference ac335d5ccf8d3e519f1025d26ea12b971c3820d6. Fixed-ladder proof becomes the active gate.</w:t>
            </w:r>
          </w:p>
        </w:tc>
      </w:tr>
    </w:tbl>
    <w:p>
      <w:pPr>
        <w:spacing w:after="60" w:before="0" w:line="40" w:lineRule="exact"/>
      </w:pPr>
      <w:r>
        <w:rPr>
          <w:sz w:val="4"/>
        </w:rPr>
      </w:r>
    </w:p>
    <w:p>
      <w:pPr>
        <w:pStyle w:val="Heading2"/>
        <w:widowControl/>
      </w:pPr>
      <w:r>
        <w:t>15.1 What the handoff must not imply</w:t>
      </w:r>
    </w:p>
    <w:p>
      <w:pPr>
        <w:widowControl/>
      </w:pPr>
      <w:r>
        <w:t>The old September 11 Auto Group next task is obsolete. Receiving Stage A does not prove physical piles or full save durability. The first Receiving shell remains visually rejected. The first-wing REVISE checkpoint is retained in Section 22; subsequent correction rounds and final Medical acceptance promote the neutral working spatial baseline in Section 23. [W17, H17, A17]</w:t>
      </w:r>
    </w:p>
    <w:p>
      <w:pPr>
        <w:widowControl/>
      </w:pPr>
      <w:r>
        <w:t>Architecture approval, implementation, technical verification, human spatial approval and production-workflow feasibility remain separate evidence classes. Corrected service spaces, openings and dimensions now exist and are human-accepted at neutral greybox fidelity; they do not prove furnished gameplay, physical Receiving or final route balance. [A17, D17B]</w:t>
      </w:r>
    </w:p>
    <w:p>
      <w:pPr>
        <w:pStyle w:val="Heading1"/>
        <w:widowControl/>
      </w:pPr>
      <w:r>
        <w:t>16. Receiving/Elevator architecture and Stage A results</w:t>
      </w:r>
    </w:p>
    <w:p>
      <w:pPr/>
      <w:r>
        <w:t>29 September supersession: Stage A data/lifecycle findings remain valid. The fixed-ladder gate and physical Stage B proposals below are historical; §§26–27 record the promoted ladder and deterministic Receiving presenter. Stage C queue/theatre remains later work.</w:t>
      </w:r>
    </w:p>
    <w:p>
      <w:pPr>
        <w:pStyle w:val="Heading2"/>
        <w:widowControl/>
      </w:pPr>
      <w:r>
        <w:t>16.1 Why Receiving precedes the wider Systems MVP</w:t>
      </w:r>
    </w:p>
    <w:p>
      <w:pPr>
        <w:widowControl/>
      </w:pPr>
      <w:r>
        <w:t>The systems roadmap remains Receiving/Elevator -&gt; first real timed request -&gt; expedition-produced batches -&gt; broader Systems MVP. Bookkeeping, seeded wing integration, default entry and the Storage Authoring Foundation are complete. Before physical Receiving, the current sequence is the single-rack fixed-ladder proof and human ladder decision. The prototype source does not decide final expedition rewards. [R12 §§1-7; D12; D17B]</w:t>
      </w:r>
    </w:p>
    <w:p>
      <w:pPr>
        <w:pStyle w:val="Heading2"/>
        <w:widowControl/>
      </w:pPr>
      <w:r>
        <w:t>16.2 Approved subsystem separation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448"/>
        <w:gridCol w:w="7416"/>
      </w:tblGrid>
      <w:tr>
        <w:trPr>
          <w:cantSplit/>
          <w:tblHeader/>
        </w:trPr>
        <w:tc>
          <w:tcPr>
            <w:tcW w:type="dxa" w:w="2448"/>
            <w:vAlign w:val="top"/>
            <w:shd w:fill="253842"/>
          </w:tcPr>
          <w:p>
            <w:pPr>
              <w:pStyle w:val="TableText"/>
              <w:keepNext/>
              <w:widowControl/>
            </w:pPr>
            <w:r>
              <w:rPr>
                <w:rFonts w:ascii="Lato" w:hAnsi="Lato"/>
                <w:b/>
                <w:color w:val="FFFFFF"/>
                <w:sz w:val="18"/>
              </w:rPr>
              <w:t>Responsibility</w:t>
            </w:r>
          </w:p>
        </w:tc>
        <w:tc>
          <w:tcPr>
            <w:tcW w:type="dxa" w:w="7416"/>
            <w:vAlign w:val="top"/>
            <w:shd w:fill="253842"/>
          </w:tcPr>
          <w:p>
            <w:pPr>
              <w:pStyle w:val="TableText"/>
              <w:keepNext/>
              <w:widowControl/>
            </w:pPr>
            <w:r>
              <w:rPr>
                <w:rFonts w:ascii="Lato" w:hAnsi="Lato"/>
                <w:b/>
                <w:color w:val="FFFFFF"/>
                <w:sz w:val="18"/>
              </w:rPr>
              <w:t>Boundary</w:t>
            </w:r>
          </w:p>
        </w:tc>
      </w:tr>
      <w:tr>
        <w:trPr>
          <w:cantSplit/>
        </w:trPr>
        <w:tc>
          <w:tcPr>
            <w:tcW w:type="dxa" w:w="2448"/>
            <w:vAlign w:val="top"/>
          </w:tcPr>
          <w:p>
            <w:pPr>
              <w:pStyle w:val="TableText"/>
              <w:keepNext w:val="0"/>
              <w:widowControl/>
            </w:pPr>
            <w:r>
              <w:rPr>
                <w:rFonts w:ascii="Lato" w:hAnsi="Lato"/>
                <w:b/>
                <w:color w:val="25323A"/>
                <w:sz w:val="18"/>
              </w:rPr>
              <w:t>ItemDefinition / authoring manifest</w:t>
            </w:r>
          </w:p>
        </w:tc>
        <w:tc>
          <w:tcPr>
            <w:tcW w:type="dxa" w:w="7416"/>
            <w:vAlign w:val="top"/>
          </w:tcPr>
          <w:p>
            <w:pPr>
              <w:pStyle w:val="TableText"/>
              <w:keepNext w:val="0"/>
              <w:widowControl/>
            </w:pPr>
            <w:r>
              <w:rPr>
                <w:rFonts w:ascii="Lato" w:hAnsi="Lato"/>
                <w:b w:val="0"/>
                <w:color w:val="25323A"/>
                <w:sz w:val="18"/>
              </w:rPr>
              <w:t>Gameplay type truth versus authoring/evidence truth. No runtime eligibility query into the review manifest.</w:t>
            </w:r>
          </w:p>
        </w:tc>
      </w:tr>
      <w:tr>
        <w:trPr>
          <w:cantSplit/>
        </w:trPr>
        <w:tc>
          <w:tcPr>
            <w:tcW w:type="dxa" w:w="2448"/>
            <w:vAlign w:val="top"/>
            <w:shd w:fill="F6F8F9"/>
          </w:tcPr>
          <w:p>
            <w:pPr>
              <w:pStyle w:val="TableText"/>
              <w:keepNext w:val="0"/>
              <w:widowControl/>
            </w:pPr>
            <w:r>
              <w:rPr>
                <w:rFonts w:ascii="Lato" w:hAnsi="Lato"/>
                <w:b/>
                <w:color w:val="25323A"/>
                <w:sz w:val="18"/>
              </w:rPr>
              <w:t>PrototypeLootPool / source</w:t>
            </w:r>
          </w:p>
        </w:tc>
        <w:tc>
          <w:tcPr>
            <w:tcW w:type="dxa" w:w="7416"/>
            <w:vAlign w:val="top"/>
            <w:shd w:fill="F6F8F9"/>
          </w:tcPr>
          <w:p>
            <w:pPr>
              <w:pStyle w:val="TableText"/>
              <w:keepNext w:val="0"/>
              <w:widowControl/>
            </w:pPr>
            <w:r>
              <w:rPr>
                <w:rFonts w:ascii="Lato" w:hAnsi="Lato"/>
                <w:b w:val="0"/>
                <w:color w:val="25323A"/>
                <w:sz w:val="18"/>
              </w:rPr>
              <w:t>Explicit 40 eligible IDs, excluding Gloves/Pants; seeded Bulk-budget content. Future persistent loot tables can replace policy without changing Receiving.</w:t>
            </w:r>
          </w:p>
        </w:tc>
      </w:tr>
      <w:tr>
        <w:trPr>
          <w:cantSplit/>
        </w:trPr>
        <w:tc>
          <w:tcPr>
            <w:tcW w:type="dxa" w:w="2448"/>
            <w:vAlign w:val="top"/>
          </w:tcPr>
          <w:p>
            <w:pPr>
              <w:pStyle w:val="TableText"/>
              <w:keepNext w:val="0"/>
              <w:widowControl/>
            </w:pPr>
            <w:r>
              <w:rPr>
                <w:rFonts w:ascii="Lato" w:hAnsi="Lato"/>
                <w:b/>
                <w:color w:val="25323A"/>
                <w:sz w:val="18"/>
              </w:rPr>
              <w:t>LootBatch / entries</w:t>
            </w:r>
          </w:p>
        </w:tc>
        <w:tc>
          <w:tcPr>
            <w:tcW w:type="dxa" w:w="7416"/>
            <w:vAlign w:val="top"/>
          </w:tcPr>
          <w:p>
            <w:pPr>
              <w:pStyle w:val="TableText"/>
              <w:keepNext w:val="0"/>
              <w:widowControl/>
            </w:pPr>
            <w:r>
              <w:rPr>
                <w:rFonts w:ascii="Lato" w:hAnsi="Lato"/>
                <w:b w:val="0"/>
                <w:color w:val="25323A"/>
                <w:sz w:val="18"/>
              </w:rPr>
              <w:t>One durable identity per physical item; immutable content commitment; accepted local transforms and profile revision committed separately.</w:t>
            </w:r>
          </w:p>
        </w:tc>
      </w:tr>
      <w:tr>
        <w:trPr>
          <w:cantSplit/>
        </w:trPr>
        <w:tc>
          <w:tcPr>
            <w:tcW w:type="dxa" w:w="2448"/>
            <w:vAlign w:val="top"/>
            <w:shd w:fill="F6F8F9"/>
          </w:tcPr>
          <w:p>
            <w:pPr>
              <w:pStyle w:val="TableText"/>
              <w:keepNext w:val="0"/>
              <w:widowControl/>
            </w:pPr>
            <w:r>
              <w:rPr>
                <w:rFonts w:ascii="Lato" w:hAnsi="Lato"/>
                <w:b/>
                <w:color w:val="25323A"/>
                <w:sz w:val="18"/>
              </w:rPr>
              <w:t>ReceivingManager</w:t>
            </w:r>
          </w:p>
        </w:tc>
        <w:tc>
          <w:tcPr>
            <w:tcW w:type="dxa" w:w="7416"/>
            <w:vAlign w:val="top"/>
            <w:shd w:fill="F6F8F9"/>
          </w:tcPr>
          <w:p>
            <w:pPr>
              <w:pStyle w:val="TableText"/>
              <w:keepNext w:val="0"/>
              <w:widowControl/>
            </w:pPr>
            <w:r>
              <w:rPr>
                <w:rFonts w:ascii="Lato" w:hAnsi="Lato"/>
                <w:b w:val="0"/>
                <w:color w:val="25323A"/>
                <w:sz w:val="18"/>
              </w:rPr>
              <w:t>One active deposited batch plus two FIFO queued. Prepared undelivered content consumes no capacity. Deposits, release accounting and retirement/promotion are data ownership.</w:t>
            </w:r>
          </w:p>
        </w:tc>
      </w:tr>
      <w:tr>
        <w:trPr>
          <w:cantSplit/>
        </w:trPr>
        <w:tc>
          <w:tcPr>
            <w:tcW w:type="dxa" w:w="2448"/>
            <w:vAlign w:val="top"/>
          </w:tcPr>
          <w:p>
            <w:pPr>
              <w:pStyle w:val="TableText"/>
              <w:keepNext w:val="0"/>
              <w:widowControl/>
            </w:pPr>
            <w:r>
              <w:rPr>
                <w:rFonts w:ascii="Lato" w:hAnsi="Lato"/>
                <w:b/>
                <w:color w:val="25323A"/>
                <w:sz w:val="18"/>
              </w:rPr>
              <w:t>FreightBayPresenter</w:t>
            </w:r>
          </w:p>
        </w:tc>
        <w:tc>
          <w:tcPr>
            <w:tcW w:type="dxa" w:w="7416"/>
            <w:vAlign w:val="top"/>
          </w:tcPr>
          <w:p>
            <w:pPr>
              <w:pStyle w:val="TableText"/>
              <w:keepNext w:val="0"/>
              <w:widowControl/>
            </w:pPr>
            <w:r>
              <w:rPr>
                <w:rFonts w:ascii="Lato" w:hAnsi="Lato"/>
                <w:b w:val="0"/>
                <w:color w:val="25323A"/>
                <w:sz w:val="18"/>
              </w:rPr>
              <w:t>Separate arrival/reveal/open/close sequencing, shutter, cues, materialization and interaction gating; not yet physically validated.</w:t>
            </w:r>
          </w:p>
        </w:tc>
      </w:tr>
      <w:tr>
        <w:trPr>
          <w:cantSplit/>
        </w:trPr>
        <w:tc>
          <w:tcPr>
            <w:tcW w:type="dxa" w:w="2448"/>
            <w:vAlign w:val="top"/>
            <w:shd w:fill="F6F8F9"/>
          </w:tcPr>
          <w:p>
            <w:pPr>
              <w:pStyle w:val="TableText"/>
              <w:keepNext w:val="0"/>
              <w:widowControl/>
            </w:pPr>
            <w:r>
              <w:rPr>
                <w:rFonts w:ascii="Lato" w:hAnsi="Lato"/>
                <w:b/>
                <w:color w:val="25323A"/>
                <w:sz w:val="18"/>
              </w:rPr>
              <w:t>Preparation job/profile</w:t>
            </w:r>
          </w:p>
        </w:tc>
        <w:tc>
          <w:tcPr>
            <w:tcW w:type="dxa" w:w="7416"/>
            <w:vAlign w:val="top"/>
            <w:shd w:fill="F6F8F9"/>
          </w:tcPr>
          <w:p>
            <w:pPr>
              <w:pStyle w:val="TableText"/>
              <w:keepNext w:val="0"/>
              <w:widowControl/>
            </w:pPr>
            <w:r>
              <w:rPr>
                <w:rFonts w:ascii="Lato" w:hAnsi="Lato"/>
                <w:b w:val="0"/>
                <w:color w:val="25323A"/>
                <w:sz w:val="18"/>
              </w:rPr>
              <w:t>Isolated transient proxy work and shared geometry/validation contract; not a live-bay rigid-body subsystem.</w:t>
            </w:r>
          </w:p>
        </w:tc>
      </w:tr>
    </w:tbl>
    <w:p>
      <w:pPr>
        <w:spacing w:after="60" w:before="0" w:line="40" w:lineRule="exact"/>
      </w:pPr>
      <w:r>
        <w:rPr>
          <w:sz w:val="4"/>
        </w:rPr>
      </w:r>
    </w:p>
    <w:p>
      <w:pPr>
        <w:widowControl/>
      </w:pPr>
      <w:r>
        <w:t>The preparation lifecycle is CONTENT_COMMITTED -&gt; PREPARED. Same seed/config/Bulk repeats ordered content; a new commitment gets new batch/item identities. Reconstruction preserves existing identities. Retry changes arrangement only; revealed remaining transforms cannot be casually regenerated. [R12 §§5-6]</w:t>
      </w:r>
    </w:p>
    <w:p>
      <w:pPr>
        <w:pStyle w:val="Heading2"/>
        <w:widowControl/>
      </w:pPr>
      <w:r>
        <w:t>16.3 Implemented Stage A and technical evidence</w:t>
      </w:r>
    </w:p>
    <w:p>
      <w:pPr>
        <w:widowControl/>
      </w:pPr>
      <w:r>
        <w:t>Stage A was reported complete on codex/receiving-elevator-stage-a at 41415a4, then fast-forward merged and synchronized with all 14 commits preserved. The exact reported integrated SHA is 41415a4dbf204c9187874fd40f421183939d60f7. The record is docs/testing/receiving-elevator-stage-a-validation.md. [D12A]</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592"/>
        <w:gridCol w:w="7272"/>
      </w:tblGrid>
      <w:tr>
        <w:trPr>
          <w:cantSplit/>
          <w:tblHeader/>
        </w:trPr>
        <w:tc>
          <w:tcPr>
            <w:tcW w:type="dxa" w:w="2592"/>
            <w:vAlign w:val="top"/>
            <w:shd w:fill="253842"/>
          </w:tcPr>
          <w:p>
            <w:pPr>
              <w:pStyle w:val="TableText"/>
              <w:keepNext/>
              <w:widowControl/>
            </w:pPr>
            <w:r>
              <w:rPr>
                <w:rFonts w:ascii="Lato" w:hAnsi="Lato"/>
                <w:b/>
                <w:color w:val="FFFFFF"/>
                <w:sz w:val="18"/>
              </w:rPr>
              <w:t>Delivered / checked</w:t>
            </w:r>
          </w:p>
        </w:tc>
        <w:tc>
          <w:tcPr>
            <w:tcW w:type="dxa" w:w="7272"/>
            <w:vAlign w:val="top"/>
            <w:shd w:fill="253842"/>
          </w:tcPr>
          <w:p>
            <w:pPr>
              <w:pStyle w:val="TableText"/>
              <w:keepNext/>
              <w:widowControl/>
            </w:pPr>
            <w:r>
              <w:rPr>
                <w:rFonts w:ascii="Lato" w:hAnsi="Lato"/>
                <w:b/>
                <w:color w:val="FFFFFF"/>
                <w:sz w:val="18"/>
              </w:rPr>
              <w:t>Reported result</w:t>
            </w:r>
          </w:p>
        </w:tc>
      </w:tr>
      <w:tr>
        <w:trPr>
          <w:cantSplit/>
        </w:trPr>
        <w:tc>
          <w:tcPr>
            <w:tcW w:type="dxa" w:w="2592"/>
            <w:vAlign w:val="top"/>
          </w:tcPr>
          <w:p>
            <w:pPr>
              <w:pStyle w:val="TableText"/>
              <w:keepNext w:val="0"/>
              <w:widowControl/>
            </w:pPr>
            <w:r>
              <w:rPr>
                <w:rFonts w:ascii="Lato" w:hAnsi="Lato"/>
                <w:b/>
                <w:color w:val="25323A"/>
                <w:sz w:val="18"/>
              </w:rPr>
              <w:t>Durable ItemInstance identity</w:t>
            </w:r>
          </w:p>
        </w:tc>
        <w:tc>
          <w:tcPr>
            <w:tcW w:type="dxa" w:w="7272"/>
            <w:vAlign w:val="top"/>
          </w:tcPr>
          <w:p>
            <w:pPr>
              <w:pStyle w:val="TableText"/>
              <w:keepNext w:val="0"/>
              <w:widowControl/>
            </w:pPr>
            <w:r>
              <w:rPr>
                <w:rFonts w:ascii="Lato" w:hAnsi="Lato"/>
                <w:b w:val="0"/>
                <w:color w:val="25323A"/>
                <w:sz w:val="18"/>
              </w:rPr>
              <w:t>Externally supplied IDs and snapshot reconstruction; repeated same-seed new batches do not collide in identity space.</w:t>
            </w:r>
          </w:p>
        </w:tc>
      </w:tr>
      <w:tr>
        <w:trPr>
          <w:cantSplit/>
        </w:trPr>
        <w:tc>
          <w:tcPr>
            <w:tcW w:type="dxa" w:w="2592"/>
            <w:vAlign w:val="top"/>
            <w:shd w:fill="F6F8F9"/>
          </w:tcPr>
          <w:p>
            <w:pPr>
              <w:pStyle w:val="TableText"/>
              <w:keepNext w:val="0"/>
              <w:widowControl/>
            </w:pPr>
            <w:r>
              <w:rPr>
                <w:rFonts w:ascii="Lato" w:hAnsi="Lato"/>
                <w:b/>
                <w:color w:val="25323A"/>
                <w:sz w:val="18"/>
              </w:rPr>
              <w:t>Batch content / arrangement</w:t>
            </w:r>
          </w:p>
        </w:tc>
        <w:tc>
          <w:tcPr>
            <w:tcW w:type="dxa" w:w="7272"/>
            <w:vAlign w:val="top"/>
            <w:shd w:fill="F6F8F9"/>
          </w:tcPr>
          <w:p>
            <w:pPr>
              <w:pStyle w:val="TableText"/>
              <w:keepNext w:val="0"/>
              <w:widowControl/>
            </w:pPr>
            <w:r>
              <w:rPr>
                <w:rFonts w:ascii="Lato" w:hAnsi="Lato"/>
                <w:b w:val="0"/>
                <w:color w:val="25323A"/>
                <w:sz w:val="18"/>
              </w:rPr>
              <w:t>Per-item entries, immutable content, atomic preparation commitment and snapshot/reconstruction contracts.</w:t>
            </w:r>
          </w:p>
        </w:tc>
      </w:tr>
      <w:tr>
        <w:trPr>
          <w:cantSplit/>
        </w:trPr>
        <w:tc>
          <w:tcPr>
            <w:tcW w:type="dxa" w:w="2592"/>
            <w:vAlign w:val="top"/>
          </w:tcPr>
          <w:p>
            <w:pPr>
              <w:pStyle w:val="TableText"/>
              <w:keepNext w:val="0"/>
              <w:widowControl/>
            </w:pPr>
            <w:r>
              <w:rPr>
                <w:rFonts w:ascii="Lato" w:hAnsi="Lato"/>
                <w:b/>
                <w:color w:val="25323A"/>
                <w:sz w:val="18"/>
              </w:rPr>
              <w:t>Pool and seeded source</w:t>
            </w:r>
          </w:p>
        </w:tc>
        <w:tc>
          <w:tcPr>
            <w:tcW w:type="dxa" w:w="7272"/>
            <w:vAlign w:val="top"/>
          </w:tcPr>
          <w:p>
            <w:pPr>
              <w:pStyle w:val="TableText"/>
              <w:keepNext w:val="0"/>
              <w:widowControl/>
            </w:pPr>
            <w:r>
              <w:rPr>
                <w:rFonts w:ascii="Lato" w:hAnsi="Lato"/>
                <w:b w:val="0"/>
                <w:color w:val="25323A"/>
                <w:sz w:val="18"/>
              </w:rPr>
              <w:t>40-ID pool, blocked definitions excluded, catalogue resolution and deterministic Bulk-driven generation.</w:t>
            </w:r>
          </w:p>
        </w:tc>
      </w:tr>
      <w:tr>
        <w:trPr>
          <w:cantSplit/>
        </w:trPr>
        <w:tc>
          <w:tcPr>
            <w:tcW w:type="dxa" w:w="2592"/>
            <w:vAlign w:val="top"/>
            <w:shd w:fill="F6F8F9"/>
          </w:tcPr>
          <w:p>
            <w:pPr>
              <w:pStyle w:val="TableText"/>
              <w:keepNext w:val="0"/>
              <w:widowControl/>
            </w:pPr>
            <w:r>
              <w:rPr>
                <w:rFonts w:ascii="Lato" w:hAnsi="Lato"/>
                <w:b/>
                <w:color w:val="25323A"/>
                <w:sz w:val="18"/>
              </w:rPr>
              <w:t>Profile / job / diagnostics</w:t>
            </w:r>
          </w:p>
        </w:tc>
        <w:tc>
          <w:tcPr>
            <w:tcW w:type="dxa" w:w="7272"/>
            <w:vAlign w:val="top"/>
            <w:shd w:fill="F6F8F9"/>
          </w:tcPr>
          <w:p>
            <w:pPr>
              <w:pStyle w:val="TableText"/>
              <w:keepNext w:val="0"/>
              <w:widowControl/>
            </w:pPr>
            <w:r>
              <w:rPr>
                <w:rFonts w:ascii="Lato" w:hAnsi="Lato"/>
                <w:b w:val="0"/>
                <w:color w:val="25323A"/>
                <w:sz w:val="18"/>
              </w:rPr>
              <w:t>Schemas and preparation-work contracts; no physical settling implementation required.</w:t>
            </w:r>
          </w:p>
        </w:tc>
      </w:tr>
      <w:tr>
        <w:trPr>
          <w:cantSplit/>
        </w:trPr>
        <w:tc>
          <w:tcPr>
            <w:tcW w:type="dxa" w:w="2592"/>
            <w:vAlign w:val="top"/>
          </w:tcPr>
          <w:p>
            <w:pPr>
              <w:pStyle w:val="TableText"/>
              <w:keepNext w:val="0"/>
              <w:widowControl/>
            </w:pPr>
            <w:r>
              <w:rPr>
                <w:rFonts w:ascii="Lato" w:hAnsi="Lato"/>
                <w:b/>
                <w:color w:val="25323A"/>
                <w:sz w:val="18"/>
              </w:rPr>
              <w:t>Receiving lifecycle</w:t>
            </w:r>
          </w:p>
        </w:tc>
        <w:tc>
          <w:tcPr>
            <w:tcW w:type="dxa" w:w="7272"/>
            <w:vAlign w:val="top"/>
          </w:tcPr>
          <w:p>
            <w:pPr>
              <w:pStyle w:val="TableText"/>
              <w:keepNext w:val="0"/>
              <w:widowControl/>
            </w:pPr>
            <w:r>
              <w:rPr>
                <w:rFonts w:ascii="Lato" w:hAnsi="Lato"/>
                <w:b w:val="0"/>
                <w:color w:val="25323A"/>
                <w:sz w:val="18"/>
              </w:rPr>
              <w:t>One active + two queued, deposits/rejections, ownership/drain accounting and undeployed prepared-batch distinction.</w:t>
            </w:r>
          </w:p>
        </w:tc>
      </w:tr>
      <w:tr>
        <w:trPr>
          <w:cantSplit/>
        </w:trPr>
        <w:tc>
          <w:tcPr>
            <w:tcW w:type="dxa" w:w="2592"/>
            <w:vAlign w:val="top"/>
            <w:shd w:fill="F6F8F9"/>
          </w:tcPr>
          <w:p>
            <w:pPr>
              <w:pStyle w:val="TableText"/>
              <w:keepNext w:val="0"/>
              <w:widowControl/>
            </w:pPr>
            <w:r>
              <w:rPr>
                <w:rFonts w:ascii="Lato" w:hAnsi="Lato"/>
                <w:b/>
                <w:color w:val="25323A"/>
                <w:sz w:val="18"/>
              </w:rPr>
              <w:t>Tests / audit</w:t>
            </w:r>
          </w:p>
        </w:tc>
        <w:tc>
          <w:tcPr>
            <w:tcW w:type="dxa" w:w="7272"/>
            <w:vAlign w:val="top"/>
            <w:shd w:fill="F6F8F9"/>
          </w:tcPr>
          <w:p>
            <w:pPr>
              <w:pStyle w:val="TableText"/>
              <w:keepNext w:val="0"/>
              <w:widowControl/>
            </w:pPr>
            <w:r>
              <w:rPr>
                <w:rFonts w:ascii="Lato" w:hAnsi="Lato"/>
                <w:b w:val="0"/>
                <w:color w:val="25323A"/>
                <w:sz w:val="18"/>
              </w:rPr>
              <w:t>30/30 strict suites; 42-asset audit with only Gloves/Pants blocked at that checkpoint; parser/diff/clean-tree checks.</w:t>
            </w:r>
          </w:p>
        </w:tc>
      </w:tr>
      <w:tr>
        <w:trPr>
          <w:cantSplit/>
        </w:trPr>
        <w:tc>
          <w:tcPr>
            <w:tcW w:type="dxa" w:w="2592"/>
            <w:vAlign w:val="top"/>
          </w:tcPr>
          <w:p>
            <w:pPr>
              <w:pStyle w:val="TableText"/>
              <w:keepNext w:val="0"/>
              <w:widowControl/>
            </w:pPr>
            <w:r>
              <w:rPr>
                <w:rFonts w:ascii="Lato" w:hAnsi="Lato"/>
                <w:b/>
                <w:color w:val="25323A"/>
                <w:sz w:val="18"/>
              </w:rPr>
              <w:t>Review / integration</w:t>
            </w:r>
          </w:p>
        </w:tc>
        <w:tc>
          <w:tcPr>
            <w:tcW w:type="dxa" w:w="7272"/>
            <w:vAlign w:val="top"/>
          </w:tcPr>
          <w:p>
            <w:pPr>
              <w:pStyle w:val="TableText"/>
              <w:keepNext w:val="0"/>
              <w:widowControl/>
            </w:pPr>
            <w:r>
              <w:rPr>
                <w:rFonts w:ascii="Lato" w:hAnsi="Lato"/>
                <w:b w:val="0"/>
                <w:color w:val="25323A"/>
                <w:sz w:val="18"/>
              </w:rPr>
              <w:t>Final review findings fixed/re-reviewed; post-merge integration suite, parser and diff checks passed; local main and origin matched.</w:t>
            </w:r>
          </w:p>
        </w:tc>
      </w:tr>
    </w:tbl>
    <w:p>
      <w:pPr>
        <w:spacing w:after="60" w:before="0" w:line="40" w:lineRule="exact"/>
      </w:pPr>
      <w:r>
        <w:rPr>
          <w:sz w:val="4"/>
        </w:rPr>
      </w:r>
    </w:p>
    <w:p>
      <w:pPr>
        <w:widowControl/>
      </w:pPr>
      <w:r>
        <w:t>The task took approximately three hours and used 22 sub-agents according to the developer. This is an execution observation, not a required staffing pattern. Future tasks should keep review overhead proportional to change risk.</w:t>
      </w:r>
    </w:p>
    <w:p>
      <w:pPr>
        <w:pStyle w:val="Heading2"/>
        <w:widowControl/>
      </w:pPr>
      <w:r>
        <w:t>16.4 Rulings and test-infrastructure lesson</w:t>
      </w:r>
    </w:p>
    <w:p>
      <w:pPr>
        <w:pStyle w:val="ListBullet"/>
        <w:widowControl/>
      </w:pPr>
      <w:r>
        <w:t>An in-place feature branch retained authoritative ignored assets/import state instead of creating an asset-blind worktree.</w:t>
      </w:r>
    </w:p>
    <w:p>
      <w:pPr>
        <w:pStyle w:val="ListBullet"/>
        <w:widowControl/>
      </w:pPr>
      <w:r>
        <w:t>LootBatch.is_drained() was added when the manager required it; empty fresh batches and already-drained deposits are rejected to avoid dead Receiving states.</w:t>
      </w:r>
    </w:p>
    <w:p>
      <w:pPr>
        <w:pStyle w:val="ListBullet"/>
        <w:widowControl/>
      </w:pPr>
      <w:r>
        <w:t>Six focused harnesses were hardened after demonstrating that helper errors could produce false apparent passes. Final validation required explicit PASS plus error-output checks, not only exit 0.</w:t>
      </w:r>
    </w:p>
    <w:p>
      <w:pPr>
        <w:pStyle w:val="ListBullet"/>
        <w:widowControl/>
      </w:pPr>
      <w:r>
        <w:t>The recurring certificate-store diagnostic was treated as unchanged Windows host noise; no claim that the host TLS issue was repaired.</w:t>
      </w:r>
    </w:p>
    <w:p>
      <w:pPr>
        <w:pStyle w:val="ListBullet"/>
        <w:widowControl/>
      </w:pPr>
      <w:r>
        <w:t>The implementation plan was amended to record corrections; the validation report is the evidence of what actually ran.</w:t>
      </w:r>
    </w:p>
    <w:p>
      <w:pPr>
        <w:pStyle w:val="Heading2"/>
        <w:widowControl/>
      </w:pPr>
      <w:r>
        <w:t>16.5 What Stage A did not establish</w:t>
      </w:r>
    </w:p>
    <w:p>
      <w:pPr>
        <w:widowControl/>
      </w:pPr>
      <w:r>
        <w:t>No freight-bay gameplay, physical disorderly pile, actual hidden settle, drainability ray simulation, fallback quality, shutter/cue sequence, local Receiving reach or end-to-end TAKE presentation was implemented by Stage A. No full-game save slot, rotating snapshot store, durable transaction journal or crash-injection guarantee follows from serializable data contracts. Those remain separately tested work.</w:t>
      </w:r>
    </w:p>
    <w:p>
      <w:pPr>
        <w:pStyle w:val="Heading2"/>
        <w:widowControl/>
      </w:pPr>
      <w:r>
        <w:t>16.6 Approved physical and future-integration contract</w:t>
      </w:r>
    </w:p>
    <w:p>
      <w:pPr/>
      <w:r>
        <w:t>29 September supersession: the isolated rigid-body pile proposal below was superseded after human rejection of irregular frozen piles. §27 records the promoted deterministic TAKE-only presenter and fixtures; do not treat this older proposal as current production direction.</w:t>
      </w:r>
    </w:p>
    <w:p>
      <w:pPr>
        <w:widowControl/>
      </w:pPr>
      <w:r>
        <w:t>Stage B will present one manually/debug-triggered batch behind a permanent barrier and shutter. The deck/walls remain static. Isolated simplified rigid bodies create a candidate pile; bounded retry and deterministic fallback preserve content. Destroy proxies and reconstruct ordinary WorldItems with their accepted orientations. Pickup is enabled only when OPEN; taking one item does not re-settle the others.</w:t>
      </w:r>
    </w:p>
    <w:p>
      <w:pPr>
        <w:widowControl/>
      </w:pPr>
      <w:r>
        <w:t>Conservative progressive drainability is the initial acceptance test: iterate targetable entries from authored apron viewpoints, remove them virtually and reject a deadlock. Log attempts, rejection reasons, fallback share and preparation duration. A generalized reachability solver or hard fallback percentage is not yet justified.</w:t>
      </w:r>
    </w:p>
    <w:p>
      <w:pPr>
        <w:widowControl/>
      </w:pPr>
      <w:r>
        <w:t>Stage C then enables physical one-active/two-queued pressure. Future expeditions may prepare immutable outcomes before return only after player influence ends; backend preparation consumes no slots. This supersedes the old GDD three-batches-in-existence / never-generated-forfeit wording while retaining capacity pressure and midnight haul loss. [R12 §§11-27; G05 §11]</w:t>
      </w:r>
    </w:p>
    <w:p>
      <w:pPr>
        <w:pStyle w:val="Heading1"/>
        <w:widowControl/>
      </w:pPr>
      <w:r>
        <w:t>17. Environment relocation and expanded asset library</w:t>
      </w:r>
    </w:p>
    <w:p>
      <w:pPr>
        <w:pStyle w:val="Heading2"/>
        <w:widowControl/>
      </w:pPr>
      <w:r>
        <w:t>17.1 Read-only inventory and approved scope</w:t>
      </w:r>
    </w:p>
    <w:p>
      <w:pPr>
        <w:widowControl/>
      </w:pPr>
      <w:r>
        <w:t>The initial local inventory counted 1,211 asset files: 110 primary GLBs, 495 PNGs and 606 .import sidecars. All 42 catalogue visual paths were excluded, including blocked Gloves/Pants; 50 environment primary candidates were mapped, while 18 non-environment/future-loot/character primaries remained HOLD. The orphan Gloves sidecar was explicitly left alone. [I12]</w:t>
      </w:r>
    </w:p>
    <w:p>
      <w:pPr>
        <w:widowControl/>
      </w:pPr>
      <w:r>
        <w:t>Classification uses physical identity, not vendor, folder stereotype, current collision role or gameplay function. Architecture, infrastructure, furniture and dressing live under assets/environment. A lighting mesh may anchor actual lights; rubble can be a traversal blocker. Source taxonomy does not constrain creative scene use.</w:t>
      </w:r>
    </w:p>
    <w:p>
      <w:pPr>
        <w:widowControl/>
      </w:pPr>
      <w:r>
        <w:t>Two identical SM_Hallway_Door_02b source families collided. The building_blocks family was selected as canonical after hash revalidation; the furniture duplicate was retired. A communications category was accepted for the fixed radio. The old loot relocation script was too hard-coded and count-specific, so a dedicated manifest-driven environment migration utility was used.</w:t>
      </w:r>
    </w:p>
    <w:p>
      <w:pPr>
        <w:pStyle w:val="Heading2"/>
        <w:widowControl/>
      </w:pPr>
      <w:r>
        <w:t>17.2 Migration evidence and integration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96"/>
        <w:gridCol w:w="6768"/>
      </w:tblGrid>
      <w:tr>
        <w:trPr>
          <w:cantSplit/>
          <w:tblHeader/>
        </w:trPr>
        <w:tc>
          <w:tcPr>
            <w:tcW w:type="dxa" w:w="3096"/>
            <w:vAlign w:val="top"/>
            <w:shd w:fill="253842"/>
          </w:tcPr>
          <w:p>
            <w:pPr>
              <w:pStyle w:val="TableText"/>
              <w:keepNext/>
              <w:widowControl/>
            </w:pPr>
            <w:r>
              <w:rPr>
                <w:rFonts w:ascii="Lato" w:hAnsi="Lato"/>
                <w:b/>
                <w:color w:val="FFFFFF"/>
                <w:sz w:val="18"/>
              </w:rPr>
              <w:t>Measurement / check</w:t>
            </w:r>
          </w:p>
        </w:tc>
        <w:tc>
          <w:tcPr>
            <w:tcW w:type="dxa" w:w="6768"/>
            <w:vAlign w:val="top"/>
            <w:shd w:fill="253842"/>
          </w:tcPr>
          <w:p>
            <w:pPr>
              <w:pStyle w:val="TableText"/>
              <w:keepNext/>
              <w:widowControl/>
            </w:pPr>
            <w:r>
              <w:rPr>
                <w:rFonts w:ascii="Lato" w:hAnsi="Lato"/>
                <w:b/>
                <w:color w:val="FFFFFF"/>
                <w:sz w:val="18"/>
              </w:rPr>
              <w:t>Reported result</w:t>
            </w:r>
          </w:p>
        </w:tc>
      </w:tr>
      <w:tr>
        <w:trPr>
          <w:cantSplit/>
        </w:trPr>
        <w:tc>
          <w:tcPr>
            <w:tcW w:type="dxa" w:w="3096"/>
            <w:vAlign w:val="top"/>
          </w:tcPr>
          <w:p>
            <w:pPr>
              <w:pStyle w:val="TableText"/>
              <w:keepNext w:val="0"/>
              <w:widowControl/>
            </w:pPr>
            <w:r>
              <w:rPr>
                <w:rFonts w:ascii="Lato" w:hAnsi="Lato"/>
                <w:b/>
                <w:color w:val="25323A"/>
                <w:sz w:val="18"/>
              </w:rPr>
              <w:t>Canonical relocated content</w:t>
            </w:r>
          </w:p>
        </w:tc>
        <w:tc>
          <w:tcPr>
            <w:tcW w:type="dxa" w:w="6768"/>
            <w:vAlign w:val="top"/>
          </w:tcPr>
          <w:p>
            <w:pPr>
              <w:pStyle w:val="TableText"/>
              <w:keepNext w:val="0"/>
              <w:widowControl/>
            </w:pPr>
            <w:r>
              <w:rPr>
                <w:rFonts w:ascii="Lato" w:hAnsi="Lato"/>
                <w:b w:val="0"/>
                <w:color w:val="25323A"/>
                <w:sz w:val="18"/>
              </w:rPr>
              <w:t>49 GLBs + 264 PNGs + 313 sidecars = 626 files.</w:t>
            </w:r>
          </w:p>
        </w:tc>
      </w:tr>
      <w:tr>
        <w:trPr>
          <w:cantSplit/>
        </w:trPr>
        <w:tc>
          <w:tcPr>
            <w:tcW w:type="dxa" w:w="3096"/>
            <w:vAlign w:val="top"/>
            <w:shd w:fill="F6F8F9"/>
          </w:tcPr>
          <w:p>
            <w:pPr>
              <w:pStyle w:val="TableText"/>
              <w:keepNext w:val="0"/>
              <w:widowControl/>
            </w:pPr>
            <w:r>
              <w:rPr>
                <w:rFonts w:ascii="Lato" w:hAnsi="Lato"/>
                <w:b/>
                <w:color w:val="25323A"/>
                <w:sz w:val="18"/>
              </w:rPr>
              <w:t>Duplicate family retired</w:t>
            </w:r>
          </w:p>
        </w:tc>
        <w:tc>
          <w:tcPr>
            <w:tcW w:type="dxa" w:w="6768"/>
            <w:vAlign w:val="top"/>
            <w:shd w:fill="F6F8F9"/>
          </w:tcPr>
          <w:p>
            <w:pPr>
              <w:pStyle w:val="TableText"/>
              <w:keepNext w:val="0"/>
              <w:widowControl/>
            </w:pPr>
            <w:r>
              <w:rPr>
                <w:rFonts w:ascii="Lato" w:hAnsi="Lato"/>
                <w:b w:val="0"/>
                <w:color w:val="25323A"/>
                <w:sz w:val="18"/>
              </w:rPr>
              <w:t>1 GLB + 4 PNGs + 5 sidecars = 10 files. Canonical migration plus retired duplicate accounts for the inventoried 636 environment-family files.</w:t>
            </w:r>
          </w:p>
        </w:tc>
      </w:tr>
      <w:tr>
        <w:trPr>
          <w:cantSplit/>
        </w:trPr>
        <w:tc>
          <w:tcPr>
            <w:tcW w:type="dxa" w:w="3096"/>
            <w:vAlign w:val="top"/>
          </w:tcPr>
          <w:p>
            <w:pPr>
              <w:pStyle w:val="TableText"/>
              <w:keepNext w:val="0"/>
              <w:widowControl/>
            </w:pPr>
            <w:r>
              <w:rPr>
                <w:rFonts w:ascii="Lato" w:hAnsi="Lato"/>
                <w:b/>
                <w:color w:val="25323A"/>
                <w:sz w:val="18"/>
              </w:rPr>
              <w:t>Excluded content</w:t>
            </w:r>
          </w:p>
        </w:tc>
        <w:tc>
          <w:tcPr>
            <w:tcW w:type="dxa" w:w="6768"/>
            <w:vAlign w:val="top"/>
          </w:tcPr>
          <w:p>
            <w:pPr>
              <w:pStyle w:val="TableText"/>
              <w:keepNext w:val="0"/>
              <w:widowControl/>
            </w:pPr>
            <w:r>
              <w:rPr>
                <w:rFonts w:ascii="Lato" w:hAnsi="Lato"/>
                <w:b w:val="0"/>
                <w:color w:val="25323A"/>
                <w:sz w:val="18"/>
              </w:rPr>
              <w:t>42/42 loot paths unchanged; 18/18 HOLD primaries unchanged; orphan sidecar untouched.</w:t>
            </w:r>
          </w:p>
        </w:tc>
      </w:tr>
      <w:tr>
        <w:trPr>
          <w:cantSplit/>
        </w:trPr>
        <w:tc>
          <w:tcPr>
            <w:tcW w:type="dxa" w:w="3096"/>
            <w:vAlign w:val="top"/>
            <w:shd w:fill="F6F8F9"/>
          </w:tcPr>
          <w:p>
            <w:pPr>
              <w:pStyle w:val="TableText"/>
              <w:keepNext w:val="0"/>
              <w:widowControl/>
            </w:pPr>
            <w:r>
              <w:rPr>
                <w:rFonts w:ascii="Lato" w:hAnsi="Lato"/>
                <w:b/>
                <w:color w:val="25323A"/>
                <w:sz w:val="18"/>
              </w:rPr>
              <w:t>Final migration tests</w:t>
            </w:r>
          </w:p>
        </w:tc>
        <w:tc>
          <w:tcPr>
            <w:tcW w:type="dxa" w:w="6768"/>
            <w:vAlign w:val="top"/>
            <w:shd w:fill="F6F8F9"/>
          </w:tcPr>
          <w:p>
            <w:pPr>
              <w:pStyle w:val="TableText"/>
              <w:keepNext w:val="0"/>
              <w:widowControl/>
            </w:pPr>
            <w:r>
              <w:rPr>
                <w:rFonts w:ascii="Lato" w:hAnsi="Lato"/>
                <w:b w:val="0"/>
                <w:color w:val="25323A"/>
                <w:sz w:val="18"/>
              </w:rPr>
              <w:t>31/31 passed; 42-asset audit output byte-identical; 40 approved Stack Role/Auto Group checkpoint preserved.</w:t>
            </w:r>
          </w:p>
        </w:tc>
      </w:tr>
      <w:tr>
        <w:trPr>
          <w:cantSplit/>
        </w:trPr>
        <w:tc>
          <w:tcPr>
            <w:tcW w:type="dxa" w:w="3096"/>
            <w:vAlign w:val="top"/>
          </w:tcPr>
          <w:p>
            <w:pPr>
              <w:pStyle w:val="TableText"/>
              <w:keepNext w:val="0"/>
              <w:widowControl/>
            </w:pPr>
            <w:r>
              <w:rPr>
                <w:rFonts w:ascii="Lato" w:hAnsi="Lato"/>
                <w:b/>
                <w:color w:val="25323A"/>
                <w:sz w:val="18"/>
              </w:rPr>
              <w:t>Runtime baseline</w:t>
            </w:r>
          </w:p>
        </w:tc>
        <w:tc>
          <w:tcPr>
            <w:tcW w:type="dxa" w:w="6768"/>
            <w:vAlign w:val="top"/>
          </w:tcPr>
          <w:p>
            <w:pPr>
              <w:pStyle w:val="TableText"/>
              <w:keepNext w:val="0"/>
              <w:widowControl/>
            </w:pPr>
            <w:r>
              <w:rPr>
                <w:rFonts w:ascii="Lato" w:hAnsi="Lato"/>
                <w:b w:val="0"/>
                <w:color w:val="25323A"/>
                <w:sz w:val="18"/>
              </w:rPr>
              <w:t>30 trimesh collision registrations, 9 convex registrations, 16 deterministic storage surfaces.</w:t>
            </w:r>
          </w:p>
        </w:tc>
      </w:tr>
      <w:tr>
        <w:trPr>
          <w:cantSplit/>
        </w:trPr>
        <w:tc>
          <w:tcPr>
            <w:tcW w:type="dxa" w:w="3096"/>
            <w:vAlign w:val="top"/>
            <w:shd w:fill="F6F8F9"/>
          </w:tcPr>
          <w:p>
            <w:pPr>
              <w:pStyle w:val="TableText"/>
              <w:keepNext w:val="0"/>
              <w:widowControl/>
            </w:pPr>
            <w:r>
              <w:rPr>
                <w:rFonts w:ascii="Lato" w:hAnsi="Lato"/>
                <w:b/>
                <w:color w:val="25323A"/>
                <w:sz w:val="18"/>
              </w:rPr>
              <w:t>Import/reference integrity</w:t>
            </w:r>
          </w:p>
        </w:tc>
        <w:tc>
          <w:tcPr>
            <w:tcW w:type="dxa" w:w="6768"/>
            <w:vAlign w:val="top"/>
            <w:shd w:fill="F6F8F9"/>
          </w:tcPr>
          <w:p>
            <w:pPr>
              <w:pStyle w:val="TableText"/>
              <w:keepNext w:val="0"/>
              <w:widowControl/>
            </w:pPr>
            <w:r>
              <w:rPr>
                <w:rFonts w:ascii="Lato" w:hAnsi="Lato"/>
                <w:b w:val="0"/>
                <w:color w:val="25323A"/>
                <w:sz w:val="18"/>
              </w:rPr>
              <w:t>No UID conflicts or stale tracked/generated paths reported; root identity and measured storage/clearance regressions passed.</w:t>
            </w:r>
          </w:p>
        </w:tc>
      </w:tr>
      <w:tr>
        <w:trPr>
          <w:cantSplit/>
        </w:trPr>
        <w:tc>
          <w:tcPr>
            <w:tcW w:type="dxa" w:w="3096"/>
            <w:vAlign w:val="top"/>
          </w:tcPr>
          <w:p>
            <w:pPr>
              <w:pStyle w:val="TableText"/>
              <w:keepNext w:val="0"/>
              <w:widowControl/>
            </w:pPr>
            <w:r>
              <w:rPr>
                <w:rFonts w:ascii="Lato" w:hAnsi="Lato"/>
                <w:b/>
                <w:color w:val="25323A"/>
                <w:sz w:val="18"/>
              </w:rPr>
              <w:t>Human smoke test</w:t>
            </w:r>
          </w:p>
        </w:tc>
        <w:tc>
          <w:tcPr>
            <w:tcW w:type="dxa" w:w="6768"/>
            <w:vAlign w:val="top"/>
          </w:tcPr>
          <w:p>
            <w:pPr>
              <w:pStyle w:val="TableText"/>
              <w:keepNext w:val="0"/>
              <w:widowControl/>
            </w:pPr>
            <w:r>
              <w:rPr>
                <w:rFonts w:ascii="Lato" w:hAnsi="Lato"/>
                <w:b w:val="0"/>
                <w:color w:val="25323A"/>
                <w:sz w:val="18"/>
              </w:rPr>
              <w:t>Developer launched main and confirmed collisions, loot/shelf interactions, pickup and visual assets remained correct with no visible missing content.</w:t>
            </w:r>
          </w:p>
        </w:tc>
      </w:tr>
    </w:tbl>
    <w:p>
      <w:pPr>
        <w:spacing w:after="60" w:before="0" w:line="40" w:lineRule="exact"/>
      </w:pPr>
      <w:r>
        <w:rPr>
          <w:sz w:val="4"/>
        </w:rPr>
      </w:r>
    </w:p>
    <w:p>
      <w:pPr>
        <w:widowControl/>
      </w:pPr>
      <w:r>
        <w:t>Commit series: c423d09 (tool/manifest dry-run work), 8bdcd96 (referenced architecture/infrastructure), 54a9954 (high-risk furniture paths/root identity), 602389b (validation), and bd468c7 (non-mutating verification allowed on main, Apply still blocked there). Last reported synchronized main is bd468c70e04c2742d42f270da7b00d35efdc35c9; original series remains in ancestry. Validation: docs/testing/environment-asset-relocation-validation.md. [D12E]</w:t>
      </w:r>
    </w:p>
    <w:p>
      <w:pPr>
        <w:pStyle w:val="Callout"/>
        <w:keepLines/>
        <w:shd w:fill="F0F4F5"/>
        <w:ind w:left="140" w:right="140"/>
      </w:pPr>
      <w:r>
        <w:rPr>
          <w:b/>
          <w:color w:val="96712D"/>
        </w:rPr>
        <w:t xml:space="preserve">LOCAL ASSET CAVEAT  </w:t>
      </w:r>
      <w:r>
        <w:t>The physical relocation is in ignored assets/ and its import state, not contained in the Git commits. A push/PR does not reproduce the asset library on another checkout. Preserve local backups and explicit move evidence; do not treat a tracked clean tree as proof about all ignored files.</w:t>
      </w:r>
    </w:p>
    <w:p>
      <w:pPr>
        <w:pStyle w:val="Heading2"/>
        <w:widowControl/>
      </w:pPr>
      <w:r>
        <w:t>17.3 Provisioning and Stage-B candidate preflight</w:t>
      </w:r>
    </w:p>
    <w:p>
      <w:pPr>
        <w:widowControl/>
      </w:pPr>
      <w:r>
        <w:t>After migration the developer imported additional environment candidates directly into semantic folders. The preflight counted 408 environment GLBs, a net increase of 359 over the 49 canonical migrated primaries. All 408 had matching sidecars, correct source paths and existing imported scenes. They were not pre-assembled into the world. [I13]</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7416"/>
        <w:gridCol w:w="2448"/>
      </w:tblGrid>
      <w:tr>
        <w:trPr>
          <w:cantSplit/>
          <w:tblHeader/>
        </w:trPr>
        <w:tc>
          <w:tcPr>
            <w:tcW w:type="dxa" w:w="7416"/>
            <w:vAlign w:val="top"/>
            <w:shd w:fill="253842"/>
          </w:tcPr>
          <w:p>
            <w:pPr>
              <w:pStyle w:val="TableText"/>
              <w:keepNext/>
              <w:widowControl/>
            </w:pPr>
            <w:r>
              <w:rPr>
                <w:rFonts w:ascii="Lato" w:hAnsi="Lato"/>
                <w:b/>
                <w:color w:val="FFFFFF"/>
                <w:sz w:val="18"/>
              </w:rPr>
              <w:t>Family</w:t>
            </w:r>
          </w:p>
        </w:tc>
        <w:tc>
          <w:tcPr>
            <w:tcW w:type="dxa" w:w="2448"/>
            <w:vAlign w:val="top"/>
            <w:shd w:fill="253842"/>
          </w:tcPr>
          <w:p>
            <w:pPr>
              <w:pStyle w:val="TableText"/>
              <w:keepNext/>
              <w:widowControl/>
            </w:pPr>
            <w:r>
              <w:rPr>
                <w:rFonts w:ascii="Lato" w:hAnsi="Lato"/>
                <w:b/>
                <w:color w:val="FFFFFF"/>
                <w:sz w:val="18"/>
              </w:rPr>
              <w:t>GLBs</w:t>
            </w:r>
          </w:p>
        </w:tc>
      </w:tr>
      <w:tr>
        <w:trPr>
          <w:cantSplit/>
        </w:trPr>
        <w:tc>
          <w:tcPr>
            <w:tcW w:type="dxa" w:w="7416"/>
            <w:vAlign w:val="top"/>
          </w:tcPr>
          <w:p>
            <w:pPr>
              <w:pStyle w:val="TableText"/>
              <w:keepNext w:val="0"/>
              <w:widowControl/>
            </w:pPr>
            <w:r>
              <w:rPr>
                <w:rFonts w:ascii="Lato" w:hAnsi="Lato"/>
                <w:b/>
                <w:color w:val="25323A"/>
                <w:sz w:val="18"/>
              </w:rPr>
              <w:t>Structural shell</w:t>
            </w:r>
          </w:p>
        </w:tc>
        <w:tc>
          <w:tcPr>
            <w:tcW w:type="dxa" w:w="2448"/>
            <w:vAlign w:val="top"/>
          </w:tcPr>
          <w:p>
            <w:pPr>
              <w:pStyle w:val="TableText"/>
              <w:keepNext w:val="0"/>
              <w:widowControl/>
            </w:pPr>
            <w:r>
              <w:rPr>
                <w:rFonts w:ascii="Lato" w:hAnsi="Lato"/>
                <w:b w:val="0"/>
                <w:color w:val="25323A"/>
                <w:sz w:val="18"/>
              </w:rPr>
              <w:t>114</w:t>
            </w:r>
          </w:p>
        </w:tc>
      </w:tr>
      <w:tr>
        <w:trPr>
          <w:cantSplit/>
        </w:trPr>
        <w:tc>
          <w:tcPr>
            <w:tcW w:type="dxa" w:w="7416"/>
            <w:vAlign w:val="top"/>
            <w:shd w:fill="F6F8F9"/>
          </w:tcPr>
          <w:p>
            <w:pPr>
              <w:pStyle w:val="TableText"/>
              <w:keepNext w:val="0"/>
              <w:widowControl/>
            </w:pPr>
            <w:r>
              <w:rPr>
                <w:rFonts w:ascii="Lato" w:hAnsi="Lato"/>
                <w:b/>
                <w:color w:val="25323A"/>
                <w:sz w:val="18"/>
              </w:rPr>
              <w:t>Barriers / fences / railings</w:t>
            </w:r>
          </w:p>
        </w:tc>
        <w:tc>
          <w:tcPr>
            <w:tcW w:type="dxa" w:w="2448"/>
            <w:vAlign w:val="top"/>
            <w:shd w:fill="F6F8F9"/>
          </w:tcPr>
          <w:p>
            <w:pPr>
              <w:pStyle w:val="TableText"/>
              <w:keepNext w:val="0"/>
              <w:widowControl/>
            </w:pPr>
            <w:r>
              <w:rPr>
                <w:rFonts w:ascii="Lato" w:hAnsi="Lato"/>
                <w:b w:val="0"/>
                <w:color w:val="25323A"/>
                <w:sz w:val="18"/>
              </w:rPr>
              <w:t>45</w:t>
            </w:r>
          </w:p>
        </w:tc>
      </w:tr>
      <w:tr>
        <w:trPr>
          <w:cantSplit/>
        </w:trPr>
        <w:tc>
          <w:tcPr>
            <w:tcW w:type="dxa" w:w="7416"/>
            <w:vAlign w:val="top"/>
          </w:tcPr>
          <w:p>
            <w:pPr>
              <w:pStyle w:val="TableText"/>
              <w:keepNext w:val="0"/>
              <w:widowControl/>
            </w:pPr>
            <w:r>
              <w:rPr>
                <w:rFonts w:ascii="Lato" w:hAnsi="Lato"/>
                <w:b/>
                <w:color w:val="25323A"/>
                <w:sz w:val="18"/>
              </w:rPr>
              <w:t>Shutter / door candidates</w:t>
            </w:r>
          </w:p>
        </w:tc>
        <w:tc>
          <w:tcPr>
            <w:tcW w:type="dxa" w:w="2448"/>
            <w:vAlign w:val="top"/>
          </w:tcPr>
          <w:p>
            <w:pPr>
              <w:pStyle w:val="TableText"/>
              <w:keepNext w:val="0"/>
              <w:widowControl/>
            </w:pPr>
            <w:r>
              <w:rPr>
                <w:rFonts w:ascii="Lato" w:hAnsi="Lato"/>
                <w:b w:val="0"/>
                <w:color w:val="25323A"/>
                <w:sz w:val="18"/>
              </w:rPr>
              <w:t>9</w:t>
            </w:r>
          </w:p>
        </w:tc>
      </w:tr>
      <w:tr>
        <w:trPr>
          <w:cantSplit/>
        </w:trPr>
        <w:tc>
          <w:tcPr>
            <w:tcW w:type="dxa" w:w="7416"/>
            <w:vAlign w:val="top"/>
            <w:shd w:fill="F6F8F9"/>
          </w:tcPr>
          <w:p>
            <w:pPr>
              <w:pStyle w:val="TableText"/>
              <w:keepNext w:val="0"/>
              <w:widowControl/>
            </w:pPr>
            <w:r>
              <w:rPr>
                <w:rFonts w:ascii="Lato" w:hAnsi="Lato"/>
                <w:b/>
                <w:color w:val="25323A"/>
                <w:sz w:val="18"/>
              </w:rPr>
              <w:t>Lighting</w:t>
            </w:r>
          </w:p>
        </w:tc>
        <w:tc>
          <w:tcPr>
            <w:tcW w:type="dxa" w:w="2448"/>
            <w:vAlign w:val="top"/>
            <w:shd w:fill="F6F8F9"/>
          </w:tcPr>
          <w:p>
            <w:pPr>
              <w:pStyle w:val="TableText"/>
              <w:keepNext w:val="0"/>
              <w:widowControl/>
            </w:pPr>
            <w:r>
              <w:rPr>
                <w:rFonts w:ascii="Lato" w:hAnsi="Lato"/>
                <w:b w:val="0"/>
                <w:color w:val="25323A"/>
                <w:sz w:val="18"/>
              </w:rPr>
              <w:t>19</w:t>
            </w:r>
          </w:p>
        </w:tc>
      </w:tr>
      <w:tr>
        <w:trPr>
          <w:cantSplit/>
        </w:trPr>
        <w:tc>
          <w:tcPr>
            <w:tcW w:type="dxa" w:w="7416"/>
            <w:vAlign w:val="top"/>
          </w:tcPr>
          <w:p>
            <w:pPr>
              <w:pStyle w:val="TableText"/>
              <w:keepNext w:val="0"/>
              <w:widowControl/>
            </w:pPr>
            <w:r>
              <w:rPr>
                <w:rFonts w:ascii="Lato" w:hAnsi="Lato"/>
                <w:b/>
                <w:color w:val="25323A"/>
                <w:sz w:val="18"/>
              </w:rPr>
              <w:t>Other infrastructure</w:t>
            </w:r>
          </w:p>
        </w:tc>
        <w:tc>
          <w:tcPr>
            <w:tcW w:type="dxa" w:w="2448"/>
            <w:vAlign w:val="top"/>
          </w:tcPr>
          <w:p>
            <w:pPr>
              <w:pStyle w:val="TableText"/>
              <w:keepNext w:val="0"/>
              <w:widowControl/>
            </w:pPr>
            <w:r>
              <w:rPr>
                <w:rFonts w:ascii="Lato" w:hAnsi="Lato"/>
                <w:b w:val="0"/>
                <w:color w:val="25323A"/>
                <w:sz w:val="18"/>
              </w:rPr>
              <w:t>96</w:t>
            </w:r>
          </w:p>
        </w:tc>
      </w:tr>
      <w:tr>
        <w:trPr>
          <w:cantSplit/>
        </w:trPr>
        <w:tc>
          <w:tcPr>
            <w:tcW w:type="dxa" w:w="7416"/>
            <w:vAlign w:val="top"/>
            <w:shd w:fill="F6F8F9"/>
          </w:tcPr>
          <w:p>
            <w:pPr>
              <w:pStyle w:val="TableText"/>
              <w:keepNext w:val="0"/>
              <w:widowControl/>
            </w:pPr>
            <w:r>
              <w:rPr>
                <w:rFonts w:ascii="Lato" w:hAnsi="Lato"/>
                <w:b/>
                <w:color w:val="25323A"/>
                <w:sz w:val="18"/>
              </w:rPr>
              <w:t>Furniture and dressing</w:t>
            </w:r>
          </w:p>
        </w:tc>
        <w:tc>
          <w:tcPr>
            <w:tcW w:type="dxa" w:w="2448"/>
            <w:vAlign w:val="top"/>
            <w:shd w:fill="F6F8F9"/>
          </w:tcPr>
          <w:p>
            <w:pPr>
              <w:pStyle w:val="TableText"/>
              <w:keepNext w:val="0"/>
              <w:widowControl/>
            </w:pPr>
            <w:r>
              <w:rPr>
                <w:rFonts w:ascii="Lato" w:hAnsi="Lato"/>
                <w:b w:val="0"/>
                <w:color w:val="25323A"/>
                <w:sz w:val="18"/>
              </w:rPr>
              <w:t>125</w:t>
            </w:r>
          </w:p>
        </w:tc>
      </w:tr>
      <w:tr>
        <w:trPr>
          <w:cantSplit/>
        </w:trPr>
        <w:tc>
          <w:tcPr>
            <w:tcW w:type="dxa" w:w="7416"/>
            <w:vAlign w:val="top"/>
          </w:tcPr>
          <w:p>
            <w:pPr>
              <w:pStyle w:val="TableText"/>
              <w:keepNext w:val="0"/>
              <w:widowControl/>
            </w:pPr>
            <w:r>
              <w:rPr>
                <w:rFonts w:ascii="Lato" w:hAnsi="Lato"/>
                <w:b/>
                <w:color w:val="25323A"/>
                <w:sz w:val="18"/>
              </w:rPr>
              <w:t>Total</w:t>
            </w:r>
          </w:p>
        </w:tc>
        <w:tc>
          <w:tcPr>
            <w:tcW w:type="dxa" w:w="2448"/>
            <w:vAlign w:val="top"/>
          </w:tcPr>
          <w:p>
            <w:pPr>
              <w:pStyle w:val="TableText"/>
              <w:keepNext w:val="0"/>
              <w:widowControl/>
            </w:pPr>
            <w:r>
              <w:rPr>
                <w:rFonts w:ascii="Lato" w:hAnsi="Lato"/>
                <w:b w:val="0"/>
                <w:color w:val="25323A"/>
                <w:sz w:val="18"/>
              </w:rPr>
              <w:t>408</w:t>
            </w:r>
          </w:p>
        </w:tc>
      </w:tr>
    </w:tbl>
    <w:p>
      <w:pPr>
        <w:spacing w:after="60" w:before="0" w:line="40" w:lineRule="exact"/>
      </w:pPr>
      <w:r>
        <w:rPr>
          <w:sz w:val="4"/>
        </w:rPr>
      </w:r>
    </w:p>
    <w:p>
      <w:pPr>
        <w:widowControl/>
      </w:pPr>
      <w:r>
        <w:t>The preflight found no hard geometry-category gap and recommended a metal-led palette. That GO was evidence of candidate availability/import health, not art-direction success. The later human rejection directly limits any conclusion that this library already supplies a coherent shell/finish.</w:t>
      </w:r>
    </w:p>
    <w:p>
      <w:pPr>
        <w:pStyle w:val="Heading1"/>
        <w:widowControl/>
      </w:pPr>
      <w:r>
        <w:t>18. First Receiving shell: technical success, visual rejection</w:t>
      </w:r>
    </w:p>
    <w:p>
      <w:pPr/>
      <w:r>
        <w:t>29 September supersession: this first asset-led shell remains human-rejected. EAF5 later proved an isolated structural recipe and authoring pipeline (§29); production Receiving visual migration remains for C1.</w:t>
      </w:r>
    </w:p>
    <w:p>
      <w:pPr>
        <w:pStyle w:val="Heading2"/>
        <w:widowControl/>
      </w:pPr>
      <w:r>
        <w:t>18.1 Implemented scope and reported geometry</w:t>
      </w:r>
    </w:p>
    <w:p>
      <w:pPr>
        <w:widowControl/>
      </w:pPr>
      <w:r>
        <w:t>Codex authored receiving/freight_bay_prototype.tscn on codex/receiving-elevator-stage-b-pass1-shell, commit c9752c8c68cd55b950dd588542ea271e1acc0aab, without merging. Work included shell geometry, empty future-pass containers, simple aligned collision, a separate neutral preview/capture setup and structural tests. main.tscn and gameplay behavior were not changed. [D13B]</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168"/>
        <w:gridCol w:w="6696"/>
      </w:tblGrid>
      <w:tr>
        <w:trPr>
          <w:cantSplit/>
          <w:tblHeader/>
        </w:trPr>
        <w:tc>
          <w:tcPr>
            <w:tcW w:type="dxa" w:w="3168"/>
            <w:vAlign w:val="top"/>
            <w:shd w:fill="253842"/>
          </w:tcPr>
          <w:p>
            <w:pPr>
              <w:pStyle w:val="TableText"/>
              <w:keepNext/>
              <w:widowControl/>
            </w:pPr>
            <w:r>
              <w:rPr>
                <w:rFonts w:ascii="Lato" w:hAnsi="Lato"/>
                <w:b/>
                <w:color w:val="FFFFFF"/>
                <w:sz w:val="18"/>
              </w:rPr>
              <w:t>Measurement</w:t>
            </w:r>
          </w:p>
        </w:tc>
        <w:tc>
          <w:tcPr>
            <w:tcW w:type="dxa" w:w="6696"/>
            <w:vAlign w:val="top"/>
            <w:shd w:fill="253842"/>
          </w:tcPr>
          <w:p>
            <w:pPr>
              <w:pStyle w:val="TableText"/>
              <w:keepNext/>
              <w:widowControl/>
            </w:pPr>
            <w:r>
              <w:rPr>
                <w:rFonts w:ascii="Lato" w:hAnsi="Lato"/>
                <w:b/>
                <w:color w:val="FFFFFF"/>
                <w:sz w:val="18"/>
              </w:rPr>
              <w:t>Reported first-attempt value</w:t>
            </w:r>
          </w:p>
        </w:tc>
      </w:tr>
      <w:tr>
        <w:trPr>
          <w:cantSplit/>
        </w:trPr>
        <w:tc>
          <w:tcPr>
            <w:tcW w:type="dxa" w:w="3168"/>
            <w:vAlign w:val="top"/>
          </w:tcPr>
          <w:p>
            <w:pPr>
              <w:pStyle w:val="TableText"/>
              <w:keepNext w:val="0"/>
              <w:widowControl/>
            </w:pPr>
            <w:r>
              <w:rPr>
                <w:rFonts w:ascii="Lato" w:hAnsi="Lato"/>
                <w:b/>
                <w:color w:val="25323A"/>
                <w:sz w:val="18"/>
              </w:rPr>
              <w:t>Shell</w:t>
            </w:r>
          </w:p>
        </w:tc>
        <w:tc>
          <w:tcPr>
            <w:tcW w:type="dxa" w:w="6696"/>
            <w:vAlign w:val="top"/>
          </w:tcPr>
          <w:p>
            <w:pPr>
              <w:pStyle w:val="TableText"/>
              <w:keepNext w:val="0"/>
              <w:widowControl/>
            </w:pPr>
            <w:r>
              <w:rPr>
                <w:rFonts w:ascii="Lato" w:hAnsi="Lato"/>
                <w:b w:val="0"/>
                <w:color w:val="25323A"/>
                <w:sz w:val="18"/>
              </w:rPr>
              <w:t>11.0 m wide x 8.5 m deep x 5.0 m high</w:t>
            </w:r>
          </w:p>
        </w:tc>
      </w:tr>
      <w:tr>
        <w:trPr>
          <w:cantSplit/>
        </w:trPr>
        <w:tc>
          <w:tcPr>
            <w:tcW w:type="dxa" w:w="3168"/>
            <w:vAlign w:val="top"/>
            <w:shd w:fill="F6F8F9"/>
          </w:tcPr>
          <w:p>
            <w:pPr>
              <w:pStyle w:val="TableText"/>
              <w:keepNext w:val="0"/>
              <w:widowControl/>
            </w:pPr>
            <w:r>
              <w:rPr>
                <w:rFonts w:ascii="Lato" w:hAnsi="Lato"/>
                <w:b/>
                <w:color w:val="25323A"/>
                <w:sz w:val="18"/>
              </w:rPr>
              <w:t>Clear opening</w:t>
            </w:r>
          </w:p>
        </w:tc>
        <w:tc>
          <w:tcPr>
            <w:tcW w:type="dxa" w:w="6696"/>
            <w:vAlign w:val="top"/>
            <w:shd w:fill="F6F8F9"/>
          </w:tcPr>
          <w:p>
            <w:pPr>
              <w:pStyle w:val="TableText"/>
              <w:keepNext w:val="0"/>
              <w:widowControl/>
            </w:pPr>
            <w:r>
              <w:rPr>
                <w:rFonts w:ascii="Lato" w:hAnsi="Lato"/>
                <w:b w:val="0"/>
                <w:color w:val="25323A"/>
                <w:sz w:val="18"/>
              </w:rPr>
              <w:t>3.0 m x 4.488 m</w:t>
            </w:r>
          </w:p>
        </w:tc>
      </w:tr>
      <w:tr>
        <w:trPr>
          <w:cantSplit/>
        </w:trPr>
        <w:tc>
          <w:tcPr>
            <w:tcW w:type="dxa" w:w="3168"/>
            <w:vAlign w:val="top"/>
          </w:tcPr>
          <w:p>
            <w:pPr>
              <w:pStyle w:val="TableText"/>
              <w:keepNext w:val="0"/>
              <w:widowControl/>
            </w:pPr>
            <w:r>
              <w:rPr>
                <w:rFonts w:ascii="Lato" w:hAnsi="Lato"/>
                <w:b/>
                <w:color w:val="25323A"/>
                <w:sz w:val="18"/>
              </w:rPr>
              <w:t>Freight platform</w:t>
            </w:r>
          </w:p>
        </w:tc>
        <w:tc>
          <w:tcPr>
            <w:tcW w:type="dxa" w:w="6696"/>
            <w:vAlign w:val="top"/>
          </w:tcPr>
          <w:p>
            <w:pPr>
              <w:pStyle w:val="TableText"/>
              <w:keepNext w:val="0"/>
              <w:widowControl/>
            </w:pPr>
            <w:r>
              <w:rPr>
                <w:rFonts w:ascii="Lato" w:hAnsi="Lato"/>
                <w:b w:val="0"/>
                <w:color w:val="25323A"/>
                <w:sz w:val="18"/>
              </w:rPr>
              <w:t>11.0 m x 1.8 m; recessed 0.3 m</w:t>
            </w:r>
          </w:p>
        </w:tc>
      </w:tr>
      <w:tr>
        <w:trPr>
          <w:cantSplit/>
        </w:trPr>
        <w:tc>
          <w:tcPr>
            <w:tcW w:type="dxa" w:w="3168"/>
            <w:vAlign w:val="top"/>
            <w:shd w:fill="F6F8F9"/>
          </w:tcPr>
          <w:p>
            <w:pPr>
              <w:pStyle w:val="TableText"/>
              <w:keepNext w:val="0"/>
              <w:widowControl/>
            </w:pPr>
            <w:r>
              <w:rPr>
                <w:rFonts w:ascii="Lato" w:hAnsi="Lato"/>
                <w:b/>
                <w:color w:val="25323A"/>
                <w:sz w:val="18"/>
              </w:rPr>
              <w:t>Apron</w:t>
            </w:r>
          </w:p>
        </w:tc>
        <w:tc>
          <w:tcPr>
            <w:tcW w:type="dxa" w:w="6696"/>
            <w:vAlign w:val="top"/>
            <w:shd w:fill="F6F8F9"/>
          </w:tcPr>
          <w:p>
            <w:pPr>
              <w:pStyle w:val="TableText"/>
              <w:keepNext w:val="0"/>
              <w:widowControl/>
            </w:pPr>
            <w:r>
              <w:rPr>
                <w:rFonts w:ascii="Lato" w:hAnsi="Lato"/>
                <w:b w:val="0"/>
                <w:color w:val="25323A"/>
                <w:sz w:val="18"/>
              </w:rPr>
              <w:t>5.5 m usable depth</w:t>
            </w:r>
          </w:p>
        </w:tc>
      </w:tr>
      <w:tr>
        <w:trPr>
          <w:cantSplit/>
        </w:trPr>
        <w:tc>
          <w:tcPr>
            <w:tcW w:type="dxa" w:w="3168"/>
            <w:vAlign w:val="top"/>
          </w:tcPr>
          <w:p>
            <w:pPr>
              <w:pStyle w:val="TableText"/>
              <w:keepNext w:val="0"/>
              <w:widowControl/>
            </w:pPr>
            <w:r>
              <w:rPr>
                <w:rFonts w:ascii="Lato" w:hAnsi="Lato"/>
                <w:b/>
                <w:color w:val="25323A"/>
                <w:sz w:val="18"/>
              </w:rPr>
              <w:t>Player-area ceiling</w:t>
            </w:r>
          </w:p>
        </w:tc>
        <w:tc>
          <w:tcPr>
            <w:tcW w:type="dxa" w:w="6696"/>
            <w:vAlign w:val="top"/>
          </w:tcPr>
          <w:p>
            <w:pPr>
              <w:pStyle w:val="TableText"/>
              <w:keepNext w:val="0"/>
              <w:widowControl/>
            </w:pPr>
            <w:r>
              <w:rPr>
                <w:rFonts w:ascii="Lato" w:hAnsi="Lato"/>
                <w:b w:val="0"/>
                <w:color w:val="25323A"/>
                <w:sz w:val="18"/>
              </w:rPr>
              <w:t>5.0 m</w:t>
            </w:r>
          </w:p>
        </w:tc>
      </w:tr>
    </w:tbl>
    <w:p>
      <w:pPr>
        <w:spacing w:after="60" w:before="0" w:line="40" w:lineRule="exact"/>
      </w:pPr>
      <w:r>
        <w:rPr>
          <w:sz w:val="4"/>
        </w:rPr>
      </w:r>
    </w:p>
    <w:p>
      <w:pPr>
        <w:widowControl/>
      </w:pPr>
      <w:r>
        <w:t>These are measurements of the rejected attempt, not future target dimensions. The shortlist used SM_Hangar_floor_8x8, SM_MetalDoorOrWall_01, SM_MetalBeam01, SM_MetalBeam15 and SM_Delivery_8M; the facade was uniformly scaled to 0.75. No shutter, final barrier, infrastructure, dressing or physical loot-pile implementation was included.</w:t>
      </w:r>
    </w:p>
    <w:p>
      <w:pPr>
        <w:pStyle w:val="Heading2"/>
        <w:widowControl/>
      </w:pPr>
      <w:r>
        <w:t>18.2 Technical checks and disclosed baseline exception</w:t>
      </w:r>
    </w:p>
    <w:p>
      <w:pPr>
        <w:widowControl/>
      </w:pPr>
      <w:r>
        <w:t>The delivery report states both freight-bay contract suites passed, 31 unaffected regression suites passed, two already authorized loot_000015 symptoms reproduced, and no further drift was introduced. Editor/parser and real-render capture exited 0. Reported mesh-aligned collision/measurement review passed and tracked changes were clean.</w:t>
      </w:r>
    </w:p>
    <w:p>
      <w:pPr>
        <w:widowControl/>
      </w:pPr>
      <w:r>
        <w:t>The fresh audit was reported as 42 assets with “39 current, 1 stale, 3 dependency-blocked.” Those are the historical report's authoring-status figures, not a documented mutually exclusive partition summing to the catalogue size. Preserve that exact evidence without projecting the later Fuel resolution backward; §24.2 records the completed reconciliation.</w:t>
      </w:r>
    </w:p>
    <w:p>
      <w:pPr>
        <w:widowControl/>
      </w:pPr>
      <w:r>
        <w:t>Validation path: docs/testing/receiving-elevator-stage-b-pass1-shell-validation.md. Rendered evidence was local/ignored and regenerable from capture tooling, including reports/receiving/freight_bay_stage_b_pass1/contact_sheet.png. This report records the developer's visual findings; it does not pretend the local capture path is a newly inspected attachment.</w:t>
      </w:r>
    </w:p>
    <w:p>
      <w:pPr>
        <w:pStyle w:val="Heading2"/>
        <w:widowControl/>
      </w:pPr>
      <w:r>
        <w:t>18.3 Human visual findings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528"/>
        <w:gridCol w:w="6336"/>
      </w:tblGrid>
      <w:tr>
        <w:trPr>
          <w:cantSplit/>
          <w:tblHeader/>
        </w:trPr>
        <w:tc>
          <w:tcPr>
            <w:tcW w:type="dxa" w:w="3528"/>
            <w:vAlign w:val="top"/>
            <w:shd w:fill="253842"/>
          </w:tcPr>
          <w:p>
            <w:pPr>
              <w:pStyle w:val="TableText"/>
              <w:keepNext/>
              <w:widowControl/>
            </w:pPr>
            <w:r>
              <w:rPr>
                <w:rFonts w:ascii="Lato" w:hAnsi="Lato"/>
                <w:b/>
                <w:color w:val="FFFFFF"/>
                <w:sz w:val="18"/>
              </w:rPr>
              <w:t>Observed problem</w:t>
            </w:r>
          </w:p>
        </w:tc>
        <w:tc>
          <w:tcPr>
            <w:tcW w:type="dxa" w:w="6336"/>
            <w:vAlign w:val="top"/>
            <w:shd w:fill="253842"/>
          </w:tcPr>
          <w:p>
            <w:pPr>
              <w:pStyle w:val="TableText"/>
              <w:keepNext/>
              <w:widowControl/>
            </w:pPr>
            <w:r>
              <w:rPr>
                <w:rFonts w:ascii="Lato" w:hAnsi="Lato"/>
                <w:b/>
                <w:color w:val="FFFFFF"/>
                <w:sz w:val="18"/>
              </w:rPr>
              <w:t>Design interpretation</w:t>
            </w:r>
          </w:p>
        </w:tc>
      </w:tr>
      <w:tr>
        <w:trPr>
          <w:cantSplit/>
        </w:trPr>
        <w:tc>
          <w:tcPr>
            <w:tcW w:type="dxa" w:w="3528"/>
            <w:vAlign w:val="top"/>
          </w:tcPr>
          <w:p>
            <w:pPr>
              <w:pStyle w:val="TableText"/>
              <w:keepNext w:val="0"/>
              <w:widowControl/>
            </w:pPr>
            <w:r>
              <w:rPr>
                <w:rFonts w:ascii="Lato" w:hAnsi="Lato"/>
                <w:b/>
                <w:color w:val="25323A"/>
                <w:sz w:val="18"/>
              </w:rPr>
              <w:t>Materials/textures did not form a congruent interior</w:t>
            </w:r>
          </w:p>
        </w:tc>
        <w:tc>
          <w:tcPr>
            <w:tcW w:type="dxa" w:w="6336"/>
            <w:vAlign w:val="top"/>
          </w:tcPr>
          <w:p>
            <w:pPr>
              <w:pStyle w:val="TableText"/>
              <w:keepNext w:val="0"/>
              <w:widowControl/>
            </w:pPr>
            <w:r>
              <w:rPr>
                <w:rFonts w:ascii="Lato" w:hAnsi="Lato"/>
                <w:b w:val="0"/>
                <w:color w:val="25323A"/>
                <w:sz w:val="18"/>
              </w:rPr>
              <w:t>Geometry fit and imported AABBs were insufficient to choose a visual palette.</w:t>
            </w:r>
          </w:p>
        </w:tc>
      </w:tr>
      <w:tr>
        <w:trPr>
          <w:cantSplit/>
        </w:trPr>
        <w:tc>
          <w:tcPr>
            <w:tcW w:type="dxa" w:w="3528"/>
            <w:vAlign w:val="top"/>
            <w:shd w:fill="F6F8F9"/>
          </w:tcPr>
          <w:p>
            <w:pPr>
              <w:pStyle w:val="TableText"/>
              <w:keepNext w:val="0"/>
              <w:widowControl/>
            </w:pPr>
            <w:r>
              <w:rPr>
                <w:rFonts w:ascii="Lato" w:hAnsi="Lato"/>
                <w:b/>
                <w:color w:val="25323A"/>
                <w:sz w:val="18"/>
              </w:rPr>
              <w:t>Corrugated steel dominated the walls</w:t>
            </w:r>
          </w:p>
        </w:tc>
        <w:tc>
          <w:tcPr>
            <w:tcW w:type="dxa" w:w="6336"/>
            <w:vAlign w:val="top"/>
            <w:shd w:fill="F6F8F9"/>
          </w:tcPr>
          <w:p>
            <w:pPr>
              <w:pStyle w:val="TableText"/>
              <w:keepNext w:val="0"/>
              <w:widowControl/>
            </w:pPr>
            <w:r>
              <w:rPr>
                <w:rFonts w:ascii="Lato" w:hAnsi="Lato"/>
                <w:b w:val="0"/>
                <w:color w:val="25323A"/>
                <w:sz w:val="18"/>
              </w:rPr>
              <w:t>The room read as container/mobile shelter/warehouse rather than permanent underground civil infrastructure.</w:t>
            </w:r>
          </w:p>
        </w:tc>
      </w:tr>
      <w:tr>
        <w:trPr>
          <w:cantSplit/>
        </w:trPr>
        <w:tc>
          <w:tcPr>
            <w:tcW w:type="dxa" w:w="3528"/>
            <w:vAlign w:val="top"/>
          </w:tcPr>
          <w:p>
            <w:pPr>
              <w:pStyle w:val="TableText"/>
              <w:keepNext w:val="0"/>
              <w:widowControl/>
            </w:pPr>
            <w:r>
              <w:rPr>
                <w:rFonts w:ascii="Lato" w:hAnsi="Lato"/>
                <w:b/>
                <w:color w:val="25323A"/>
                <w:sz w:val="18"/>
              </w:rPr>
              <w:t>Side pillars left purposeless gaps</w:t>
            </w:r>
          </w:p>
        </w:tc>
        <w:tc>
          <w:tcPr>
            <w:tcW w:type="dxa" w:w="6336"/>
            <w:vAlign w:val="top"/>
          </w:tcPr>
          <w:p>
            <w:pPr>
              <w:pStyle w:val="TableText"/>
              <w:keepNext w:val="0"/>
              <w:widowControl/>
            </w:pPr>
            <w:r>
              <w:rPr>
                <w:rFonts w:ascii="Lato" w:hAnsi="Lato"/>
                <w:b w:val="0"/>
                <w:color w:val="25323A"/>
                <w:sz w:val="18"/>
              </w:rPr>
              <w:t>Wall mass and circulation logic were subordinate to arranging available assets.</w:t>
            </w:r>
          </w:p>
        </w:tc>
      </w:tr>
      <w:tr>
        <w:trPr>
          <w:cantSplit/>
        </w:trPr>
        <w:tc>
          <w:tcPr>
            <w:tcW w:type="dxa" w:w="3528"/>
            <w:vAlign w:val="top"/>
            <w:shd w:fill="F6F8F9"/>
          </w:tcPr>
          <w:p>
            <w:pPr>
              <w:pStyle w:val="TableText"/>
              <w:keepNext w:val="0"/>
              <w:widowControl/>
            </w:pPr>
            <w:r>
              <w:rPr>
                <w:rFonts w:ascii="Lato" w:hAnsi="Lato"/>
                <w:b/>
                <w:color w:val="25323A"/>
                <w:sz w:val="18"/>
              </w:rPr>
              <w:t>Exposed beam/pillar intersections looked wrong</w:t>
            </w:r>
          </w:p>
        </w:tc>
        <w:tc>
          <w:tcPr>
            <w:tcW w:type="dxa" w:w="6336"/>
            <w:vAlign w:val="top"/>
            <w:shd w:fill="F6F8F9"/>
          </w:tcPr>
          <w:p>
            <w:pPr>
              <w:pStyle w:val="TableText"/>
              <w:keepNext w:val="0"/>
              <w:widowControl/>
            </w:pPr>
            <w:r>
              <w:rPr>
                <w:rFonts w:ascii="Lato" w:hAnsi="Lato"/>
                <w:b w:val="0"/>
                <w:color w:val="25323A"/>
                <w:sz w:val="18"/>
              </w:rPr>
              <w:t>Permitted clipping was applied without believable visible join or concealment logic.</w:t>
            </w:r>
          </w:p>
        </w:tc>
      </w:tr>
      <w:tr>
        <w:trPr>
          <w:cantSplit/>
        </w:trPr>
        <w:tc>
          <w:tcPr>
            <w:tcW w:type="dxa" w:w="3528"/>
            <w:vAlign w:val="top"/>
          </w:tcPr>
          <w:p>
            <w:pPr>
              <w:pStyle w:val="TableText"/>
              <w:keepNext w:val="0"/>
              <w:widowControl/>
            </w:pPr>
            <w:r>
              <w:rPr>
                <w:rFonts w:ascii="Lato" w:hAnsi="Lato"/>
                <w:b/>
                <w:color w:val="25323A"/>
                <w:sz w:val="18"/>
              </w:rPr>
              <w:t>SM_Delivery_8M dictated the composition</w:t>
            </w:r>
          </w:p>
        </w:tc>
        <w:tc>
          <w:tcPr>
            <w:tcW w:type="dxa" w:w="6336"/>
            <w:vAlign w:val="top"/>
          </w:tcPr>
          <w:p>
            <w:pPr>
              <w:pStyle w:val="TableText"/>
              <w:keepNext w:val="0"/>
              <w:widowControl/>
            </w:pPr>
            <w:r>
              <w:rPr>
                <w:rFonts w:ascii="Lato" w:hAnsi="Lato"/>
                <w:b w:val="0"/>
                <w:color w:val="25323A"/>
                <w:sz w:val="18"/>
              </w:rPr>
              <w:t>A convenient doorway asset became the design anchor even though a suitable opening could be built from wall/lintel parts.</w:t>
            </w:r>
          </w:p>
        </w:tc>
      </w:tr>
      <w:tr>
        <w:trPr>
          <w:cantSplit/>
        </w:trPr>
        <w:tc>
          <w:tcPr>
            <w:tcW w:type="dxa" w:w="3528"/>
            <w:vAlign w:val="top"/>
            <w:shd w:fill="F6F8F9"/>
          </w:tcPr>
          <w:p>
            <w:pPr>
              <w:pStyle w:val="TableText"/>
              <w:keepNext w:val="0"/>
              <w:widowControl/>
            </w:pPr>
            <w:r>
              <w:rPr>
                <w:rFonts w:ascii="Lato" w:hAnsi="Lato"/>
                <w:b/>
                <w:color w:val="25323A"/>
                <w:sz w:val="18"/>
              </w:rPr>
              <w:t>Surface character too clinical or mismatched</w:t>
            </w:r>
          </w:p>
        </w:tc>
        <w:tc>
          <w:tcPr>
            <w:tcW w:type="dxa" w:w="6336"/>
            <w:vAlign w:val="top"/>
            <w:shd w:fill="F6F8F9"/>
          </w:tcPr>
          <w:p>
            <w:pPr>
              <w:pStyle w:val="TableText"/>
              <w:keepNext w:val="0"/>
              <w:widowControl/>
            </w:pPr>
            <w:r>
              <w:rPr>
                <w:rFonts w:ascii="Lato" w:hAnsi="Lato"/>
                <w:b w:val="0"/>
                <w:color w:val="25323A"/>
                <w:sz w:val="18"/>
              </w:rPr>
              <w:t>Asset selection lacked the approved warm, worn-but-maintained world and finish grammar.</w:t>
            </w:r>
          </w:p>
        </w:tc>
      </w:tr>
    </w:tbl>
    <w:p>
      <w:pPr>
        <w:spacing w:after="60" w:before="0" w:line="40" w:lineRule="exact"/>
      </w:pPr>
      <w:r>
        <w:rPr>
          <w:sz w:val="4"/>
        </w:rPr>
      </w:r>
    </w:p>
    <w:p>
      <w:pPr>
        <w:pStyle w:val="Callout"/>
        <w:keepLines/>
        <w:shd w:fill="F0F4F5"/>
        <w:ind w:left="140" w:right="140"/>
      </w:pPr>
      <w:r>
        <w:rPr>
          <w:b/>
          <w:color w:val="96712D"/>
        </w:rPr>
        <w:t xml:space="preserve">HUMAN VERDICT  </w:t>
      </w:r>
      <w:r>
        <w:t>TECHNICAL PASS WITH DISCLOSED BASELINE EXCEPTIONS / VISUAL NO-GO. Do not merge the first shell composition or use it as the visual starting point by default.</w:t>
      </w:r>
    </w:p>
    <w:p>
      <w:pPr>
        <w:pStyle w:val="Heading2"/>
        <w:widowControl/>
      </w:pPr>
      <w:r>
        <w:t>18.4 Process diagnosis and reusable work</w:t>
      </w:r>
    </w:p>
    <w:p>
      <w:pPr>
        <w:widowControl/>
      </w:pPr>
      <w:r>
        <w:t>The failure arose from treating architecture as asset fitting, prescribing a shortlist before sufficient art direction, and accepting dimensional compatibility as material/style compatibility. The mismatched library contributed, but the evidence does not prove programmatic scene authoring is inherently unsuitable or that every existing structural asset must be replaced.</w:t>
      </w:r>
    </w:p>
    <w:p>
      <w:pPr>
        <w:widowControl/>
      </w:pPr>
      <w:r>
        <w:t>Retain the branch/evidence as history. Generic capture tooling, asset inspection and non-aesthetic structural checks may be reused after review, but the next composition starts fresh from the approved world brief. No new expensive solver, stronger-model assumption or additional pack automatically fixes art direction.</w:t>
      </w:r>
    </w:p>
    <w:p>
      <w:pPr>
        <w:widowControl/>
      </w:pPr>
      <w:r>
        <w:t>Hidden intersections are acceptable where unwanted geometry genuinely disappears into opaque structure. Exposed intersections must read as plausible construction. Asset categories are browsing aids, not exclusive scene roles. Simple generated/primitives-based walls may be preferable to forcing a prefab facade; exact source route remains to be proved.</w:t>
      </w:r>
    </w:p>
    <w:p>
      <w:pPr>
        <w:pStyle w:val="Heading1"/>
        <w:widowControl/>
      </w:pPr>
      <w:r>
        <w:t>19. Approved world-design synthesis and production changes</w:t>
      </w:r>
    </w:p>
    <w:p>
      <w:pPr>
        <w:pStyle w:val="Heading2"/>
        <w:widowControl/>
      </w:pPr>
      <w:r>
        <w:t>19.1 Resulting authority document</w:t>
      </w:r>
    </w:p>
    <w:p>
      <w:pPr>
        <w:widowControl/>
      </w:pPr>
      <w:r>
        <w:t>Visual Direction v0.7 retains the established world/material grammar and dedicated service spaces, records the accepted in-engine layout, and adds the current storage-installation and ergonomics direction. The original V3/V2 images and v0.5 record remain historical references. Human spatial promotion applies to the accepted geometry, not final art, furnished production storage or physical Receiving. [V05, A17]</w:t>
      </w:r>
    </w:p>
    <w:p>
      <w:pPr>
        <w:pStyle w:val="Heading2"/>
        <w:widowControl/>
      </w:pPr>
      <w:r>
        <w:t>19.2 Universal design decisions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160"/>
        <w:gridCol w:w="7704"/>
      </w:tblGrid>
      <w:tr>
        <w:trPr>
          <w:cantSplit/>
          <w:tblHeader/>
        </w:trPr>
        <w:tc>
          <w:tcPr>
            <w:tcW w:type="dxa" w:w="2160"/>
            <w:vAlign w:val="top"/>
            <w:shd w:fill="253842"/>
          </w:tcPr>
          <w:p>
            <w:pPr>
              <w:pStyle w:val="TableText"/>
              <w:keepNext/>
              <w:widowControl/>
            </w:pPr>
            <w:r>
              <w:rPr>
                <w:rFonts w:ascii="Lato" w:hAnsi="Lato"/>
                <w:b/>
                <w:color w:val="FFFFFF"/>
                <w:sz w:val="18"/>
              </w:rPr>
              <w:t>Topic</w:t>
            </w:r>
          </w:p>
        </w:tc>
        <w:tc>
          <w:tcPr>
            <w:tcW w:type="dxa" w:w="7704"/>
            <w:vAlign w:val="top"/>
            <w:shd w:fill="253842"/>
          </w:tcPr>
          <w:p>
            <w:pPr>
              <w:pStyle w:val="TableText"/>
              <w:keepNext/>
              <w:widowControl/>
            </w:pPr>
            <w:r>
              <w:rPr>
                <w:rFonts w:ascii="Lato" w:hAnsi="Lato"/>
                <w:b/>
                <w:color w:val="FFFFFF"/>
                <w:sz w:val="18"/>
              </w:rPr>
              <w:t>Approved rule</w:t>
            </w:r>
          </w:p>
        </w:tc>
      </w:tr>
      <w:tr>
        <w:trPr>
          <w:cantSplit/>
        </w:trPr>
        <w:tc>
          <w:tcPr>
            <w:tcW w:type="dxa" w:w="2160"/>
            <w:vAlign w:val="top"/>
          </w:tcPr>
          <w:p>
            <w:pPr>
              <w:pStyle w:val="TableText"/>
              <w:keepNext w:val="0"/>
              <w:widowControl/>
            </w:pPr>
            <w:r>
              <w:rPr>
                <w:rFonts w:ascii="Lato" w:hAnsi="Lato"/>
                <w:b/>
                <w:color w:val="25323A"/>
                <w:sz w:val="18"/>
              </w:rPr>
              <w:t>World premise</w:t>
            </w:r>
          </w:p>
        </w:tc>
        <w:tc>
          <w:tcPr>
            <w:tcW w:type="dxa" w:w="7704"/>
            <w:vAlign w:val="top"/>
          </w:tcPr>
          <w:p>
            <w:pPr>
              <w:pStyle w:val="TableText"/>
              <w:keepNext w:val="0"/>
              <w:widowControl/>
            </w:pPr>
            <w:r>
              <w:rPr>
                <w:rFonts w:ascii="Lato" w:hAnsi="Lato"/>
                <w:b w:val="0"/>
                <w:color w:val="25323A"/>
                <w:sz w:val="18"/>
              </w:rPr>
              <w:t>Unfinished/decommissioned metro-service/civil project, but no iconic passenger/rail infrastructure. Read as old underground municipal/service space.</w:t>
            </w:r>
          </w:p>
        </w:tc>
      </w:tr>
      <w:tr>
        <w:trPr>
          <w:cantSplit/>
        </w:trPr>
        <w:tc>
          <w:tcPr>
            <w:tcW w:type="dxa" w:w="2160"/>
            <w:vAlign w:val="top"/>
            <w:shd w:fill="F6F8F9"/>
          </w:tcPr>
          <w:p>
            <w:pPr>
              <w:pStyle w:val="TableText"/>
              <w:keepNext w:val="0"/>
              <w:widowControl/>
            </w:pPr>
            <w:r>
              <w:rPr>
                <w:rFonts w:ascii="Lato" w:hAnsi="Lato"/>
                <w:b/>
                <w:color w:val="25323A"/>
                <w:sz w:val="18"/>
              </w:rPr>
              <w:t>Chronology</w:t>
            </w:r>
          </w:p>
        </w:tc>
        <w:tc>
          <w:tcPr>
            <w:tcW w:type="dxa" w:w="7704"/>
            <w:vAlign w:val="top"/>
            <w:shd w:fill="F6F8F9"/>
          </w:tcPr>
          <w:p>
            <w:pPr>
              <w:pStyle w:val="TableText"/>
              <w:keepNext w:val="0"/>
              <w:widowControl/>
            </w:pPr>
            <w:r>
              <w:rPr>
                <w:rFonts w:ascii="Lato" w:hAnsi="Lato"/>
                <w:b w:val="0"/>
                <w:color w:val="25323A"/>
                <w:sz w:val="18"/>
              </w:rPr>
              <w:t>Mostly late-20th-century construction over 30-50 years of interruptions/upgrades; mixed maintenance before the apocalypse; survivors established for several years. No WWII or sci-fi envelope.</w:t>
            </w:r>
          </w:p>
        </w:tc>
      </w:tr>
      <w:tr>
        <w:trPr>
          <w:cantSplit/>
        </w:trPr>
        <w:tc>
          <w:tcPr>
            <w:tcW w:type="dxa" w:w="2160"/>
            <w:vAlign w:val="top"/>
          </w:tcPr>
          <w:p>
            <w:pPr>
              <w:pStyle w:val="TableText"/>
              <w:keepNext w:val="0"/>
              <w:widowControl/>
            </w:pPr>
            <w:r>
              <w:rPr>
                <w:rFonts w:ascii="Lato" w:hAnsi="Lato"/>
                <w:b/>
                <w:color w:val="25323A"/>
                <w:sz w:val="18"/>
              </w:rPr>
              <w:t>Construction hierarchy</w:t>
            </w:r>
          </w:p>
        </w:tc>
        <w:tc>
          <w:tcPr>
            <w:tcW w:type="dxa" w:w="7704"/>
            <w:vAlign w:val="top"/>
          </w:tcPr>
          <w:p>
            <w:pPr>
              <w:pStyle w:val="TableText"/>
              <w:keepNext w:val="0"/>
              <w:widowControl/>
            </w:pPr>
            <w:r>
              <w:rPr>
                <w:rFonts w:ascii="Lato" w:hAnsi="Lato"/>
                <w:b w:val="0"/>
                <w:color w:val="25323A"/>
                <w:sz w:val="18"/>
              </w:rPr>
              <w:t>Concrete/cement/masonry dominates; old tile/paint/patches overlay it; metal primarily belongs to services, equipment, shutters, barriers and limited reinforcement.</w:t>
            </w:r>
          </w:p>
        </w:tc>
      </w:tr>
      <w:tr>
        <w:trPr>
          <w:cantSplit/>
        </w:trPr>
        <w:tc>
          <w:tcPr>
            <w:tcW w:type="dxa" w:w="2160"/>
            <w:vAlign w:val="top"/>
            <w:shd w:fill="F6F8F9"/>
          </w:tcPr>
          <w:p>
            <w:pPr>
              <w:pStyle w:val="TableText"/>
              <w:keepNext w:val="0"/>
              <w:widowControl/>
            </w:pPr>
            <w:r>
              <w:rPr>
                <w:rFonts w:ascii="Lato" w:hAnsi="Lato"/>
                <w:b/>
                <w:color w:val="25323A"/>
                <w:sz w:val="18"/>
              </w:rPr>
              <w:t>Occupation and mood</w:t>
            </w:r>
          </w:p>
        </w:tc>
        <w:tc>
          <w:tcPr>
            <w:tcW w:type="dxa" w:w="7704"/>
            <w:vAlign w:val="top"/>
            <w:shd w:fill="F6F8F9"/>
          </w:tcPr>
          <w:p>
            <w:pPr>
              <w:pStyle w:val="TableText"/>
              <w:keepNext w:val="0"/>
              <w:widowControl/>
            </w:pPr>
            <w:r>
              <w:rPr>
                <w:rFonts w:ascii="Lato" w:hAnsi="Lato"/>
                <w:b w:val="0"/>
                <w:color w:val="25323A"/>
                <w:sz w:val="18"/>
              </w:rPr>
              <w:t>Skilled, resource-constrained adaptation; established Quartermaster workplace with incidental domestic traces. Core structure trustworthy; apocalypse implied, not a combat/decay spectacle.</w:t>
            </w:r>
          </w:p>
        </w:tc>
      </w:tr>
      <w:tr>
        <w:trPr>
          <w:cantSplit/>
        </w:trPr>
        <w:tc>
          <w:tcPr>
            <w:tcW w:type="dxa" w:w="2160"/>
            <w:vAlign w:val="top"/>
          </w:tcPr>
          <w:p>
            <w:pPr>
              <w:pStyle w:val="TableText"/>
              <w:keepNext w:val="0"/>
              <w:widowControl/>
            </w:pPr>
            <w:r>
              <w:rPr>
                <w:rFonts w:ascii="Lato" w:hAnsi="Lato"/>
                <w:b/>
                <w:color w:val="25323A"/>
                <w:sz w:val="18"/>
              </w:rPr>
              <w:t>Wear and lighting</w:t>
            </w:r>
          </w:p>
        </w:tc>
        <w:tc>
          <w:tcPr>
            <w:tcW w:type="dxa" w:w="7704"/>
            <w:vAlign w:val="top"/>
          </w:tcPr>
          <w:p>
            <w:pPr>
              <w:pStyle w:val="TableText"/>
              <w:keepNext w:val="0"/>
              <w:widowControl/>
            </w:pPr>
            <w:r>
              <w:rPr>
                <w:rFonts w:ascii="Lato" w:hAnsi="Lato"/>
                <w:b w:val="0"/>
                <w:color w:val="25323A"/>
                <w:sz w:val="18"/>
              </w:rPr>
              <w:t>Causal wear, localized dampness, useful quiet surfaces, warm-neutral practical coverage with varied fixture generations. Harsh uniform fluorescence is not the default.</w:t>
            </w:r>
          </w:p>
        </w:tc>
      </w:tr>
      <w:tr>
        <w:trPr>
          <w:cantSplit/>
        </w:trPr>
        <w:tc>
          <w:tcPr>
            <w:tcW w:type="dxa" w:w="2160"/>
            <w:vAlign w:val="top"/>
            <w:shd w:fill="F6F8F9"/>
          </w:tcPr>
          <w:p>
            <w:pPr>
              <w:pStyle w:val="TableText"/>
              <w:keepNext w:val="0"/>
              <w:widowControl/>
            </w:pPr>
            <w:r>
              <w:rPr>
                <w:rFonts w:ascii="Lato" w:hAnsi="Lato"/>
                <w:b/>
                <w:color w:val="25323A"/>
                <w:sz w:val="18"/>
              </w:rPr>
              <w:t>Authored persistence</w:t>
            </w:r>
          </w:p>
        </w:tc>
        <w:tc>
          <w:tcPr>
            <w:tcW w:type="dxa" w:w="7704"/>
            <w:vAlign w:val="top"/>
            <w:shd w:fill="F6F8F9"/>
          </w:tcPr>
          <w:p>
            <w:pPr>
              <w:pStyle w:val="TableText"/>
              <w:keepNext w:val="0"/>
              <w:widowControl/>
            </w:pPr>
            <w:r>
              <w:rPr>
                <w:rFonts w:ascii="Lato" w:hAnsi="Lato"/>
                <w:b w:val="0"/>
                <w:color w:val="25323A"/>
                <w:sz w:val="18"/>
              </w:rPr>
              <w:t>No ambient decorative prop simulation. Explicit player-legal or night progression states may change designated content.</w:t>
            </w:r>
          </w:p>
        </w:tc>
      </w:tr>
      <w:tr>
        <w:trPr>
          <w:cantSplit/>
        </w:trPr>
        <w:tc>
          <w:tcPr>
            <w:tcW w:type="dxa" w:w="2160"/>
            <w:vAlign w:val="top"/>
          </w:tcPr>
          <w:p>
            <w:pPr>
              <w:pStyle w:val="TableText"/>
              <w:keepNext w:val="0"/>
              <w:widowControl/>
            </w:pPr>
            <w:r>
              <w:rPr>
                <w:rFonts w:ascii="Lato" w:hAnsi="Lato"/>
                <w:b/>
                <w:color w:val="25323A"/>
                <w:sz w:val="18"/>
              </w:rPr>
              <w:t>Narrative</w:t>
            </w:r>
          </w:p>
        </w:tc>
        <w:tc>
          <w:tcPr>
            <w:tcW w:type="dxa" w:w="7704"/>
            <w:vAlign w:val="top"/>
          </w:tcPr>
          <w:p>
            <w:pPr>
              <w:pStyle w:val="TableText"/>
              <w:keepNext w:val="0"/>
              <w:widowControl/>
            </w:pPr>
            <w:r>
              <w:rPr>
                <w:rFonts w:ascii="Lato" w:hAnsi="Lato"/>
                <w:b w:val="0"/>
                <w:color w:val="25323A"/>
                <w:sz w:val="18"/>
              </w:rPr>
              <w:t>Administrator terminology; short one-way operational/tutorial messages, optional face cards, no branching replies or visible humans. Sparse occupational humor and legacy signage.</w:t>
            </w:r>
          </w:p>
        </w:tc>
      </w:tr>
      <w:tr>
        <w:trPr>
          <w:cantSplit/>
        </w:trPr>
        <w:tc>
          <w:tcPr>
            <w:tcW w:type="dxa" w:w="2160"/>
            <w:vAlign w:val="top"/>
            <w:shd w:fill="F6F8F9"/>
          </w:tcPr>
          <w:p>
            <w:pPr>
              <w:pStyle w:val="TableText"/>
              <w:keepNext w:val="0"/>
              <w:widowControl/>
            </w:pPr>
            <w:r>
              <w:rPr>
                <w:rFonts w:ascii="Lato" w:hAnsi="Lato"/>
                <w:b/>
                <w:color w:val="25323A"/>
                <w:sz w:val="18"/>
              </w:rPr>
              <w:t>Architecture</w:t>
            </w:r>
          </w:p>
        </w:tc>
        <w:tc>
          <w:tcPr>
            <w:tcW w:type="dxa" w:w="7704"/>
            <w:vAlign w:val="top"/>
            <w:shd w:fill="F6F8F9"/>
          </w:tcPr>
          <w:p>
            <w:pPr>
              <w:pStyle w:val="TableText"/>
              <w:keepNext w:val="0"/>
              <w:widowControl/>
            </w:pPr>
            <w:r>
              <w:rPr>
                <w:rFonts w:ascii="Lato" w:hAnsi="Lato"/>
                <w:b w:val="0"/>
                <w:color w:val="25323A"/>
                <w:sz w:val="18"/>
              </w:rPr>
              <w:t>Coherent service-space logic, larger than domestic but not warehouse scale; selective irregularities and modular repetition broken by plausible history.</w:t>
            </w:r>
          </w:p>
        </w:tc>
      </w:tr>
    </w:tbl>
    <w:p>
      <w:pPr>
        <w:spacing w:after="60" w:before="0" w:line="40" w:lineRule="exact"/>
      </w:pPr>
      <w:r>
        <w:rPr>
          <w:sz w:val="4"/>
        </w:rPr>
      </w:r>
    </w:p>
    <w:p>
      <w:pPr>
        <w:pStyle w:val="Heading2"/>
        <w:widowControl/>
      </w:pPr>
      <w:r>
        <w:t>19.3 Foundation Gate</w:t>
      </w:r>
    </w:p>
    <w:p>
      <w:pPr>
        <w:widowControl/>
      </w:pPr>
      <w:r>
        <w:t>Production-art progression retains independent Structural Shell and Applied Finish reviews. Neutral seeded-storage integration and bounded Receiving gameplay may proceed before final materials; functional test fixtures do not constitute art promotion or general departmental furnishing. [D17B]</w:t>
      </w:r>
    </w:p>
    <w:p>
      <w:pPr>
        <w:widowControl/>
      </w:pPr>
      <w:r>
        <w:t>The gate is a human visual checkpoint, not an exact-transform test. Provisional dimensions must remain editable. Architecture should anticipate ergonomic opportunities, but not be bent around a mandated shelf or doorway asset. Later lighting may enhance valid materials, never serve as the fix for gloss, pristine surfaces or mismatched kits.</w:t>
      </w:r>
    </w:p>
    <w:p>
      <w:pPr>
        <w:pStyle w:val="Heading2"/>
        <w:widowControl/>
      </w:pPr>
      <w:r>
        <w:t>19.4 Current spatial and gameplay-facing synthesis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76"/>
        <w:gridCol w:w="7488"/>
      </w:tblGrid>
      <w:tr>
        <w:trPr>
          <w:cantSplit/>
          <w:tblHeader/>
        </w:trPr>
        <w:tc>
          <w:tcPr>
            <w:tcW w:type="dxa" w:w="2376"/>
            <w:vAlign w:val="top"/>
            <w:shd w:fill="253842"/>
          </w:tcPr>
          <w:p>
            <w:pPr>
              <w:pStyle w:val="TableText"/>
              <w:keepNext/>
              <w:widowControl/>
            </w:pPr>
            <w:r>
              <w:rPr>
                <w:rFonts w:ascii="Lato" w:hAnsi="Lato"/>
                <w:b/>
                <w:color w:val="FFFFFF"/>
                <w:sz w:val="18"/>
              </w:rPr>
              <w:t>Area</w:t>
            </w:r>
          </w:p>
        </w:tc>
        <w:tc>
          <w:tcPr>
            <w:tcW w:type="dxa" w:w="7488"/>
            <w:vAlign w:val="top"/>
            <w:shd w:fill="253842"/>
          </w:tcPr>
          <w:p>
            <w:pPr>
              <w:pStyle w:val="TableText"/>
              <w:keepNext/>
              <w:widowControl/>
            </w:pPr>
            <w:r>
              <w:rPr>
                <w:rFonts w:ascii="Lato" w:hAnsi="Lato"/>
                <w:b/>
                <w:color w:val="FFFFFF"/>
                <w:sz w:val="18"/>
              </w:rPr>
              <w:t>Approved consequence / open detail</w:t>
            </w:r>
          </w:p>
        </w:tc>
      </w:tr>
      <w:tr>
        <w:trPr>
          <w:cantSplit/>
        </w:trPr>
        <w:tc>
          <w:tcPr>
            <w:tcW w:type="dxa" w:w="2376"/>
            <w:vAlign w:val="top"/>
          </w:tcPr>
          <w:p>
            <w:pPr>
              <w:pStyle w:val="TableText"/>
              <w:keepNext w:val="0"/>
              <w:widowControl/>
            </w:pPr>
            <w:r>
              <w:rPr>
                <w:rFonts w:ascii="Lato" w:hAnsi="Lato"/>
                <w:b/>
                <w:color w:val="25323A"/>
                <w:sz w:val="18"/>
              </w:rPr>
              <w:t>Receiving / Sorting</w:t>
            </w:r>
          </w:p>
        </w:tc>
        <w:tc>
          <w:tcPr>
            <w:tcW w:type="dxa" w:w="7488"/>
            <w:vAlign w:val="top"/>
          </w:tcPr>
          <w:p>
            <w:pPr>
              <w:pStyle w:val="TableText"/>
              <w:keepNext w:val="0"/>
              <w:widowControl/>
            </w:pPr>
            <w:r>
              <w:rPr>
                <w:sz w:val="18"/>
              </w:rPr>
              <w:t>Accepted cordoned freight bay, distinct Dispatch annex, Backlog and passage-like Sorting. The desk has partial aperture visibility and the two long vistas are interrupted. Preserve that reviewed geometry [A17]. Later Stage B evidence promoted the deterministic TAKE-only presenter and functional freight fixtures, including the current 3.4 m Receiving-only fixture reach; see §27.</w:t>
            </w:r>
          </w:p>
        </w:tc>
      </w:tr>
      <w:tr>
        <w:trPr>
          <w:cantSplit/>
        </w:trPr>
        <w:tc>
          <w:tcPr>
            <w:tcW w:type="dxa" w:w="2376"/>
            <w:vAlign w:val="top"/>
            <w:shd w:fill="F6F8F9"/>
          </w:tcPr>
          <w:p>
            <w:pPr>
              <w:pStyle w:val="TableText"/>
              <w:keepNext w:val="0"/>
              <w:widowControl/>
            </w:pPr>
            <w:r>
              <w:rPr>
                <w:rFonts w:ascii="Lato" w:hAnsi="Lato"/>
                <w:b/>
                <w:color w:val="25323A"/>
                <w:sz w:val="18"/>
              </w:rPr>
              <w:t>Main / satellite Storage</w:t>
            </w:r>
          </w:p>
        </w:tc>
        <w:tc>
          <w:tcPr>
            <w:tcW w:type="dxa" w:w="7488"/>
            <w:vAlign w:val="top"/>
            <w:shd w:fill="F6F8F9"/>
          </w:tcPr>
          <w:p>
            <w:pPr>
              <w:pStyle w:val="TableText"/>
              <w:keepNext w:val="0"/>
              <w:widowControl/>
            </w:pPr>
            <w:r>
              <w:rPr>
                <w:sz w:val="18"/>
              </w:rPr>
              <w:t>Current topology uses five main galleries A-E and a directional 85-90% capacity target, with one primary spine and one intentional C&lt;-&gt;D secondary connection. Gallery shapes vary but should remain buildable; Gallery E is not a shortcut to the Deeper-Bunker Approach. Remaining 10-15% capacity is opportunistic/specialist satellite storage.</w:t>
            </w:r>
          </w:p>
        </w:tc>
      </w:tr>
      <w:tr>
        <w:trPr>
          <w:cantSplit/>
        </w:trPr>
        <w:tc>
          <w:tcPr>
            <w:tcW w:type="dxa" w:w="2376"/>
            <w:vAlign w:val="top"/>
          </w:tcPr>
          <w:p>
            <w:pPr>
              <w:pStyle w:val="TableText"/>
              <w:keepNext w:val="0"/>
              <w:widowControl/>
            </w:pPr>
            <w:r>
              <w:rPr>
                <w:rFonts w:ascii="Lato" w:hAnsi="Lato"/>
                <w:b/>
                <w:color w:val="25323A"/>
                <w:sz w:val="18"/>
              </w:rPr>
              <w:t>Sockets / progression</w:t>
            </w:r>
          </w:p>
        </w:tc>
        <w:tc>
          <w:tcPr>
            <w:tcW w:type="dxa" w:w="7488"/>
            <w:vAlign w:val="top"/>
          </w:tcPr>
          <w:p>
            <w:pPr>
              <w:pStyle w:val="TableText"/>
              <w:keepNext w:val="0"/>
              <w:widowControl/>
            </w:pPr>
            <w:r>
              <w:rPr>
                <w:rFonts w:ascii="Lato" w:hAnsi="Lato"/>
                <w:b w:val="0"/>
                <w:color w:val="25323A"/>
                <w:sz w:val="18"/>
              </w:rPr>
              <w:t>Moderate installed starting capacity; starting loot TBD. All units authored/socketed; movement remains open and restricted if retained. Implicit future sockets may contain designated clutter until night upgrades. Labels remain detailed design work.</w:t>
            </w:r>
          </w:p>
        </w:tc>
      </w:tr>
      <w:tr>
        <w:trPr>
          <w:cantSplit/>
        </w:trPr>
        <w:tc>
          <w:tcPr>
            <w:tcW w:type="dxa" w:w="2376"/>
            <w:vAlign w:val="top"/>
            <w:shd w:fill="F6F8F9"/>
          </w:tcPr>
          <w:p>
            <w:pPr>
              <w:pStyle w:val="TableText"/>
              <w:keepNext w:val="0"/>
              <w:widowControl/>
            </w:pPr>
            <w:r>
              <w:rPr>
                <w:rFonts w:ascii="Lato" w:hAnsi="Lato"/>
                <w:b/>
                <w:color w:val="25323A"/>
                <w:sz w:val="18"/>
              </w:rPr>
              <w:t>Playable service spaces / unseen cores</w:t>
            </w:r>
          </w:p>
        </w:tc>
        <w:tc>
          <w:tcPr>
            <w:tcW w:type="dxa" w:w="7488"/>
            <w:vAlign w:val="top"/>
            <w:shd w:fill="F6F8F9"/>
          </w:tcPr>
          <w:p>
            <w:pPr>
              <w:pStyle w:val="TableText"/>
              <w:keepNext w:val="0"/>
              <w:widowControl/>
            </w:pPr>
            <w:r>
              <w:rPr>
                <w:sz w:val="18"/>
              </w:rPr>
              <w:t>Workshop/Kitchen service rooms and Medical Supply Anteroom are playable; Ops is an open Transfer Landing. Staffed cores remain off-map behind inner boundaries. Kitchen route uses B-east; Medical retains its protected shared-circulation spur. [H16, D16S]</w:t>
            </w:r>
          </w:p>
        </w:tc>
      </w:tr>
      <w:tr>
        <w:trPr>
          <w:cantSplit/>
        </w:trPr>
        <w:tc>
          <w:tcPr>
            <w:tcW w:type="dxa" w:w="2376"/>
            <w:vAlign w:val="top"/>
          </w:tcPr>
          <w:p>
            <w:pPr>
              <w:pStyle w:val="TableText"/>
              <w:keepNext w:val="0"/>
              <w:widowControl/>
            </w:pPr>
            <w:r>
              <w:rPr>
                <w:rFonts w:ascii="Lato" w:hAnsi="Lato"/>
                <w:b/>
                <w:color w:val="25323A"/>
                <w:sz w:val="18"/>
              </w:rPr>
              <w:t>Major machines</w:t>
            </w:r>
          </w:p>
        </w:tc>
        <w:tc>
          <w:tcPr>
            <w:tcW w:type="dxa" w:w="7488"/>
            <w:vAlign w:val="top"/>
          </w:tcPr>
          <w:p>
            <w:pPr>
              <w:pStyle w:val="TableText"/>
              <w:keepNext w:val="0"/>
              <w:widowControl/>
            </w:pPr>
            <w:r>
              <w:rPr>
                <w:sz w:val="18"/>
              </w:rPr>
              <w:t>Salvager remains on a discoverable Workshop spur. Incinerator sits on a terminal spur distributed along the longer dog-legged Deeper-Bunker Approach, with ordinary shared-corridor buffer before Bunker Ops. Both remain massive, building-connected, front-operated landmarks.</w:t>
            </w:r>
          </w:p>
        </w:tc>
      </w:tr>
      <w:tr>
        <w:trPr>
          <w:cantSplit/>
        </w:trPr>
        <w:tc>
          <w:tcPr>
            <w:tcW w:type="dxa" w:w="2376"/>
            <w:vAlign w:val="top"/>
            <w:shd w:fill="F6F8F9"/>
          </w:tcPr>
          <w:p>
            <w:pPr>
              <w:pStyle w:val="TableText"/>
              <w:keepNext w:val="0"/>
              <w:widowControl/>
            </w:pPr>
            <w:r>
              <w:rPr>
                <w:rFonts w:ascii="Lato" w:hAnsi="Lato"/>
                <w:b/>
                <w:color w:val="25323A"/>
                <w:sz w:val="18"/>
              </w:rPr>
              <w:t>Introduction</w:t>
            </w:r>
          </w:p>
        </w:tc>
        <w:tc>
          <w:tcPr>
            <w:tcW w:type="dxa" w:w="7488"/>
            <w:vAlign w:val="top"/>
            <w:shd w:fill="F6F8F9"/>
          </w:tcPr>
          <w:p>
            <w:pPr>
              <w:pStyle w:val="TableText"/>
              <w:keepNext w:val="0"/>
              <w:widowControl/>
            </w:pPr>
            <w:r>
              <w:rPr>
                <w:rFonts w:ascii="Lato" w:hAnsi="Lato"/>
                <w:b w:val="0"/>
                <w:color w:val="25323A"/>
                <w:sz w:val="18"/>
              </w:rPr>
              <w:t>Incinerator not Day 1; offline/broken existing machine is preferred presentation. Exact unlock timing/cost and potential Salvager introduction remain open, not fixed at Day 5.</w:t>
            </w:r>
          </w:p>
        </w:tc>
      </w:tr>
      <w:tr>
        <w:trPr>
          <w:cantSplit/>
        </w:trPr>
        <w:tc>
          <w:tcPr>
            <w:tcW w:type="dxa" w:w="2376"/>
            <w:vAlign w:val="top"/>
          </w:tcPr>
          <w:p>
            <w:pPr>
              <w:pStyle w:val="TableText"/>
              <w:keepNext w:val="0"/>
              <w:widowControl/>
            </w:pPr>
            <w:r>
              <w:rPr>
                <w:rFonts w:ascii="Lato" w:hAnsi="Lato"/>
                <w:b/>
                <w:color w:val="25323A"/>
                <w:sz w:val="18"/>
              </w:rPr>
              <w:t>Dead spaces</w:t>
            </w:r>
          </w:p>
        </w:tc>
        <w:tc>
          <w:tcPr>
            <w:tcW w:type="dxa" w:w="7488"/>
            <w:vAlign w:val="top"/>
          </w:tcPr>
          <w:p>
            <w:pPr>
              <w:pStyle w:val="TableText"/>
              <w:keepNext w:val="0"/>
              <w:widowControl/>
            </w:pPr>
            <w:r>
              <w:rPr>
                <w:sz w:val="18"/>
              </w:rPr>
              <w:t>Workshop abandoned continuation removed entirely by explicit scope change. No replacement stubs or reserved holes now. Later consider approximately two or three away from immediate/direct service-space or Ops adjacency. Machine spurs and settlement access are not abandoned routes.</w:t>
            </w:r>
          </w:p>
        </w:tc>
      </w:tr>
    </w:tbl>
    <w:p>
      <w:pPr>
        <w:spacing w:after="60" w:before="0" w:line="40" w:lineRule="exact"/>
      </w:pPr>
      <w:r>
        <w:rPr>
          <w:sz w:val="4"/>
        </w:rPr>
      </w:r>
    </w:p>
    <w:p>
      <w:pPr>
        <w:widowControl/>
      </w:pPr>
      <w:r>
        <w:t>These remain design constraints rather than economic tuning. Greybox dimensions, openings, service-room footprints and reviewed sightlines are now a human-approved working baseline. Actual shelves, carried items, bay lining and later requests can expose specific new clearance or pacing issues. Use accepted source/geometry rather than reverting to V3/V2 pixels. [A17]</w:t>
      </w:r>
    </w:p>
    <w:p>
      <w:pPr>
        <w:pStyle w:val="Heading2"/>
        <w:widowControl/>
      </w:pPr>
      <w:r>
        <w:t>19.5 Superseded document wording</w:t>
      </w:r>
    </w:p>
    <w:p>
      <w:pPr>
        <w:widowControl/>
      </w:pPr>
      <w:r>
        <w:t>GDD v0.4's Surface Access-door suggestion is superseded by an unshown personnel route. Its total-batch-in-existence limit and never-generated Awaiting Lift forfeits are superseded by deposited capacity plus precomputation-compatible forfeiture. Night persistence now names designated upgrade/repair exceptions. Earlier rigid interpretation of fixed tabletop slots, labeling implementation and universal container movement no longer constitutes finalized implementation scope.</w:t>
      </w:r>
    </w:p>
    <w:p>
      <w:pPr>
        <w:widowControl/>
      </w:pPr>
      <w:r>
        <w:t>Smoke-and-mirrors production remains: staffed operational interiors stay off-map, while the dedicated support service rooms are playable. No visible human NPCs, latent playable-bay pile physics or ambient prop simulation are added. Identity-safe transactions and explicit off-screen state transitions remain. Facility equations are unchanged. [D16S]</w:t>
      </w:r>
    </w:p>
    <w:p>
      <w:pPr>
        <w:pStyle w:val="Heading2"/>
      </w:pPr>
      <w:r>
        <w:t>19.6 Approved topology and schematic baseline (15 September)</w:t>
      </w:r>
    </w:p>
    <w:p>
      <w:pPr/>
      <w:r>
        <w:t>The topology work compared multiple candidate arrangements, then combined/refined them into one approved greybox baseline. The locked relationship sequence is Receiving -&gt; Backlog Passage -&gt; Sorting / Quartermaster Central -&gt; Main Storage Network -&gt; Deeper-Bunker Approach, with dedicated Expedition, Workshop/Salvager, Medical, Kitchen/Mess, Incinerator and Bunker Ops branches/frontages.</w:t>
      </w:r>
    </w:p>
    <w:p>
      <w:pPr/>
      <w:r>
        <w:t>Detailed Topology V3 is the high-level relationship/circulation/territorial reference and is intentionally not to scale. Basic Structural Schematic V2 is the simplified approximate-proportion walls/openings reference for Codex. Small image-generation or hand-edit artifacts are not authority; when the two images disagree materially, Visual Direction v0.3 prose and the approved topology rules take precedence.</w:t>
      </w:r>
    </w:p>
    <w:p>
      <w:pPr/>
      <w:r>
        <w:t>Historical 15 September gate: construct a first complete neutral wing. The first-pass and intermediate REVISE states are preserved below as history. Subsequent round-three review and Medical tuning closed the spatial gate on 17 September; the current status is PROMOTED. [W17, H17, A17]</w:t>
      </w:r>
    </w:p>
    <w:p>
      <w:pPr>
        <w:pStyle w:val="Heading1"/>
        <w:widowControl/>
      </w:pPr>
      <w:r>
        <w:t>20. Historical 17 September debt checkpoint superseded by Section 24</w:t>
      </w:r>
    </w:p>
    <w:p>
      <w:pPr/>
      <w:r>
        <w:t>29 September supersession: this debt and gate sequence remains historical. Current dispositions for ladder, Receiving Stage B and EAF1–EAF5 are in §§26–30.</w:t>
      </w:r>
    </w:p>
    <w:p>
      <w:pPr>
        <w:pStyle w:val="Heading2"/>
        <w:widowControl/>
      </w:pPr>
      <w:r>
        <w:t>20.1 Historical loot_000015 reconciliation checkpoint</w:t>
      </w:r>
    </w:p>
    <w:p>
      <w:pPr>
        <w:widowControl/>
      </w:pPr>
      <w:r>
        <w:t>Before Pass 1, the developer reimported Fuel Canister (loot_000015) to repair a texture issue. Subsequent source/fingerprint evidence changed. The developer states intended scale, Footprint, Storage Pose/orientation, Stack Role and Auto Group do not need redesign. Codex preserved the known mismatch while proving no extra shell-induced drift. [D13B]</w:t>
      </w:r>
    </w:p>
    <w:p>
      <w:pPr>
        <w:widowControl/>
      </w:pPr>
      <w:r>
        <w:t>At this checkpoint, the proposed next action was to inspect the source/import/runtime representation, verify intended geometry and pickup/catalogue registration, then use the established review/sync/apply workflow to restore valid evidence. Section 24.2 records that this reconciliation was later completed without silently changing the 40-ID runtime pool or altering gameplay to accommodate a fingerprint.</w:t>
      </w:r>
    </w:p>
    <w:p>
      <w:pPr>
        <w:widowControl/>
      </w:pPr>
      <w:r>
        <w:t>At the 17 September checkpoint, this did not need to interrupt layout or art discussion, but remained required before clean full-pool Receiving validation. Gloves and Pants were separate blocked content cases. Section 24.2 supersedes this pending status; no later result is projected backward into the historical reports.</w:t>
      </w:r>
    </w:p>
    <w:p>
      <w:pPr>
        <w:pStyle w:val="Heading2"/>
        <w:widowControl/>
      </w:pPr>
      <w:r>
        <w:t>20.2 Historical repository and artifact state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4752"/>
        <w:gridCol w:w="5112"/>
      </w:tblGrid>
      <w:tr>
        <w:trPr>
          <w:cantSplit/>
          <w:tblHeader/>
        </w:trPr>
        <w:tc>
          <w:tcPr>
            <w:tcW w:type="dxa" w:w="4752"/>
            <w:vAlign w:val="top"/>
            <w:shd w:fill="253842"/>
          </w:tcPr>
          <w:p>
            <w:pPr>
              <w:pStyle w:val="TableText"/>
              <w:keepNext/>
              <w:widowControl/>
            </w:pPr>
            <w:r>
              <w:rPr>
                <w:rFonts w:ascii="Lato" w:hAnsi="Lato"/>
                <w:b/>
                <w:color w:val="FFFFFF"/>
                <w:sz w:val="18"/>
              </w:rPr>
              <w:t>Artifact / revision</w:t>
            </w:r>
          </w:p>
        </w:tc>
        <w:tc>
          <w:tcPr>
            <w:tcW w:type="dxa" w:w="5112"/>
            <w:vAlign w:val="top"/>
            <w:shd w:fill="253842"/>
          </w:tcPr>
          <w:p>
            <w:pPr>
              <w:pStyle w:val="TableText"/>
              <w:keepNext/>
              <w:widowControl/>
            </w:pPr>
            <w:r>
              <w:rPr>
                <w:rFonts w:ascii="Lato" w:hAnsi="Lato"/>
                <w:b/>
                <w:color w:val="FFFFFF"/>
                <w:sz w:val="18"/>
              </w:rPr>
              <w:t>Last reported status</w:t>
            </w:r>
          </w:p>
        </w:tc>
      </w:tr>
      <w:tr>
        <w:trPr>
          <w:cantSplit/>
        </w:trPr>
        <w:tc>
          <w:tcPr>
            <w:tcW w:type="dxa" w:w="4752"/>
            <w:vAlign w:val="top"/>
          </w:tcPr>
          <w:p>
            <w:pPr>
              <w:pStyle w:val="TableText"/>
              <w:keepNext w:val="0"/>
              <w:widowControl/>
            </w:pPr>
            <w:r>
              <w:rPr>
                <w:rFonts w:ascii="Lato" w:hAnsi="Lato"/>
                <w:b/>
                <w:color w:val="25323A"/>
                <w:sz w:val="16"/>
              </w:rPr>
              <w:t>Stage A 41415a4dbf204c9187874fd40f421183939d60f7</w:t>
            </w:r>
          </w:p>
        </w:tc>
        <w:tc>
          <w:tcPr>
            <w:tcW w:type="dxa" w:w="5112"/>
            <w:vAlign w:val="top"/>
          </w:tcPr>
          <w:p>
            <w:pPr>
              <w:pStyle w:val="TableText"/>
              <w:keepNext w:val="0"/>
              <w:widowControl/>
            </w:pPr>
            <w:r>
              <w:rPr>
                <w:rFonts w:ascii="Lato" w:hAnsi="Lato"/>
                <w:b w:val="0"/>
                <w:color w:val="25323A"/>
                <w:sz w:val="18"/>
              </w:rPr>
              <w:t>Merged/synced; earlier 14 implementation commits retained.</w:t>
            </w:r>
          </w:p>
        </w:tc>
      </w:tr>
      <w:tr>
        <w:trPr>
          <w:cantSplit/>
        </w:trPr>
        <w:tc>
          <w:tcPr>
            <w:tcW w:type="dxa" w:w="4752"/>
            <w:vAlign w:val="top"/>
            <w:shd w:fill="F6F8F9"/>
          </w:tcPr>
          <w:p>
            <w:pPr>
              <w:pStyle w:val="TableText"/>
              <w:keepNext w:val="0"/>
              <w:widowControl/>
            </w:pPr>
            <w:r>
              <w:rPr>
                <w:rFonts w:ascii="Lato" w:hAnsi="Lato"/>
                <w:b/>
                <w:color w:val="25323A"/>
                <w:sz w:val="16"/>
              </w:rPr>
              <w:t>Environment main bd468c70e04c2742d42f270da7b00d35efdc35c9</w:t>
            </w:r>
          </w:p>
        </w:tc>
        <w:tc>
          <w:tcPr>
            <w:tcW w:type="dxa" w:w="5112"/>
            <w:vAlign w:val="top"/>
            <w:shd w:fill="F6F8F9"/>
          </w:tcPr>
          <w:p>
            <w:pPr>
              <w:pStyle w:val="TableText"/>
              <w:keepNext w:val="0"/>
              <w:widowControl/>
            </w:pPr>
            <w:r>
              <w:rPr>
                <w:rFonts w:ascii="Lato" w:hAnsi="Lato"/>
                <w:b w:val="0"/>
                <w:color w:val="25323A"/>
                <w:sz w:val="18"/>
              </w:rPr>
              <w:t>Merged/synced, technical and human smoke checks passed; ignored relocated assets intact.</w:t>
            </w:r>
          </w:p>
        </w:tc>
      </w:tr>
      <w:tr>
        <w:trPr>
          <w:cantSplit/>
        </w:trPr>
        <w:tc>
          <w:tcPr>
            <w:tcW w:type="dxa" w:w="4752"/>
            <w:vAlign w:val="top"/>
          </w:tcPr>
          <w:p>
            <w:pPr>
              <w:pStyle w:val="TableText"/>
              <w:keepNext w:val="0"/>
              <w:widowControl/>
            </w:pPr>
            <w:r>
              <w:rPr>
                <w:rFonts w:ascii="Lato" w:hAnsi="Lato"/>
                <w:b/>
                <w:color w:val="25323A"/>
                <w:sz w:val="16"/>
              </w:rPr>
              <w:t>Pass 1 shell c9752c8c68cd55b950dd588542ea271e1acc0aab</w:t>
            </w:r>
          </w:p>
        </w:tc>
        <w:tc>
          <w:tcPr>
            <w:tcW w:type="dxa" w:w="5112"/>
            <w:vAlign w:val="top"/>
          </w:tcPr>
          <w:p>
            <w:pPr>
              <w:pStyle w:val="TableText"/>
              <w:keepNext w:val="0"/>
              <w:widowControl/>
            </w:pPr>
            <w:r>
              <w:rPr>
                <w:rFonts w:ascii="Lato" w:hAnsi="Lato"/>
                <w:b w:val="0"/>
                <w:color w:val="25323A"/>
                <w:sz w:val="18"/>
              </w:rPr>
              <w:t>Feature-branch commit; visually rejected. No later merge/repair is asserted.</w:t>
            </w:r>
          </w:p>
        </w:tc>
      </w:tr>
      <w:tr>
        <w:trPr>
          <w:cantSplit/>
        </w:trPr>
        <w:tc>
          <w:tcPr>
            <w:tcW w:type="dxa" w:w="4752"/>
            <w:vAlign w:val="top"/>
            <w:shd w:fill="F6F8F9"/>
          </w:tcPr>
          <w:p>
            <w:pPr>
              <w:pStyle w:val="TableText"/>
              <w:keepNext w:val="0"/>
              <w:widowControl/>
            </w:pPr>
            <w:r>
              <w:rPr>
                <w:sz w:val="18"/>
              </w:rPr>
              <w:t>Visual Direction v0.5</w:t>
            </w:r>
          </w:p>
        </w:tc>
        <w:tc>
          <w:tcPr>
            <w:tcW w:type="dxa" w:w="5112"/>
            <w:vAlign w:val="top"/>
            <w:shd w:fill="F6F8F9"/>
          </w:tcPr>
          <w:p>
            <w:pPr>
              <w:pStyle w:val="TableText"/>
              <w:keepNext w:val="0"/>
              <w:widowControl/>
            </w:pPr>
            <w:r>
              <w:rPr>
                <w:sz w:val="18"/>
              </w:rPr>
              <w:t>Then-current spatial/art authority at the 17 September checkpoint: accepted greybox, retained service-space concept and dead-end deferral. Production materials and furnishing remained separate.</w:t>
            </w:r>
          </w:p>
        </w:tc>
      </w:tr>
      <w:tr>
        <w:trPr>
          <w:cantSplit/>
        </w:trPr>
        <w:tc>
          <w:tcPr>
            <w:tcW w:type="dxa" w:w="4752"/>
            <w:vAlign w:val="top"/>
          </w:tcPr>
          <w:p>
            <w:pPr>
              <w:pStyle w:val="TableText"/>
              <w:keepNext w:val="0"/>
              <w:widowControl/>
            </w:pPr>
            <w:r>
              <w:rPr>
                <w:sz w:val="18"/>
              </w:rPr>
              <w:t>GDD / Prototype v0.8</w:t>
            </w:r>
          </w:p>
        </w:tc>
        <w:tc>
          <w:tcPr>
            <w:tcW w:type="dxa" w:w="5112"/>
            <w:vAlign w:val="top"/>
          </w:tcPr>
          <w:p>
            <w:pPr>
              <w:pStyle w:val="TableText"/>
              <w:keepNext w:val="0"/>
              <w:widowControl/>
            </w:pPr>
            <w:r>
              <w:rPr>
                <w:sz w:val="18"/>
              </w:rPr>
              <w:t>Then-current documentation pair at the 17 September checkpoint; human spatial acceptance, scoped runtime/static evidence and the seeded-storage prerequisite were consolidated.</w:t>
            </w:r>
          </w:p>
        </w:tc>
      </w:tr>
      <w:tr>
        <w:trPr>
          <w:cantSplit/>
        </w:trPr>
        <w:tc>
          <w:tcPr>
            <w:tcW w:type="dxa" w:w="4752"/>
            <w:vAlign w:val="top"/>
          </w:tcPr>
          <w:p>
            <w:pPr>
              <w:pStyle w:val="TableText"/>
            </w:pPr>
            <w:r>
              <w:rPr>
                <w:sz w:val="18"/>
              </w:rPr>
              <w:t>Wing source aeb1ef2 / final docs 8d64086</w:t>
            </w:r>
          </w:p>
        </w:tc>
        <w:tc>
          <w:tcPr>
            <w:tcW w:type="dxa" w:w="5112"/>
            <w:vAlign w:val="top"/>
          </w:tcPr>
          <w:p>
            <w:pPr>
              <w:pStyle w:val="TableText"/>
            </w:pPr>
            <w:r>
              <w:rPr>
                <w:sz w:val="18"/>
              </w:rPr>
              <w:t>Accepted local checkpoint as reported; GitHub main was still 8ee62bd3 at that read-only inspection. Close-out publication had been requested but was not performed in that historical document edit.</w:t>
            </w:r>
          </w:p>
        </w:tc>
      </w:tr>
    </w:tbl>
    <w:p>
      <w:pPr>
        <w:spacing w:after="60" w:before="0" w:line="40" w:lineRule="exact"/>
      </w:pPr>
      <w:r>
        <w:rPr>
          <w:sz w:val="4"/>
        </w:rPr>
      </w:r>
    </w:p>
    <w:p>
      <w:pPr>
        <w:pStyle w:val="Heading2"/>
        <w:widowControl/>
      </w:pPr>
      <w:r>
        <w:t>20.3 Historical recommended next evidence sequence</w:t>
      </w:r>
    </w:p>
    <w:p>
      <w:pPr>
        <w:pStyle w:val="ListBullet"/>
        <w:widowControl/>
      </w:pPr>
      <w:r>
        <w:t>Persist the developer acceptance, update current documents/status pointers, preserve dated evidence and integrate/publish the accepted wing from the authoritative checkout after fresh verification. No deletion of local reports, ignored assets or the rejected Receiving branch is needed for cleanliness. [D17B]</w:t>
      </w:r>
    </w:p>
    <w:p>
      <w:pPr>
        <w:pStyle w:val="ListBullet"/>
        <w:widowControl/>
      </w:pPr>
      <w:r>
        <w:t>After repository/documentation synchronization is verified, preflight and implement the seeded-storage bridge in a separate focused task: several real storage-capable shelves, a bounded pre-seeded functional item assortment and established pickup/carry/zoning/stacking/retrieval in the accepted wing.</w:t>
      </w:r>
    </w:p>
    <w:p>
      <w:pPr>
        <w:pStyle w:val="ListBullet"/>
        <w:widowControl/>
      </w:pPr>
      <w:r>
        <w:t>Keep the old main test-room scene intact and independently runnable. Keep the neutral review/capture harness and accepted geometry available. Exact gameplay composition and any default-launch switch require local dependency inspection and a focused bridge handoff; do not perform them during bookkeeping.</w:t>
      </w:r>
    </w:p>
    <w:p>
      <w:pPr>
        <w:pStyle w:val="ListBullet"/>
        <w:widowControl/>
      </w:pPr>
      <w:r>
        <w:t>Reconcile loot_000015 through the established authoring process before a physical Receiving test claims a clean full catalogue. For an earlier bounded seed fixture, use explicitly chosen current eligible representatives and disclose omissions; do not change the Receiving pool or stale approval flags. Gloves/Pants remain separate.</w:t>
      </w:r>
    </w:p>
    <w:p>
      <w:pPr>
        <w:pStyle w:val="ListBullet"/>
        <w:widowControl/>
      </w:pPr>
      <w:r>
        <w:t>Human-validate the seeded wing handling loop before functional Receiving. A small architectural/material proof remains a later separate production test; no full-wing art, service furnishing or delivery choreography is required for this bridge. [D17B]</w:t>
      </w:r>
    </w:p>
    <w:p>
      <w:pPr>
        <w:widowControl/>
      </w:pPr>
      <w:r>
        <w:t>The next task connects existing validated systems to the accepted environment rather than inventing new storage or Receiving mechanics. It adds a prerequisite gate, not a claim that functional shelves/loot are already present in the wing.</w:t>
      </w:r>
    </w:p>
    <w:p>
      <w:pPr>
        <w:pStyle w:val="Heading2"/>
        <w:widowControl/>
      </w:pPr>
      <w:r>
        <w:t>20.4 Deferred questions remain deferred</w:t>
      </w:r>
    </w:p>
    <w:p>
      <w:pPr>
        <w:widowControl/>
      </w:pPr>
      <w:r>
        <w:t>Production starting stock, final furnished capacity, request pacing, service devices, machine unlocks, physical pile performance, full saves, held/HUD polish and blocked-content debt remain separate. Greybox spatial approval is complete. Abandoned stubs are deferred; later placements must not directly connect to or be immediately adjacent to service spaces/Ops.</w:t>
      </w:r>
    </w:p>
    <w:p>
      <w:pPr>
        <w:pStyle w:val="Heading1"/>
        <w:pageBreakBefore w:val="0"/>
        <w:widowControl/>
      </w:pPr>
      <w:r>
        <w:t>21. Revision and evidence-source register</w:t>
      </w:r>
    </w:p>
    <w:p>
      <w:pPr>
        <w:pStyle w:val="Heading2"/>
        <w:widowControl/>
      </w:pPr>
      <w:r>
        <w:t>21.1 How v0.8 updated the 17 September record</w:t>
      </w:r>
    </w:p>
    <w:p>
      <w:pPr>
        <w:widowControl/>
      </w:pPr>
      <w:r>
        <w:t>v0.8 preserved the earlier storage/content and visual-failure history, recorded three revision rounds plus the Medical-only success, and updated the then-current state to human spatial PROMOTE. It distinguished reported runtime results, independent archive checks and a read-only remote inspection. Its required sequence was bookkeeping/synchronization -&gt; seeded storage integration -&gt; Receiving. Section 24 supersedes that sequence and records the later completed steps.</w:t>
      </w:r>
    </w:p>
    <w:p>
      <w:pPr>
        <w:pStyle w:val="Heading2"/>
        <w:widowControl/>
      </w:pPr>
      <w:r>
        <w:t>21.2 Sources and verification scope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and what it supports</w:t>
            </w:r>
          </w:p>
        </w:tc>
      </w:tr>
      <w:tr>
        <w:trPr>
          <w:cantSplit/>
        </w:trPr>
        <w:tc>
          <w:tcPr>
            <w:tcW w:type="dxa" w:w="1224"/>
            <w:vAlign w:val="top"/>
          </w:tcPr>
          <w:p>
            <w:pPr>
              <w:pStyle w:val="TableText"/>
              <w:keepNext w:val="0"/>
              <w:widowControl/>
            </w:pPr>
            <w:r>
              <w:rPr>
                <w:rFonts w:ascii="Lato" w:hAnsi="Lato"/>
                <w:b/>
                <w:color w:val="25323A"/>
                <w:sz w:val="18"/>
              </w:rPr>
              <w:t>P04</w:t>
            </w:r>
          </w:p>
        </w:tc>
        <w:tc>
          <w:tcPr>
            <w:tcW w:type="dxa" w:w="8640"/>
            <w:vAlign w:val="top"/>
          </w:tcPr>
          <w:p>
            <w:pPr>
              <w:pStyle w:val="TableText"/>
              <w:keepNext w:val="0"/>
              <w:widowControl/>
            </w:pPr>
            <w:r>
              <w:rPr>
                <w:rFonts w:ascii="Lato" w:hAnsi="Lato"/>
                <w:b w:val="0"/>
                <w:color w:val="25323A"/>
                <w:sz w:val="18"/>
              </w:rPr>
              <w:t>Supplied Prototype Findings v0.4, 11 September. Retained experiments, defects/fixes, authoring and human stress-test evidence.</w:t>
            </w:r>
          </w:p>
        </w:tc>
      </w:tr>
      <w:tr>
        <w:trPr>
          <w:cantSplit/>
        </w:trPr>
        <w:tc>
          <w:tcPr>
            <w:tcW w:type="dxa" w:w="1224"/>
            <w:vAlign w:val="top"/>
            <w:shd w:fill="F6F8F9"/>
          </w:tcPr>
          <w:p>
            <w:pPr>
              <w:pStyle w:val="TableText"/>
              <w:keepNext w:val="0"/>
              <w:widowControl/>
            </w:pPr>
            <w:r>
              <w:rPr>
                <w:sz w:val="18"/>
              </w:rPr>
              <w:t>G05 / G06</w:t>
            </w:r>
          </w:p>
        </w:tc>
        <w:tc>
          <w:tcPr>
            <w:tcW w:type="dxa" w:w="8640"/>
            <w:vAlign w:val="top"/>
            <w:shd w:fill="F6F8F9"/>
          </w:tcPr>
          <w:p>
            <w:pPr>
              <w:pStyle w:val="TableText"/>
              <w:keepNext w:val="0"/>
              <w:widowControl/>
            </w:pPr>
            <w:r>
              <w:rPr>
                <w:sz w:val="18"/>
              </w:rPr>
              <w:t>Supplied Preliminary GDD v0.5 and v0.6. Historical design sources, not proof of implementation; GDD v0.8 was the then-current companion at the 17 September checkpoint.</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Approved 12 September Receiving/Elevator architecture spec and Stage A plan. Intended contracts; actual results are separately reported.</w:t>
            </w:r>
          </w:p>
        </w:tc>
      </w:tr>
      <w:tr>
        <w:trPr>
          <w:cantSplit/>
        </w:trPr>
        <w:tc>
          <w:tcPr>
            <w:tcW w:type="dxa" w:w="1224"/>
            <w:vAlign w:val="top"/>
            <w:shd w:fill="F6F8F9"/>
          </w:tcPr>
          <w:p>
            <w:pPr>
              <w:pStyle w:val="TableText"/>
              <w:keepNext w:val="0"/>
              <w:widowControl/>
            </w:pPr>
            <w:r>
              <w:rPr>
                <w:rFonts w:ascii="Lato" w:hAnsi="Lato"/>
                <w:b/>
                <w:color w:val="25323A"/>
                <w:sz w:val="18"/>
              </w:rPr>
              <w:t>D12 / D12A</w:t>
            </w:r>
          </w:p>
        </w:tc>
        <w:tc>
          <w:tcPr>
            <w:tcW w:type="dxa" w:w="8640"/>
            <w:vAlign w:val="top"/>
            <w:shd w:fill="F6F8F9"/>
          </w:tcPr>
          <w:p>
            <w:pPr>
              <w:pStyle w:val="TableText"/>
              <w:keepNext w:val="0"/>
              <w:widowControl/>
            </w:pPr>
            <w:r>
              <w:rPr>
                <w:rFonts w:ascii="Lato" w:hAnsi="Lato"/>
                <w:b w:val="0"/>
                <w:color w:val="25323A"/>
                <w:sz w:val="18"/>
              </w:rPr>
              <w:t>12 September discussion and developer-supplied Stage A completion/merge report: 30/30 strict suites, audit and integration status.</w:t>
            </w:r>
          </w:p>
        </w:tc>
      </w:tr>
      <w:tr>
        <w:trPr>
          <w:cantSplit/>
        </w:trPr>
        <w:tc>
          <w:tcPr>
            <w:tcW w:type="dxa" w:w="1224"/>
            <w:vAlign w:val="top"/>
          </w:tcPr>
          <w:p>
            <w:pPr>
              <w:pStyle w:val="TableText"/>
              <w:keepNext w:val="0"/>
              <w:widowControl/>
            </w:pPr>
            <w:r>
              <w:rPr>
                <w:rFonts w:ascii="Lato" w:hAnsi="Lato"/>
                <w:b/>
                <w:color w:val="25323A"/>
                <w:sz w:val="18"/>
              </w:rPr>
              <w:t>I12</w:t>
            </w:r>
          </w:p>
        </w:tc>
        <w:tc>
          <w:tcPr>
            <w:tcW w:type="dxa" w:w="8640"/>
            <w:vAlign w:val="top"/>
          </w:tcPr>
          <w:p>
            <w:pPr>
              <w:pStyle w:val="TableText"/>
              <w:keepNext w:val="0"/>
              <w:widowControl/>
            </w:pPr>
            <w:r>
              <w:rPr>
                <w:rFonts w:ascii="Lato" w:hAnsi="Lato"/>
                <w:b w:val="0"/>
                <w:color w:val="25323A"/>
                <w:sz w:val="18"/>
              </w:rPr>
              <w:t>Attached read-only environment inventory (Pasted markdown.md): source counts, catalogue/HOLD exclusions, dependency and relocation-tool findings.</w:t>
            </w:r>
          </w:p>
        </w:tc>
      </w:tr>
      <w:tr>
        <w:trPr>
          <w:cantSplit/>
        </w:trPr>
        <w:tc>
          <w:tcPr>
            <w:tcW w:type="dxa" w:w="1224"/>
            <w:vAlign w:val="top"/>
            <w:shd w:fill="F6F8F9"/>
          </w:tcPr>
          <w:p>
            <w:pPr>
              <w:pStyle w:val="TableText"/>
              <w:keepNext w:val="0"/>
              <w:widowControl/>
            </w:pPr>
            <w:r>
              <w:rPr>
                <w:rFonts w:ascii="Lato" w:hAnsi="Lato"/>
                <w:b/>
                <w:color w:val="25323A"/>
                <w:sz w:val="18"/>
              </w:rPr>
              <w:t>D12E</w:t>
            </w:r>
          </w:p>
        </w:tc>
        <w:tc>
          <w:tcPr>
            <w:tcW w:type="dxa" w:w="8640"/>
            <w:vAlign w:val="top"/>
            <w:shd w:fill="F6F8F9"/>
          </w:tcPr>
          <w:p>
            <w:pPr>
              <w:pStyle w:val="TableText"/>
              <w:keepNext w:val="0"/>
              <w:widowControl/>
            </w:pPr>
            <w:r>
              <w:rPr>
                <w:rFonts w:ascii="Lato" w:hAnsi="Lato"/>
                <w:b w:val="0"/>
                <w:color w:val="25323A"/>
                <w:sz w:val="18"/>
              </w:rPr>
              <w:t>Developer-supplied migration, merge and human in-game reports around 12-13 September: 49 canonical primaries, duplicate retirement, 31/31 suites, collisions/surfaces and bd468c7.</w:t>
            </w:r>
          </w:p>
        </w:tc>
      </w:tr>
      <w:tr>
        <w:trPr>
          <w:cantSplit/>
        </w:trPr>
        <w:tc>
          <w:tcPr>
            <w:tcW w:type="dxa" w:w="1224"/>
            <w:vAlign w:val="top"/>
          </w:tcPr>
          <w:p>
            <w:pPr>
              <w:pStyle w:val="TableText"/>
              <w:keepNext w:val="0"/>
              <w:widowControl/>
            </w:pPr>
            <w:r>
              <w:rPr>
                <w:rFonts w:ascii="Lato" w:hAnsi="Lato"/>
                <w:b/>
                <w:color w:val="25323A"/>
                <w:sz w:val="18"/>
              </w:rPr>
              <w:t>I13</w:t>
            </w:r>
          </w:p>
        </w:tc>
        <w:tc>
          <w:tcPr>
            <w:tcW w:type="dxa" w:w="8640"/>
            <w:vAlign w:val="top"/>
          </w:tcPr>
          <w:p>
            <w:pPr>
              <w:pStyle w:val="TableText"/>
              <w:keepNext w:val="0"/>
              <w:widowControl/>
            </w:pPr>
            <w:r>
              <w:rPr>
                <w:rFonts w:ascii="Lato" w:hAnsi="Lato"/>
                <w:b w:val="0"/>
                <w:color w:val="25323A"/>
                <w:sz w:val="18"/>
              </w:rPr>
              <w:t>Attached Stage-B candidate review (Pasted markdown(1).md): 408 environment GLBs, category counts, import health and candidate judgments.</w:t>
            </w:r>
          </w:p>
        </w:tc>
      </w:tr>
      <w:tr>
        <w:trPr>
          <w:cantSplit/>
        </w:trPr>
        <w:tc>
          <w:tcPr>
            <w:tcW w:type="dxa" w:w="1224"/>
            <w:vAlign w:val="top"/>
            <w:shd w:fill="F6F8F9"/>
          </w:tcPr>
          <w:p>
            <w:pPr>
              <w:pStyle w:val="TableText"/>
              <w:keepNext w:val="0"/>
              <w:widowControl/>
            </w:pPr>
            <w:r>
              <w:rPr>
                <w:rFonts w:ascii="Lato" w:hAnsi="Lato"/>
                <w:b/>
                <w:color w:val="25323A"/>
                <w:sz w:val="18"/>
              </w:rPr>
              <w:t>D13B</w:t>
            </w:r>
          </w:p>
        </w:tc>
        <w:tc>
          <w:tcPr>
            <w:tcW w:type="dxa" w:w="8640"/>
            <w:vAlign w:val="top"/>
            <w:shd w:fill="F6F8F9"/>
          </w:tcPr>
          <w:p>
            <w:pPr>
              <w:pStyle w:val="TableText"/>
              <w:keepNext w:val="0"/>
              <w:widowControl/>
            </w:pPr>
            <w:r>
              <w:rPr>
                <w:rFonts w:ascii="Lato" w:hAnsi="Lato"/>
                <w:b w:val="0"/>
                <w:color w:val="25323A"/>
                <w:sz w:val="18"/>
              </w:rPr>
              <w:t>13 September Pass 1 report at c9752c8 plus developer visual rejection and explanation of prior loot_000015 reimport.</w:t>
            </w:r>
          </w:p>
        </w:tc>
      </w:tr>
      <w:tr>
        <w:trPr>
          <w:cantSplit/>
        </w:trPr>
        <w:tc>
          <w:tcPr>
            <w:tcW w:type="dxa" w:w="1224"/>
            <w:vAlign w:val="top"/>
          </w:tcPr>
          <w:p>
            <w:pPr>
              <w:pStyle w:val="TableText"/>
              <w:keepNext w:val="0"/>
              <w:widowControl/>
            </w:pPr>
            <w:r>
              <w:rPr>
                <w:rFonts w:ascii="Lato" w:hAnsi="Lato"/>
                <w:b/>
                <w:color w:val="25323A"/>
                <w:sz w:val="18"/>
              </w:rPr>
              <w:t>D13-14 / V02</w:t>
            </w:r>
          </w:p>
        </w:tc>
        <w:tc>
          <w:tcPr>
            <w:tcW w:type="dxa" w:w="8640"/>
            <w:vAlign w:val="top"/>
          </w:tcPr>
          <w:p>
            <w:pPr>
              <w:pStyle w:val="TableText"/>
              <w:keepNext w:val="0"/>
              <w:widowControl/>
            </w:pPr>
            <w:r>
              <w:rPr>
                <w:rFonts w:ascii="Lato" w:hAnsi="Lato"/>
                <w:b w:val="0"/>
                <w:color w:val="25323A"/>
                <w:sz w:val="18"/>
              </w:rPr>
              <w:t>Approved 13-14 September world/zone discussion and Visual Design &amp; World-Building Direction v0.2. Design intent and Foundation Gate, not built environment evidence.</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KitBash support correspondence quoted by the developer. This report records the answer without extending its legal scope.</w:t>
            </w:r>
          </w:p>
        </w:tc>
      </w:tr>
      <w:tr>
        <w:trPr>
          <w:cantSplit/>
        </w:trPr>
        <w:tc>
          <w:tcPr>
            <w:tcW w:type="dxa" w:w="1224"/>
            <w:vAlign w:val="top"/>
          </w:tcPr>
          <w:p>
            <w:pPr>
              <w:pStyle w:val="TableText"/>
              <w:keepNext w:val="0"/>
              <w:widowControl/>
            </w:pPr>
            <w:r>
              <w:rPr>
                <w:rFonts w:ascii="Lato" w:hAnsi="Lato"/>
                <w:b/>
                <w:color w:val="25323A"/>
                <w:sz w:val="18"/>
              </w:rPr>
              <w:t>M14</w:t>
            </w:r>
          </w:p>
        </w:tc>
        <w:tc>
          <w:tcPr>
            <w:tcW w:type="dxa" w:w="8640"/>
            <w:vAlign w:val="top"/>
          </w:tcPr>
          <w:p>
            <w:pPr>
              <w:pStyle w:val="TableText"/>
              <w:keepNext w:val="0"/>
              <w:widowControl/>
            </w:pPr>
            <w:r>
              <w:rPr>
                <w:rFonts w:ascii="Lato" w:hAnsi="Lato"/>
                <w:b w:val="0"/>
                <w:color w:val="25323A"/>
                <w:sz w:val="18"/>
              </w:rPr>
              <w:t>Uploaded kb3d_americanneighborhoods.zip and local archive inspection: material/texture/source-file inventory, not a rendered integration test.</w:t>
            </w:r>
          </w:p>
        </w:tc>
      </w:tr>
      <w:tr>
        <w:trPr>
          <w:cantSplit/>
        </w:trPr>
        <w:tc>
          <w:tcPr>
            <w:tcW w:type="dxa" w:w="1224"/>
            <w:vAlign w:val="top"/>
            <w:shd w:fill="F6F8F9"/>
          </w:tcPr>
          <w:p>
            <w:pPr>
              <w:pStyle w:val="TableText"/>
              <w:keepNext w:val="0"/>
              <w:widowControl/>
            </w:pPr>
            <w:r>
              <w:rPr>
                <w:sz w:val="18"/>
              </w:rPr>
              <w:t>D15 / D15T / V03</w:t>
            </w:r>
          </w:p>
        </w:tc>
        <w:tc>
          <w:tcPr>
            <w:tcW w:type="dxa" w:w="8640"/>
            <w:vAlign w:val="top"/>
            <w:shd w:fill="F6F8F9"/>
          </w:tcPr>
          <w:p>
            <w:pPr>
              <w:pStyle w:val="TableText"/>
              <w:keepNext w:val="0"/>
              <w:widowControl/>
            </w:pPr>
            <w:r>
              <w:rPr>
                <w:sz w:val="18"/>
              </w:rPr>
              <w:t>15 September handoff plus subsequent topology/layout session and Visual Direction v0.3: approved Topology V3, Basic Structural Schematic V2, branch/frontage refinements, open-threshold policy and full-wing greybox milestone. Design evidence only; no Godot greybox run.</w:t>
            </w:r>
          </w:p>
        </w:tc>
      </w:tr>
      <w:tr>
        <w:trPr>
          <w:cantSplit/>
        </w:trPr>
        <w:tc>
          <w:tcPr>
            <w:tcW w:type="dxa" w:w="1224"/>
            <w:vAlign w:val="top"/>
            <w:shd w:fill="F6F8F9"/>
          </w:tcPr>
          <w:p>
            <w:pPr>
              <w:pStyle w:val="TableText"/>
            </w:pPr>
            <w:r>
              <w:rPr>
                <w:sz w:val="18"/>
              </w:rPr>
              <w:t>G06 / P06 / V03</w:t>
            </w:r>
          </w:p>
        </w:tc>
        <w:tc>
          <w:tcPr>
            <w:tcW w:type="dxa" w:w="8640"/>
            <w:vAlign w:val="top"/>
            <w:shd w:fill="F6F8F9"/>
          </w:tcPr>
          <w:p>
            <w:pPr>
              <w:pStyle w:val="TableText"/>
            </w:pPr>
            <w:r>
              <w:rPr>
                <w:sz w:val="18"/>
              </w:rPr>
              <w:t>Supplied source documents for this revision; retained historical evidence and pre-service-space wording.</w:t>
            </w:r>
          </w:p>
        </w:tc>
      </w:tr>
      <w:tr>
        <w:trPr>
          <w:cantSplit/>
        </w:trPr>
        <w:tc>
          <w:tcPr>
            <w:tcW w:type="dxa" w:w="1224"/>
            <w:vAlign w:val="top"/>
            <w:shd w:fill="F6F8F9"/>
          </w:tcPr>
          <w:p>
            <w:pPr>
              <w:pStyle w:val="TableText"/>
            </w:pPr>
            <w:r>
              <w:rPr>
                <w:sz w:val="18"/>
              </w:rPr>
              <w:t>G07 / V04</w:t>
            </w:r>
          </w:p>
        </w:tc>
        <w:tc>
          <w:tcPr>
            <w:tcW w:type="dxa" w:w="8640"/>
            <w:vAlign w:val="top"/>
            <w:shd w:fill="F6F8F9"/>
          </w:tcPr>
          <w:p>
            <w:pPr>
              <w:pStyle w:val="TableText"/>
            </w:pPr>
            <w:r>
              <w:rPr>
                <w:sz w:val="18"/>
              </w:rPr>
              <w:t>Prior GDD v0.7 and Visual Direction v0.4: service-space agreement retained; their then-current status and roadmap were updated in G08/V05.</w:t>
            </w:r>
          </w:p>
        </w:tc>
      </w:tr>
      <w:tr>
        <w:trPr>
          <w:cantSplit/>
        </w:trPr>
        <w:tc>
          <w:tcPr>
            <w:tcW w:type="dxa" w:w="1224"/>
            <w:vAlign w:val="top"/>
            <w:shd w:fill="F6F8F9"/>
          </w:tcPr>
          <w:p>
            <w:pPr>
              <w:pStyle w:val="TableText"/>
            </w:pPr>
            <w:r>
              <w:rPr>
                <w:sz w:val="18"/>
              </w:rPr>
              <w:t>W16</w:t>
            </w:r>
          </w:p>
        </w:tc>
        <w:tc>
          <w:tcPr>
            <w:tcW w:type="dxa" w:w="8640"/>
            <w:vAlign w:val="top"/>
            <w:shd w:fill="F6F8F9"/>
          </w:tcPr>
          <w:p>
            <w:pPr>
              <w:pStyle w:val="TableText"/>
            </w:pPr>
            <w:r>
              <w:rPr>
                <w:sz w:val="18"/>
              </w:rPr>
              <w:t>Supplied logistics-wing-greybox-validation.md and user-pasted completion report. Reported first-wing verification; report/capture/final commit identifiers differ and are preserved explicitly.</w:t>
            </w:r>
          </w:p>
        </w:tc>
      </w:tr>
      <w:tr>
        <w:trPr>
          <w:cantSplit/>
        </w:trPr>
        <w:tc>
          <w:tcPr>
            <w:tcW w:type="dxa" w:w="1224"/>
            <w:vAlign w:val="top"/>
            <w:shd w:fill="F6F8F9"/>
          </w:tcPr>
          <w:p>
            <w:pPr>
              <w:pStyle w:val="TableText"/>
            </w:pPr>
            <w:r>
              <w:rPr>
                <w:sz w:val="18"/>
              </w:rPr>
              <w:t>H16</w:t>
            </w:r>
          </w:p>
        </w:tc>
        <w:tc>
          <w:tcPr>
            <w:tcW w:type="dxa" w:w="8640"/>
            <w:vAlign w:val="top"/>
            <w:shd w:fill="F6F8F9"/>
          </w:tcPr>
          <w:p>
            <w:pPr>
              <w:pStyle w:val="TableText"/>
            </w:pPr>
            <w:r>
              <w:rPr>
                <w:sz w:val="18"/>
              </w:rPr>
              <w:t>Developer's 20 round-one observations, expected/actual images and Greybox wing - 1st.mp4. Refine-not-rebuild disposition and geometry correction directions.</w:t>
            </w:r>
          </w:p>
        </w:tc>
      </w:tr>
      <w:tr>
        <w:trPr>
          <w:cantSplit/>
        </w:trPr>
        <w:tc>
          <w:tcPr>
            <w:tcW w:type="dxa" w:w="1224"/>
            <w:vAlign w:val="top"/>
            <w:shd w:fill="F6F8F9"/>
          </w:tcPr>
          <w:p>
            <w:pPr>
              <w:pStyle w:val="TableText"/>
            </w:pPr>
            <w:r>
              <w:rPr>
                <w:sz w:val="18"/>
              </w:rPr>
              <w:t>S16</w:t>
            </w:r>
          </w:p>
        </w:tc>
        <w:tc>
          <w:tcPr>
            <w:tcW w:type="dxa" w:w="8640"/>
            <w:vAlign w:val="top"/>
            <w:shd w:fill="F6F8F9"/>
          </w:tcPr>
          <w:p>
            <w:pPr>
              <w:pStyle w:val="TableText"/>
            </w:pPr>
            <w:r>
              <w:rPr>
                <w:sz w:val="18"/>
              </w:rPr>
              <w:t>Supplied logistics_wing.zip plus archived source-review report/references. Static/source/video review of that snapshot, not a local runtime or Git audit.</w:t>
            </w:r>
          </w:p>
        </w:tc>
      </w:tr>
      <w:tr>
        <w:trPr>
          <w:cantSplit/>
        </w:trPr>
        <w:tc>
          <w:tcPr>
            <w:tcW w:type="dxa" w:w="1224"/>
            <w:vAlign w:val="top"/>
            <w:shd w:fill="F6F8F9"/>
          </w:tcPr>
          <w:p>
            <w:pPr>
              <w:pStyle w:val="TableText"/>
            </w:pPr>
            <w:r>
              <w:rPr>
                <w:sz w:val="18"/>
              </w:rPr>
              <w:t>D16S</w:t>
            </w:r>
          </w:p>
        </w:tc>
        <w:tc>
          <w:tcPr>
            <w:tcW w:type="dxa" w:w="8640"/>
            <w:vAlign w:val="top"/>
            <w:shd w:fill="F6F8F9"/>
          </w:tcPr>
          <w:p>
            <w:pPr>
              <w:pStyle w:val="TableText"/>
            </w:pPr>
            <w:r>
              <w:rPr>
                <w:sz w:val="18"/>
              </w:rPr>
              <w:t>Developer-approved dedicated service spaces, distinct footprint character, three boundaries, open Bunker Ops landing and explicit deferral of furnishing/delivery details.</w:t>
            </w:r>
          </w:p>
        </w:tc>
      </w:tr>
      <w:tr>
        <w:trPr>
          <w:cantSplit/>
        </w:trPr>
        <w:tc>
          <w:tcPr>
            <w:tcW w:type="dxa" w:w="1224"/>
            <w:vAlign w:val="top"/>
            <w:shd w:fill="F6F8F9"/>
          </w:tcPr>
          <w:p>
            <w:pPr>
              <w:pStyle w:val="TableText"/>
            </w:pPr>
            <w:r>
              <w:rPr>
                <w:sz w:val="18"/>
              </w:rPr>
              <w:t>D16P</w:t>
            </w:r>
          </w:p>
        </w:tc>
        <w:tc>
          <w:tcPr>
            <w:tcW w:type="dxa" w:w="8640"/>
            <w:vAlign w:val="top"/>
            <w:shd w:fill="F6F8F9"/>
          </w:tcPr>
          <w:p>
            <w:pPr>
              <w:pStyle w:val="TableText"/>
            </w:pPr>
            <w:r>
              <w:rPr>
                <w:sz w:val="18"/>
              </w:rPr>
              <w:t>Approved earlier session sequence separates low-fidelity spatial/gameplay tests from production-art Foundation Gates.</w:t>
            </w:r>
          </w:p>
        </w:tc>
      </w:tr>
      <w:tr>
        <w:trPr>
          <w:cantSplit/>
        </w:trPr>
        <w:tc>
          <w:tcPr>
            <w:tcW w:type="dxa" w:w="1224"/>
            <w:vAlign w:val="top"/>
            <w:shd w:fill="F6F8F9"/>
          </w:tcPr>
          <w:p>
            <w:pPr>
              <w:pStyle w:val="TableText"/>
            </w:pPr>
            <w:r>
              <w:rPr>
                <w:sz w:val="18"/>
              </w:rPr>
              <w:t>W17</w:t>
            </w:r>
          </w:p>
        </w:tc>
        <w:tc>
          <w:tcPr>
            <w:tcW w:type="dxa" w:w="8640"/>
            <w:vAlign w:val="top"/>
            <w:shd w:fill="F6F8F9"/>
          </w:tcPr>
          <w:p>
            <w:pPr>
              <w:pStyle w:val="TableText"/>
            </w:pPr>
            <w:r>
              <w:rPr>
                <w:sz w:val="18"/>
              </w:rPr>
              <w:t>Supplied round01/02/03 and Medical review bundles/reports; final 22 routes, 12 boundaries, 113 classified junction pairs, 33 non-hanging regressions are reported local results.</w:t>
            </w:r>
          </w:p>
        </w:tc>
      </w:tr>
      <w:tr>
        <w:trPr>
          <w:cantSplit/>
        </w:trPr>
        <w:tc>
          <w:tcPr>
            <w:tcW w:type="dxa" w:w="1224"/>
            <w:vAlign w:val="top"/>
            <w:shd w:fill="F6F8F9"/>
          </w:tcPr>
          <w:p>
            <w:pPr>
              <w:pStyle w:val="TableText"/>
            </w:pPr>
            <w:r>
              <w:rPr>
                <w:sz w:val="18"/>
              </w:rPr>
              <w:t>H17 / A17</w:t>
            </w:r>
          </w:p>
        </w:tc>
        <w:tc>
          <w:tcPr>
            <w:tcW w:type="dxa" w:w="8640"/>
            <w:vAlign w:val="top"/>
            <w:shd w:fill="F6F8F9"/>
          </w:tcPr>
          <w:p>
            <w:pPr>
              <w:pStyle w:val="TableText"/>
            </w:pPr>
            <w:r>
              <w:rPr>
                <w:sz w:val="18"/>
              </w:rPr>
              <w:t>Developer acceptance after Medical tuning plus the 17 September acceptance MD/static-check JSON. Human spatial promotion; zero non-Medical saved-scene differences in the scoped comparison.</w:t>
            </w:r>
          </w:p>
        </w:tc>
      </w:tr>
      <w:tr>
        <w:trPr>
          <w:cantSplit/>
        </w:trPr>
        <w:tc>
          <w:tcPr>
            <w:tcW w:type="dxa" w:w="1224"/>
            <w:vAlign w:val="top"/>
            <w:shd w:fill="F6F8F9"/>
          </w:tcPr>
          <w:p>
            <w:pPr>
              <w:pStyle w:val="TableText"/>
            </w:pPr>
            <w:r>
              <w:rPr>
                <w:sz w:val="18"/>
              </w:rPr>
              <w:t>D16-R02</w:t>
            </w:r>
          </w:p>
        </w:tc>
        <w:tc>
          <w:tcPr>
            <w:tcW w:type="dxa" w:w="8640"/>
            <w:vAlign w:val="top"/>
            <w:shd w:fill="F6F8F9"/>
          </w:tcPr>
          <w:p>
            <w:pPr>
              <w:pStyle w:val="TableText"/>
            </w:pPr>
            <w:r>
              <w:rPr>
                <w:sz w:val="18"/>
              </w:rPr>
              <w:t>Approved removal of Workshop abandoned continuation and deferral of later opportunistic stubs away from service spaces.</w:t>
            </w:r>
          </w:p>
        </w:tc>
      </w:tr>
      <w:tr>
        <w:trPr>
          <w:cantSplit/>
        </w:trPr>
        <w:tc>
          <w:tcPr>
            <w:tcW w:type="dxa" w:w="1224"/>
            <w:vAlign w:val="top"/>
            <w:shd w:fill="F6F8F9"/>
          </w:tcPr>
          <w:p>
            <w:pPr>
              <w:pStyle w:val="TableText"/>
            </w:pPr>
            <w:r>
              <w:rPr>
                <w:sz w:val="18"/>
              </w:rPr>
              <w:t>D17B</w:t>
            </w:r>
          </w:p>
        </w:tc>
        <w:tc>
          <w:tcPr>
            <w:tcW w:type="dxa" w:w="8640"/>
            <w:vAlign w:val="top"/>
            <w:shd w:fill="F6F8F9"/>
          </w:tcPr>
          <w:p>
            <w:pPr>
              <w:pStyle w:val="TableText"/>
            </w:pPr>
            <w:r>
              <w:rPr>
                <w:sz w:val="18"/>
              </w:rPr>
              <w:t>17 September developer request: repository/documentation stability and synchronization, then seeded functional storage in the wing, then Receiving. Preserve original main scene intact.</w:t>
            </w:r>
          </w:p>
        </w:tc>
      </w:tr>
      <w:tr>
        <w:trPr>
          <w:cantSplit/>
        </w:trPr>
        <w:tc>
          <w:tcPr>
            <w:tcW w:type="dxa" w:w="1224"/>
            <w:vAlign w:val="top"/>
            <w:shd w:fill="F6F8F9"/>
          </w:tcPr>
          <w:p>
            <w:pPr>
              <w:pStyle w:val="TableText"/>
            </w:pPr>
            <w:r>
              <w:rPr>
                <w:sz w:val="18"/>
              </w:rPr>
              <w:t>R17</w:t>
            </w:r>
          </w:p>
        </w:tc>
        <w:tc>
          <w:tcPr>
            <w:tcW w:type="dxa" w:w="8640"/>
            <w:vAlign w:val="top"/>
            <w:shd w:fill="F6F8F9"/>
          </w:tcPr>
          <w:p>
            <w:pPr>
              <w:pStyle w:val="TableText"/>
            </w:pPr>
            <w:r>
              <w:rPr>
                <w:sz w:val="18"/>
              </w:rPr>
              <w:t>Read-only GitHub inspection at that checkpoint: the prototype repository listed only main at 8ee62bd3; the then-current tracked root/docs/player/storage bootstrap was inspected. No remote write or local-runtime verification was performed.</w:t>
            </w:r>
          </w:p>
        </w:tc>
      </w:tr>
      <w:tr>
        <w:trPr>
          <w:cantSplit/>
        </w:trPr>
        <w:tc>
          <w:tcPr>
            <w:tcW w:type="dxa" w:w="1224"/>
            <w:vAlign w:val="top"/>
            <w:shd w:fill="F6F8F9"/>
          </w:tcPr>
          <w:p>
            <w:pPr>
              <w:pStyle w:val="TableText"/>
            </w:pPr>
            <w:r>
              <w:rPr>
                <w:sz w:val="18"/>
              </w:rPr>
              <w:t>G08 / V05</w:t>
            </w:r>
          </w:p>
        </w:tc>
        <w:tc>
          <w:tcPr>
            <w:tcW w:type="dxa" w:w="8640"/>
            <w:vAlign w:val="top"/>
            <w:shd w:fill="F6F8F9"/>
          </w:tcPr>
          <w:p>
            <w:pPr>
              <w:pStyle w:val="TableText"/>
            </w:pPr>
            <w:r>
              <w:rPr>
                <w:sz w:val="18"/>
              </w:rPr>
              <w:t>GDD v0.8 and Visual Direction v0.5 were the then-current scope and spatial authorities at the 17 September checkpoint; they did not establish that the next bridge was implemented. GDD v0.9 and Visual Direction v0.6 later superseded that checkpoint on 20 September; the current companions are GDD v0.10 and Visual Direction v0.7.</w:t>
            </w:r>
          </w:p>
        </w:tc>
      </w:tr>
      <w:tr>
        <w:trPr>
          <w:cantSplit/>
        </w:trPr>
        <w:tc>
          <w:tcPr>
            <w:tcW w:type="dxa" w:w="1224"/>
            <w:vAlign w:val="center"/>
            <w:shd w:fill="F6F8F9"/>
          </w:tcPr>
          <w:p>
            <w:r>
              <w:t>SA20</w:t>
            </w:r>
          </w:p>
        </w:tc>
        <w:tc>
          <w:tcPr>
            <w:tcW w:type="dxa" w:w="8640"/>
            <w:vAlign w:val="center"/>
            <w:shd w:fill="F6F8F9"/>
          </w:tcPr>
          <w:p>
            <w:r>
              <w:t>docs/testing/review-scene-supply-reuse-validation.md and docs/testing/modular-rack-authoring-validation.md: promoted review supply reuse, reusable rack workflow, Rack02 calibration and bounded scope.</w:t>
            </w:r>
          </w:p>
        </w:tc>
      </w:tr>
      <w:tr>
        <w:trPr>
          <w:cantSplit/>
        </w:trPr>
        <w:tc>
          <w:tcPr>
            <w:tcW w:type="dxa" w:w="1224"/>
            <w:vAlign w:val="center"/>
            <w:shd w:fill="F6F8F9"/>
          </w:tcPr>
          <w:p>
            <w:r>
              <w:t>OZ21</w:t>
            </w:r>
          </w:p>
        </w:tc>
        <w:tc>
          <w:tcPr>
            <w:tcW w:type="dxa" w:w="8640"/>
            <w:vAlign w:val="center"/>
            <w:shd w:fill="F6F8F9"/>
          </w:tcPr>
          <w:p>
            <w:r>
              <w:t>docs/testing/storage-unit-orientation-zoning-validation.md and its approved design spec: promoted four-state unit Front, semantic zoning mapping, persistence and physical-grid preservation.</w:t>
            </w:r>
          </w:p>
        </w:tc>
      </w:tr>
      <w:tr>
        <w:trPr>
          <w:cantSplit/>
        </w:trPr>
        <w:tc>
          <w:tcPr>
            <w:tcW w:type="dxa" w:w="1224"/>
            <w:vAlign w:val="center"/>
            <w:shd w:fill="F6F8F9"/>
          </w:tcPr>
          <w:p>
            <w:r>
              <w:t>CP21</w:t>
            </w:r>
          </w:p>
        </w:tc>
        <w:tc>
          <w:tcPr>
            <w:tcW w:type="dxa" w:w="8640"/>
            <w:vAlign w:val="center"/>
            <w:shd w:fill="F6F8F9"/>
          </w:tcPr>
          <w:p>
            <w:r>
              <w:t>docs/testing/canonical-item-storage-pose-validation.md and its approved design spec: canonical +Z Front, packing separation, footprint parity, workbench correction and final catalogue reconciliation.</w:t>
            </w:r>
          </w:p>
        </w:tc>
      </w:tr>
      <w:tr>
        <w:trPr>
          <w:cantSplit/>
        </w:trPr>
        <w:tc>
          <w:tcPr>
            <w:tcW w:type="dxa" w:w="1224"/>
            <w:vAlign w:val="center"/>
            <w:shd w:fill="F6F8F9"/>
          </w:tcPr>
          <w:p>
            <w:r>
              <w:t>M21</w:t>
            </w:r>
          </w:p>
        </w:tc>
        <w:tc>
          <w:tcPr>
            <w:tcW w:type="dxa" w:w="8640"/>
            <w:vAlign w:val="center"/>
            <w:shd w:fill="F6F8F9"/>
          </w:tcPr>
          <w:p>
            <w:r>
              <w:t>Synchronized remote main close-out reference ac335d5ccf8d3e519f1025d26ea12b971c3820d6.</w:t>
            </w:r>
          </w:p>
        </w:tc>
      </w:tr>
    </w:tbl>
    <w:p>
      <w:pPr>
        <w:spacing w:after="60" w:before="0" w:line="40" w:lineRule="exact"/>
      </w:pPr>
      <w:r>
        <w:rPr>
          <w:sz w:val="4"/>
        </w:rPr>
      </w:r>
    </w:p>
    <w:p>
      <w:pPr>
        <w:pStyle w:val="Heading2"/>
        <w:widowControl/>
      </w:pPr>
      <w:r>
        <w:t>21.3 Repo-local evidence paths</w:t>
      </w:r>
    </w:p>
    <w:p>
      <w:pPr>
        <w:pStyle w:val="SourceNote"/>
        <w:widowControl/>
      </w:pPr>
      <w:r>
        <w:t>Receiving design: docs/superpowers/specs/2026-09-12-receiving-elevator-mvp-design.md. Stage A plan: docs/superpowers/plans/2026-09-12-receiving-elevator-stage-a-implementation-plan.md.</w:t>
      </w:r>
    </w:p>
    <w:p>
      <w:pPr>
        <w:pStyle w:val="SourceNote"/>
        <w:widowControl/>
      </w:pPr>
      <w:r>
        <w:t>Validation records: docs/testing/receiving-elevator-stage-a-validation.md; docs/testing/environment-asset-relocation-validation.md; docs/testing/receiving-elevator-stage-b-pass1-shell-validation.md.</w:t>
      </w:r>
    </w:p>
    <w:p>
      <w:pPr>
        <w:pStyle w:val="SourceNote"/>
      </w:pPr>
      <w:r>
        <w:t>Current accepted wing: docs/testing/logistics-wing-greybox-medical-tuning-validation.md and the separate 17 September acceptance record. Historical first/round01/round02/round03 reports remain unchanged. Final source/evidence aeb1ef2; reported final docs 8d64086. Archive hashes and evidence paths are recorded in §23.</w:t>
      </w:r>
    </w:p>
    <w:p>
      <w:pPr>
        <w:pStyle w:val="SourceNote"/>
        <w:widowControl/>
      </w:pPr>
      <w:r>
        <w:t>Historical player evidence: docs/testing/catalogue-scale-deterministic-stacking-stress-test.md; docs/testing/deterministic-support-stacking-playtest.md; docs/testing/singleton-shelf-vertical-clearance-follow-up.md; docs/testing/singleton-shelf-vertical-clearance-fix-playtest.md.</w:t>
      </w:r>
    </w:p>
    <w:p>
      <w:pPr/>
      <w:r>
        <w:t>Current storage-authoring evidence: docs/testing/review-scene-supply-reuse-validation.md; docs/testing/modular-rack-authoring-validation.md; docs/testing/storage-unit-orientation-zoning-validation.md; docs/testing/canonical-item-storage-pose-validation.md. Current designs: docs/superpowers/specs/2026-09-20-modular-rack-authoring-design.md; docs/superpowers/specs/2026-09-20-storage-unit-orientation-zoning-basis-design.md; docs/superpowers/specs/2026-09-21-canonical-item-storage-pose-shelf-front-alignment-design.md.</w:t>
      </w:r>
    </w:p>
    <w:p>
      <w:pPr>
        <w:pStyle w:val="Heading1"/>
        <w:pageBreakBefore w:val="0"/>
      </w:pPr>
      <w:r>
        <w:t>22. Historical first-wing review and service-space revision</w:t>
      </w:r>
    </w:p>
    <w:p>
      <w:pPr>
        <w:pStyle w:val="Heading2"/>
      </w:pPr>
      <w:r>
        <w:t>22.1 Reported implementation and verification</w:t>
      </w:r>
    </w:p>
    <w:p>
      <w:r>
        <w:t>The supplied report identifies local main/origin base 8ee62bd3bc4f23918717517e066d4c6a8cb565df and branch codex/logistics-wing-greybox. It states implementation verified through 7ba27a5 and captures refreshed at 21a2dba. The developer supplied final handoff commit d81783f. These are distinct evidence anchors; the archive has no Git metadata and does not independently establish their correspondence. No branch was pushed or merged according to the delivery report. [W16]</w:t>
      </w:r>
    </w:p>
    <w:p>
      <w:r>
        <w:t>Reported checks: 33/33 non-hanging regression scripts, 17/17 controller-driven routes and 7/7 sustained-input boundary checks, parser/editor and independent/default-scene smoke checks. The known long-running audit reproduced three pre-existing assertions before bounded termination. These are reported results, not fresh test executions for this document. The original main scene, shared controller, default launch and rejected Receiving branch were reported unchanged.</w:t>
      </w:r>
    </w:p>
    <w:p>
      <w:r>
        <w:t>Reported walk measurements include Receiving-to-Sorting 5.883 s, Sorting-to-Bunker Ops 19.983 s, and C-to-D 2.833 s through the secondary opening versus 4.600 s via the primary spine with common endpoints. These belong to the first-pass geometry, not tuned targets for the revised wing. [W16]</w:t>
      </w:r>
    </w:p>
    <w:p>
      <w:pPr>
        <w:pStyle w:val="Heading2"/>
      </w:pPr>
      <w:r>
        <w:t>22.2 Human round-one disposition</w:t>
      </w:r>
    </w:p>
    <w:p>
      <w:pPr>
        <w:pStyle w:val="Callout"/>
      </w:pPr>
      <w:r>
        <w:t>HISTORICAL ROUND-ONE VERDICT: REVISE, NOT REBUILD. The developer confirmed a complete playable wing, but shapes, orientation, enclosure, openings and service spaces required correction. This paragraph records that checkpoint; current final acceptance is in §23. [H16]</w:t>
      </w:r>
    </w:p>
    <w:p>
      <w:r>
        <w:t>The correction scope includes freight enclosure and room-wall separation; meaningful Receiving/Backlog/Sorting thresholds; Dispatch elongation; a deeper Sorting work pocket; Workshop footprint; Salvager reveal depth; differentiated galleries and A/B openings; a broader Storage spine; selective core sightlines; Kitchen-from-B-east routing; narrower Incinerator; clean dog-leg; a door-sized deeper closure; and complete walls/ceiling transitions. Percentage estimates are qualitative sizing direction, not uniform scale instructions. [H16]</w:t>
      </w:r>
    </w:p>
    <w:p>
      <w:pPr>
        <w:pStyle w:val="Heading2"/>
      </w:pPr>
      <w:r>
        <w:t>22.3 Source / recording review: separate from runtime proof</w:t>
      </w:r>
    </w:p>
    <w:p>
      <w:r>
        <w:t>The prior archived-source review inspected three GDScript files and five scenes and sampled the approximately 4m42s walkthrough recording. Its static comparison found all 196 generated boxes matched saved positions/sizes and their corresponding colliders. That establishes agreement within the supplied snapshot, not complete enclosure, correct design or a new Godot pass. The external shared scripts, project settings and test suite were not part of that source archive. [S16]</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Finding in supplied snapshot</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Implication for correction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Missing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Receiving ceiling-step upper strip, Kitchen cross-leg closing wall and dog-leg return are absent geometry; do not hide gaps through lighting or camera changes.</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Shared-wall ownership</w:t>
            </w:r>
          </w:p>
        </w:tc>
        <w:tc>
          <w:tcPr>
            <w:tcW w:type="dxa" w:w="7004"/>
            <w:vAlign w:val="top"/>
            <w:shd w:fill="FFFFFF"/>
            <w:tcMar>
              <w:top w:w="85" w:type="dxa"/>
              <w:left w:w="85" w:type="dxa"/>
              <w:bottom w:w="85" w:type="dxa"/>
              <w:right w:w="85" w:type="dxa"/>
            </w:tcMar>
          </w:tcPr>
          <w:p>
            <w:pPr>
              <w:spacing w:after="60" w:before="0"/>
            </w:pPr>
            <w:r>
              <w:rPr>
                <w:rFonts w:ascii="Lato" w:hAnsi="Lato"/>
                <w:sz w:val="18"/>
              </w:rPr>
              <w:t>25 collinear overlapping wall pairs were reported. A-east/MedicalWest, B-west/MedicalEast and B-east/KitchenSouthWest duplicate meshes and collision. An opening in one owner can remain blocked by the other.</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Frontage representation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Medical/Kitchen/Workshop route floors end at closure masses without the expected wider support-room floor. Ops does have playable terminal floor; its proportions/closure still require revision.</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Capture aspect ratio</w:t>
            </w:r>
          </w:p>
        </w:tc>
        <w:tc>
          <w:tcPr>
            <w:tcW w:type="dxa" w:w="7004"/>
            <w:vAlign w:val="top"/>
            <w:shd w:fill="FFFFFF"/>
            <w:tcMar>
              <w:top w:w="85" w:type="dxa"/>
              <w:left w:w="85" w:type="dxa"/>
              <w:bottom w:w="85" w:type="dxa"/>
              <w:right w:w="85" w:type="dxa"/>
            </w:tcMar>
          </w:tcPr>
          <w:p>
            <w:pPr>
              <w:spacing w:after="60" w:before="0"/>
            </w:pPr>
            <w:r>
              <w:rPr>
                <w:rFonts w:ascii="Lato" w:hAnsi="Lato"/>
                <w:sz w:val="18"/>
              </w:rPr>
              <w:t>1920x1080 images were resized to 480x360 tiles. Preserve aspect ratio in new sheets; use full-resolution originals for proportional comparison.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Coordinate-driven construction</w:t>
            </w:r>
          </w:p>
        </w:tc>
        <w:tc>
          <w:tcPr>
            <w:tcW w:type="dxa" w:w="7004"/>
            <w:vAlign w:val="top"/>
            <w:shd w:fill="F3F5F6"/>
            <w:tcMar>
              <w:top w:w="85" w:type="dxa"/>
              <w:left w:w="85" w:type="dxa"/>
              <w:bottom w:w="85" w:type="dxa"/>
              <w:right w:w="85" w:type="dxa"/>
            </w:tcMar>
          </w:tcPr>
          <w:p>
            <w:pPr>
              <w:spacing w:after="60" w:before="0"/>
            </w:pPr>
            <w:r>
              <w:rPr>
                <w:rFonts w:ascii="Lato" w:hAnsi="Lato"/>
                <w:sz w:val="18"/>
              </w:rPr>
              <w:t>Floors, walls, boundaries, proxies, anchors, captures and traversal waypoints have separate literal coordinates. Update the authoritative builder and all affected dependencies coherently; scene-only edits can be overwritten.</w:t>
            </w:r>
          </w:p>
        </w:tc>
      </w:tr>
    </w:tbl>
    <w:p>
      <w:r>
        <w:t>At that first-pass checkpoint, none of these source findings was recorded as repaired. Later correction rounds addressed the construction and fidelity issues, followed by human review; §23 records the final acceptance. Retain the earlier record rather than retroactively changing its tests or verdict.</w:t>
      </w:r>
    </w:p>
    <w:p>
      <w:pPr>
        <w:pStyle w:val="Heading2"/>
      </w:pPr>
      <w:r>
        <w:t>22.4 Approved concept: service spaces rather than corridor frontages</w:t>
      </w:r>
    </w:p>
    <w:p>
      <w:r>
        <w:t>The developer approved dedicated Workshop and Kitchen service rooms, a Medical Supply Anteroom and a more open Bunker Ops Transfer Landing. Each is playable support territory with distinct footprint/arrival character. The staffed operational core stays unseen behind an opaque inner wall. This replaces both the blanket exclusion of all facility interiors and the interpretation that a labelled blocking plane alone is a frontage. [D16S]</w:t>
      </w:r>
    </w:p>
    <w:p>
      <w:r>
        <w:t>Three boundaries are independent: territorial entry is traversable; material ownership changes only on explicit legal submission; the inner playable-world boundary excludes the staffed core. Department support equipment is non-loot by design and supplies no implicit Quartermaster storage or retrievable reserve. The developer considers existing distinct assets sufficient; exact furnishing and delivery choreography remain later milestones.</w:t>
      </w:r>
    </w:p>
    <w:p>
      <w:r>
        <w:t>Reference conflict is explicit: prior prose and the original milestone forbade Kitchen access through Gallery B, while the structural drawing and round-one direction require B-east access. Record the Kitchen-only supersession in the revision plan and tests. A-east/B-west open onto shared circulation, which must be named separately from the protected Medical spur. Do not remove all Medical restrictions or create an unapproved gallery grid. [H16, D16S]</w:t>
      </w:r>
    </w:p>
    <w:p>
      <w:pPr>
        <w:pStyle w:val="Heading2"/>
      </w:pPr>
      <w:r>
        <w:t>22.5 Historical first-pass evidence states and next gate</w:t>
      </w:r>
    </w:p>
    <w:tbl>
      <w:tblPr>
        <w:tblW w:type="auto" w:w="0"/>
        <w:jc w:val="center"/>
        <w:tblLayout w:type="fixed"/>
        <w:tblLook w:firstColumn="1" w:firstRow="1" w:lastColumn="0" w:lastRow="0" w:noHBand="0" w:noVBand="1" w:val="04A0"/>
      </w:tblPr>
      <w:tblGrid>
        <w:gridCol w:w="2859"/>
        <w:gridCol w:w="7004"/>
      </w:tblGrid>
      <w:tr>
        <w:trPr>
          <w:cantSplit/>
          <w:tblHeader/>
        </w:trPr>
        <w:tc>
          <w:tcPr>
            <w:tcW w:type="dxa" w:w="2859"/>
            <w:vAlign w:val="top"/>
            <w:shd w:fill="263943"/>
            <w:tcMar>
              <w:top w:w="85" w:type="dxa"/>
              <w:left w:w="85" w:type="dxa"/>
              <w:bottom w:w="85" w:type="dxa"/>
              <w:right w:w="85" w:type="dxa"/>
            </w:tcMar>
          </w:tcPr>
          <w:p>
            <w:pPr>
              <w:spacing w:after="60" w:before="0"/>
            </w:pPr>
            <w:r>
              <w:rPr>
                <w:rFonts w:ascii="Lato" w:hAnsi="Lato"/>
                <w:b/>
                <w:color w:val="FFFFFF"/>
                <w:sz w:val="18"/>
              </w:rPr>
              <w:t>Evidence class</w:t>
            </w:r>
          </w:p>
        </w:tc>
        <w:tc>
          <w:tcPr>
            <w:tcW w:type="dxa" w:w="7004"/>
            <w:vAlign w:val="top"/>
            <w:shd w:fill="263943"/>
            <w:tcMar>
              <w:top w:w="85" w:type="dxa"/>
              <w:left w:w="85" w:type="dxa"/>
              <w:bottom w:w="85" w:type="dxa"/>
              <w:right w:w="85" w:type="dxa"/>
            </w:tcMar>
          </w:tcPr>
          <w:p>
            <w:pPr>
              <w:spacing w:after="60" w:before="0"/>
            </w:pPr>
            <w:r>
              <w:rPr>
                <w:rFonts w:ascii="Lato" w:hAnsi="Lato"/>
                <w:b/>
                <w:color w:val="FFFFFF"/>
                <w:sz w:val="18"/>
              </w:rPr>
              <w:t>Current disposition</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First-pass implementation</w:t>
            </w:r>
          </w:p>
        </w:tc>
        <w:tc>
          <w:tcPr>
            <w:tcW w:type="dxa" w:w="7004"/>
            <w:vAlign w:val="top"/>
            <w:shd w:fill="F3F5F6"/>
            <w:tcMar>
              <w:top w:w="85" w:type="dxa"/>
              <w:left w:w="85" w:type="dxa"/>
              <w:bottom w:w="85" w:type="dxa"/>
              <w:right w:w="85" w:type="dxa"/>
            </w:tcMar>
          </w:tcPr>
          <w:p>
            <w:pPr>
              <w:spacing w:after="60" w:before="0"/>
            </w:pPr>
            <w:r>
              <w:rPr>
                <w:rFonts w:ascii="Lato" w:hAnsi="Lato"/>
                <w:sz w:val="18"/>
              </w:rPr>
              <w:t>Demonstrated in reported scope and developer walkthrough; not a production-quality claim.</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Reported technical checks</w:t>
            </w:r>
          </w:p>
        </w:tc>
        <w:tc>
          <w:tcPr>
            <w:tcW w:type="dxa" w:w="7004"/>
            <w:vAlign w:val="top"/>
            <w:shd w:fill="FFFFFF"/>
            <w:tcMar>
              <w:top w:w="85" w:type="dxa"/>
              <w:left w:w="85" w:type="dxa"/>
              <w:bottom w:w="85" w:type="dxa"/>
              <w:right w:w="85" w:type="dxa"/>
            </w:tcMar>
          </w:tcPr>
          <w:p>
            <w:pPr>
              <w:spacing w:after="60" w:before="0"/>
            </w:pPr>
            <w:r>
              <w:rPr>
                <w:rFonts w:ascii="Lato" w:hAnsi="Lato"/>
                <w:sz w:val="18"/>
              </w:rPr>
              <w:t>Retained as first-pass scoped results; not independent fresh execution here.</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Human spatial review</w:t>
            </w:r>
          </w:p>
        </w:tc>
        <w:tc>
          <w:tcPr>
            <w:tcW w:type="dxa" w:w="7004"/>
            <w:vAlign w:val="top"/>
            <w:shd w:fill="F3F5F6"/>
            <w:tcMar>
              <w:top w:w="85" w:type="dxa"/>
              <w:left w:w="85" w:type="dxa"/>
              <w:bottom w:w="85" w:type="dxa"/>
              <w:right w:w="85" w:type="dxa"/>
            </w:tcMar>
          </w:tcPr>
          <w:p>
            <w:pPr>
              <w:spacing w:after="60" w:before="0"/>
            </w:pPr>
            <w:r>
              <w:rPr>
                <w:rFonts w:ascii="Lato" w:hAnsi="Lato"/>
                <w:sz w:val="18"/>
              </w:rPr>
              <w:t>Completed round one: REVISE. Corrected layout not yet approved.</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Service-space concept</w:t>
            </w:r>
          </w:p>
        </w:tc>
        <w:tc>
          <w:tcPr>
            <w:tcW w:type="dxa" w:w="7004"/>
            <w:vAlign w:val="top"/>
            <w:shd w:fill="FFFFFF"/>
            <w:tcMar>
              <w:top w:w="85" w:type="dxa"/>
              <w:left w:w="85" w:type="dxa"/>
              <w:bottom w:w="85" w:type="dxa"/>
              <w:right w:w="85" w:type="dxa"/>
            </w:tcMar>
          </w:tcPr>
          <w:p>
            <w:pPr>
              <w:spacing w:after="60" w:before="0"/>
            </w:pPr>
            <w:r>
              <w:rPr>
                <w:rFonts w:ascii="Lato" w:hAnsi="Lato"/>
                <w:sz w:val="18"/>
              </w:rPr>
              <w:t>Approved by developer; new footprint/boundary construction still pending.</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Workflow feasibility</w:t>
            </w:r>
          </w:p>
        </w:tc>
        <w:tc>
          <w:tcPr>
            <w:tcW w:type="dxa" w:w="7004"/>
            <w:vAlign w:val="top"/>
            <w:shd w:fill="F3F5F6"/>
            <w:tcMar>
              <w:top w:w="85" w:type="dxa"/>
              <w:left w:w="85" w:type="dxa"/>
              <w:bottom w:w="85" w:type="dxa"/>
              <w:right w:w="85" w:type="dxa"/>
            </w:tcMar>
          </w:tcPr>
          <w:p>
            <w:pPr>
              <w:spacing w:after="60" w:before="0"/>
            </w:pPr>
            <w:r>
              <w:rPr>
                <w:rFonts w:ascii="Lato" w:hAnsi="Lato"/>
                <w:sz w:val="18"/>
              </w:rPr>
              <w:t>First whole-wing authoring shown, but design translation/self-inspection need improvement. Promotion remains pending.</w:t>
            </w:r>
          </w:p>
        </w:tc>
      </w:tr>
      <w:tr>
        <w:trPr>
          <w:cantSplit/>
        </w:trPr>
        <w:tc>
          <w:tcPr>
            <w:tcW w:type="dxa" w:w="2859"/>
            <w:vAlign w:val="top"/>
            <w:shd w:fill="FFFFFF"/>
            <w:tcMar>
              <w:top w:w="85" w:type="dxa"/>
              <w:left w:w="85" w:type="dxa"/>
              <w:bottom w:w="85" w:type="dxa"/>
              <w:right w:w="85" w:type="dxa"/>
            </w:tcMar>
          </w:tcPr>
          <w:p>
            <w:pPr>
              <w:spacing w:after="60" w:before="0"/>
            </w:pPr>
            <w:r>
              <w:rPr>
                <w:rFonts w:ascii="Lato" w:hAnsi="Lato"/>
                <w:b/>
                <w:sz w:val="18"/>
              </w:rPr>
              <w:t>Revision reliability</w:t>
            </w:r>
          </w:p>
        </w:tc>
        <w:tc>
          <w:tcPr>
            <w:tcW w:type="dxa" w:w="7004"/>
            <w:vAlign w:val="top"/>
            <w:shd w:fill="FFFFFF"/>
            <w:tcMar>
              <w:top w:w="85" w:type="dxa"/>
              <w:left w:w="85" w:type="dxa"/>
              <w:bottom w:w="85" w:type="dxa"/>
              <w:right w:w="85" w:type="dxa"/>
            </w:tcMar>
          </w:tcPr>
          <w:p>
            <w:pPr>
              <w:spacing w:after="60" w:before="0"/>
            </w:pPr>
            <w:r>
              <w:rPr>
                <w:rFonts w:ascii="Lato" w:hAnsi="Lato"/>
                <w:sz w:val="18"/>
              </w:rPr>
              <w:t>Untested until the actual feedback-driven correction is built and checked.</w:t>
            </w:r>
          </w:p>
        </w:tc>
      </w:tr>
      <w:tr>
        <w:trPr>
          <w:cantSplit/>
        </w:trPr>
        <w:tc>
          <w:tcPr>
            <w:tcW w:type="dxa" w:w="2859"/>
            <w:vAlign w:val="top"/>
            <w:shd w:fill="F3F5F6"/>
            <w:tcMar>
              <w:top w:w="85" w:type="dxa"/>
              <w:left w:w="85" w:type="dxa"/>
              <w:bottom w:w="85" w:type="dxa"/>
              <w:right w:w="85" w:type="dxa"/>
            </w:tcMar>
          </w:tcPr>
          <w:p>
            <w:pPr>
              <w:spacing w:after="60" w:before="0"/>
            </w:pPr>
            <w:r>
              <w:rPr>
                <w:rFonts w:ascii="Lato" w:hAnsi="Lato"/>
                <w:b/>
                <w:sz w:val="18"/>
              </w:rPr>
              <w:t>Art / Receiving / balance</w:t>
            </w:r>
          </w:p>
        </w:tc>
        <w:tc>
          <w:tcPr>
            <w:tcW w:type="dxa" w:w="7004"/>
            <w:vAlign w:val="top"/>
            <w:shd w:fill="F3F5F6"/>
            <w:tcMar>
              <w:top w:w="85" w:type="dxa"/>
              <w:left w:w="85" w:type="dxa"/>
              <w:bottom w:w="85" w:type="dxa"/>
              <w:right w:w="85" w:type="dxa"/>
            </w:tcMar>
          </w:tcPr>
          <w:p>
            <w:pPr>
              <w:spacing w:after="60" w:before="0"/>
            </w:pPr>
            <w:r>
              <w:rPr>
                <w:rFonts w:ascii="Lato" w:hAnsi="Lato"/>
                <w:sz w:val="18"/>
              </w:rPr>
              <w:t>No production-art promotion, physical Receiving validation or integrated balance approval claimed.</w:t>
            </w:r>
          </w:p>
        </w:tc>
      </w:tr>
    </w:tbl>
    <w:p>
      <w:r>
        <w:t>At this historical checkpoint, the next gate was correction and human review, with no automatic merge/push/art/gameplay continuation. That restriction applied to the then-unaccepted build. The developer later accepted the final neutral layout and requested separate bookkeeping and integration; current sequencing is recorded in §24. [A17, D17B]</w:t>
      </w:r>
    </w:p>
    <w:p>
      <w:pPr>
        <w:pStyle w:val="Heading1"/>
        <w:pageBreakBefore w:val="0"/>
      </w:pPr>
      <w:r>
        <w:t>23. Greybox promotion and historical transition to seeded gameplay</w:t>
      </w:r>
    </w:p>
    <w:p>
      <w:pPr>
        <w:pStyle w:val="Heading2"/>
      </w:pPr>
      <w:r>
        <w:t>23.1 Correction chronology and accepted checkpoint</w:t>
      </w:r>
    </w:p>
    <w:p>
      <w:pPr/>
      <w:r>
        <w:t>First pass: d81783f. Round one: add47716 (reported final), introducing real service rooms and correcting major route/shape issues; human REVISE remained. Round two: source 13f45122 / final 66b7c18, removing the abandoned stub and completing much of the layout; further specific corrections were requested. Round three: source e2803cd / final f2fb9b0, resolving the outstanding corrections including missing corners. These are reported historical checkpoints, not inferred current HEADs.</w:t>
      </w:r>
    </w:p>
    <w:p>
      <w:pPr/>
      <w:r>
        <w:t>Medical tuning: source/evidence aeb1ef27671f2f07d651e5064b00c3c77a06600b and documentation-only final 8d64086aa02ade21449af24dbc7742748115792c. The exclusive corridor doubled from 5 m to 10 m. The same-size 7.8 x 7.0 m nominal room moved 2.6 m west and 5 m north; its eastern wall continues the corridor, with a south-east entry. The A/B connector remains Main Storage.</w:t>
      </w:r>
    </w:p>
    <w:p>
      <w:pPr>
        <w:pStyle w:val="Callout"/>
      </w:pPr>
      <w:r>
        <w:t>HUMAN VERDICT: PROMOTE THE NEUTRAL WORKING SPATIAL BASELINE. The developer confirmed Medical was built and placed exactly as requested and identified no other visual changes or regressions. This closes the previous correction gate; it does not certify final furnishing, physical loot behaviour, production art or economy balance.</w:t>
      </w:r>
    </w:p>
    <w:p>
      <w:pPr>
        <w:pStyle w:val="Heading2"/>
      </w:pPr>
      <w:r>
        <w:t>23.2 Evidence layers and verification limits</w:t>
      </w:r>
    </w:p>
    <w:p>
      <w:pPr>
        <w:keepLines/>
      </w:pPr>
      <w:r>
        <w:t>The accepted Medical bundle reports 22/22 normal-controller routes, 12/12 boundaries, 113 junction pairs with zero unresolved, all three focused suites and 33/33 established non-hanging regressions passing. It retains the bounded legacy audit exception. The final local tree was reported to contain only preserved untracked evidence; no merge/push was performed by that task.</w:t>
      </w:r>
    </w:p>
    <w:p>
      <w:pPr/>
      <w:r>
        <w:t>Independent acceptance review recomputed the archive SHA-256 (ca98bb36be4b4cbb0bc0ef2e60199ca395b35f18920db3693b71f4fb62ca2490), matched all eight source/test hashes, checked bundled JSON consistency, compared the baseline/saved geometry and inspected the final Medical/overview images. Excluding the authorized Medical paths and root metadata, there were zero non-Medical saved-scene differences. These are static archive checks, not a new engine run or a live repository audit.</w:t>
      </w:r>
    </w:p>
    <w:p>
      <w:pPr/>
      <w:r>
        <w:t>Runtime reports written before the developer walkthrough correctly say human review pending. Keep those historical reports intact and attach the new acceptance record; do not edit them to suggest earlier approval. Source/evidence revisions, documentation commits and later integration commits must remain distinguishable.</w:t>
      </w:r>
    </w:p>
    <w:p>
      <w:pPr>
        <w:pStyle w:val="Heading2"/>
      </w:pPr>
      <w:r>
        <w:t>23.3 Production-workflow conclusion</w:t>
      </w:r>
    </w:p>
    <w:p>
      <w:pPr/>
      <w:r>
        <w:t>The human-directed local Codex workflow demonstrated complete neutral scene authoring and eventual convergence on the intended wing. The Medical-only pass demonstrates bounded revision with unchanged neighbouring geometry. Earlier rounds still required substantial human clarification and source-level defect review. The supported conclusion is supervised iterative feasibility, not reliable unattended schematic interpretation or a measured production-time budget.</w:t>
      </w:r>
    </w:p>
    <w:p>
      <w:pPr/>
      <w:r>
        <w:t>Workflow feasibility here means the human-Codex authoring/revision process. It is not facility delivery choreography. Some earlier reports used the latter meaning in their status table; this consolidation corrects the current interpretation without rewriting those reports. Coherent materials, asset composition and detailed furnishing remain for a separate small visual-construction proof.</w:t>
      </w:r>
    </w:p>
    <w:p>
      <w:pPr>
        <w:pStyle w:val="Heading2"/>
      </w:pPr>
      <w:r>
        <w:t>23.4 Historical 17 September repository and documentation close-out</w:t>
      </w:r>
    </w:p>
    <w:p>
      <w:pPr/>
      <w:r>
        <w:t>On 17 September the GitHub connector returned only main at 8ee62bd3bc4f23918717517e066d4c6a8cb565df for Navandis/Sorting-apoc-PROTOTYPE. The accepted wing branch therefore was not present in that remote branch listing. This read-only finding agrees with the developer reports that it remained local. No local checkout or Git object ancestry was available in this chat.</w:t>
      </w:r>
    </w:p>
    <w:p>
      <w:pPr/>
      <w:r>
        <w:t>At the 17 September checkpoint, the developer had requested bookkeeping and publication before new game work. The local close-out was required to verify branch and remote identity, install the then-current documents and acceptance, retain ignored assets/imports and evidence, and synchronize without force or history loss. Section 24 supersedes that pending state and records the later accepted continuing composition and maintenance results.</w:t>
      </w:r>
    </w:p>
    <w:p>
      <w:pPr>
        <w:pStyle w:val="Heading2"/>
      </w:pPr>
      <w:r>
        <w:t>23.5 Historical seeded-storage gate completed before Section 24</w:t>
      </w:r>
    </w:p>
    <w:p>
      <w:pPr/>
      <w:r>
        <w:t>At that checkpoint, the next required step was to bring several existing storage-capable shelves and pre-seeded functional catalogue items into the accepted wing. It was an integration and fixture task, not another storage architecture gate or final furnishing plan. Section 24.1 records the later continuing gameplay and default-entry result.</w:t>
      </w:r>
    </w:p>
    <w:p>
      <w:pPr/>
      <w:r>
        <w:t>The historical bridge requirement preserved the main scene, tunnel room and contents while keeping the neutral review scene available. The later implementation retained main.tscn as the legacy mechanics fixture and promoted the continuing wing separately. The review-player and old bootstrap details below remain evidence of the preflight constraints at that checkpoint. [R17; final bundle review_player.tscn]</w:t>
      </w:r>
    </w:p>
    <w:p>
      <w:pPr/>
      <w:r>
        <w:t>The preferred candidate at that checkpoint was a gameplay wrapper sharing the accepted geometry and established gameplay components, with shelves and seed configuration outside the generated geometry subtree. Section 24.1 records that continuing composition and default entry as accepted. Facility gameplay, production art, abandoned stubs and freight lining remained outside the bridge.</w:t>
      </w:r>
    </w:p>
    <w:p>
      <w:r>
        <w:br/>
      </w:r>
    </w:p>
    <w:p>
      <w:pPr>
        <w:pStyle w:val="Heading1"/>
      </w:pPr>
      <w:r>
        <w:t>24 20 September storage authoring consolidation</w:t>
      </w:r>
    </w:p>
    <w:p>
      <w:pPr>
        <w:pStyle w:val="Heading2"/>
      </w:pPr>
      <w:r>
        <w:t>24.1 Continuing gameplay and default entry</w:t>
      </w:r>
    </w:p>
    <w:p>
      <w:r>
        <w:t>The accepted whole-wing geometry is used by the continuing gameplay composition at res://gameplay/logistics_wing/wing_gameplay.tscn. Godot Run Project enters that scene through UID uid://bljf1nlhijej. The old main.tscn mechanics room and the neutral review scene remain explicit preserved alternatives. The default-entry transition and the developer's authored scene edits are accepted. F6 developer grids remain available and default off; F7 is suppressed in the continuing scene.</w:t>
      </w:r>
    </w:p>
    <w:p>
      <w:pPr>
        <w:pStyle w:val="Heading2"/>
      </w:pPr>
      <w:r>
        <w:t>24.2 Palette and maintenance results</w:t>
      </w:r>
    </w:p>
    <w:p>
      <w:r>
        <w:t>The DevelopmentSetup/SeedItems composition is the current palette authority. The developer accepted the saved manual table and item arrangement with at least one direct editor-authored host for every approved eligible type. The separate twelve-host fixture remains a regression sample. Fuel is present and eligible after the bounded locker and Fuel maintenance; Gloves and Pants remain excluded.</w:t>
      </w:r>
    </w:p>
    <w:p>
      <w:r>
        <w:t>Locker level 2 now fits its measured support at both front and rear edges for the tested identity and legacy scales. The Fuel audit debt and timeout are resolved without redesigning Fuel's gameplay values, pose, footprint, stack roles or Auto Group. The accepted maintenance preserved the authored wing scene, other storage profiles, player and HUD, geometry, data and Receiving.</w:t>
      </w:r>
    </w:p>
    <w:p>
      <w:pPr>
        <w:pStyle w:val="Heading2"/>
      </w:pPr>
      <w:r>
        <w:t>24.3 Shelf and ceiling experiment</w:t>
      </w:r>
    </w:p>
    <w:p>
      <w:r>
        <w:t>The retained A, B and C shelf and ceiling scene established that technical shelf capacity and human usability are different evidence. Storage installation usability includes model geometry, level placement, room placement, approach space, player viewpoint, reach, lighting, target visibility and obstruction. A surface can accept an item technically while remaining difficult to inspect or use manually.</w:t>
      </w:r>
    </w:p>
    <w:p>
      <w:pPr>
        <w:pStyle w:val="ListBullet"/>
      </w:pPr>
      <w:r>
        <w:t>Uniform Y compression of existing multi-level furniture is rejected as a general storage solution.</w:t>
      </w:r>
    </w:p>
    <w:p>
      <w:pPr>
        <w:pStyle w:val="ListBullet"/>
      </w:pPr>
      <w:r>
        <w:t>In the tested corner-mounted modular-rack context, more than three ground-access levels compromised visibility and manual targeting unless the openings became too shallow or squat.</w:t>
      </w:r>
    </w:p>
    <w:p>
      <w:pPr>
        <w:pStyle w:val="ListBullet"/>
      </w:pPr>
      <w:r>
        <w:t>The developer's three-level modular rack is a useful ground-access reference, not a universal production template. SM_Rack01.glb and SM_Rack02.glb remain static review assets without functional StorageSurface nodes.</w:t>
      </w:r>
    </w:p>
    <w:p>
      <w:pPr>
        <w:pStyle w:val="ListBullet"/>
      </w:pPr>
      <w:r>
        <w:t>Open racks may tolerate more depth when approached from several sides. Wall and corner installations generally need shallower usable depth.</w:t>
      </w:r>
    </w:p>
    <w:p>
      <w:pPr>
        <w:pStyle w:val="ListBullet"/>
      </w:pPr>
      <w:r>
        <w:t>Usable-area insets should be evaluated per edge. No single percentage is promoted and useful front-edge capacity should not be removed silently.</w:t>
      </w:r>
    </w:p>
    <w:p>
      <w:pPr>
        <w:pStyle w:val="ListBullet"/>
      </w:pPr>
      <w:r>
        <w:t>Cabinet and opaque storage remain selective. Lighting alone did not make every divided compartment a reliable general-purpose storage backbone.</w:t>
      </w:r>
    </w:p>
    <w:p>
      <w:r>
        <w:t>The 1.80 m eye-height trial helped some upper-level views but did not solve deep shelves or opaque dividers and could worsen low-level viewing. The 2.8 m ceiling looked more proportionate in the tested context. Neither finding changes the production camera or wing ceilings.</w:t>
      </w:r>
    </w:p>
    <w:p>
      <w:pPr>
        <w:pStyle w:val="Heading2"/>
      </w:pPr>
      <w:r>
        <w:t>24.4 Authoring ownership and ladder proof</w:t>
      </w:r>
    </w:p>
    <w:p>
      <w:r>
        <w:t>The developer retains final authority over functional storage model selection, installation placement, unit dimensions, level count and distribution, and ladder availability and placement. Codex may assist with tools, validation, decoration and later synthetic checks.</w:t>
      </w:r>
    </w:p>
    <w:p>
      <w:r>
        <w:t>A fixed shelf-serving ladder is approved for one bounded proof because the current ergonomics evidence justifies testing that option. It is not production-approved. General climbing, jumping, movable or sliding ladders, animations, visible hands, fall systems and shelf-adjustment features remain outside the proof. Player-adjustable shelf levels remain post-release or expansion speculation and did not influence the ladder decision.</w:t>
      </w:r>
    </w:p>
    <w:p>
      <w:pPr>
        <w:pStyle w:val="Heading2"/>
      </w:pPr>
      <w:r>
        <w:t>24.5 Process and next evidence - historical checkpoint superseded by Section 25.7</w:t>
      </w:r>
    </w:p>
    <w:p>
      <w:pPr/>
      <w:r>
        <w:t>29 September supersession: the sequence below was a 20 September checkpoint. §25 records the 21 September storage closure; §§26–30 supersede its later ladder and Receiving gate wording.</w:t>
      </w:r>
    </w:p>
    <w:p>
      <w:r>
        <w:t>docs/AI_WORKING_GUIDELINES.md is the current process authority after the locker and Fuel maintenance post-mortem. It requires one implementer by default, testing matched to risk, existing evidence and commands reused where the state is unchanged, and no new review or evidence framework without a task-specific need.</w:t>
      </w:r>
    </w:p>
    <w:p>
      <w:pPr/>
      <w:r>
        <w:t>1. Review-scene supply reuse.</w:t>
      </w:r>
    </w:p>
    <w:p>
      <w:pPr/>
      <w:r>
        <w:t>2. Reusable functional modular-rack authoring.</w:t>
      </w:r>
    </w:p>
    <w:p>
      <w:pPr/>
      <w:r>
        <w:t>3. Single-rack fixed-ladder proof.</w:t>
      </w:r>
    </w:p>
    <w:p>
      <w:pPr/>
      <w:r>
        <w:t>4. Human ladder decision.</w:t>
      </w:r>
    </w:p>
    <w:p>
      <w:pPr/>
      <w:r>
        <w:t>5. Receiving, unless the storage work exposes another concrete blocker.</w:t>
      </w:r>
    </w:p>
    <w:p>
      <w:pPr/>
      <w:r>
        <w:t>Current supersession, 21 September: review-scene supply reuse, reusable functional ModularRack authoring, Storage Unit Orientation &amp; Zoning Basis and Canonical Item Storage Pose &amp; Shelf-Front Alignment are complete and human-promoted. The single-rack fixed-ladder proof is now the active gate, followed by the human ladder decision and then Receiving unless a concrete storage blocker appears.</w:t>
      </w:r>
    </w:p>
    <w:p>
      <w:r>
        <w:t>This order supersedes the v0.8 record where Fuel reconciliation, seeded storage integration and shelf ergonomics were still pending. This documentation delivery adds no gameplay implementation and does not change ceilings, camera height, gallery furnishing, Receiving, crouch, auto-placement or ladder movement.</w:t>
      </w:r>
    </w:p>
    <w:p>
      <w:pPr>
        <w:pStyle w:val="Heading1"/>
      </w:pPr>
      <w:r>
        <w:t>25. 20-21 September Storage Authoring Foundation closure</w:t>
      </w:r>
    </w:p>
    <w:p>
      <w:r>
        <w:t>This section records the promoted evidence that supersedes the current-status language in Section 24 while leaving earlier checkpoints intact. The synchronized close-out reference is ac335d5ccf8d3e519f1025d26ea12b971c3820d6.</w:t>
      </w:r>
    </w:p>
    <w:p>
      <w:pPr>
        <w:pStyle w:val="Heading2"/>
      </w:pPr>
      <w:r>
        <w:t>25.1 Review-scene supply reuse</w:t>
      </w:r>
    </w:p>
    <w:p>
      <w:r>
        <w:t>The retained shelf ergonomics review now instantiates wing_gameplay.tscn off-tree, detaches its composed DevelopmentSetup and adds only that setup to the active review tree. Authored tables, hosts, transforms, registrar path and wing_seed_v1 identities remain the live palette authority. The cabinet-only sample fixture is no longer active; the cabinet visual remains part of the A/B/C furniture comparison. Automated checks and human review produced PROMOTE.</w:t>
      </w:r>
    </w:p>
    <w:p>
      <w:pPr>
        <w:pStyle w:val="Heading2"/>
      </w:pPr>
      <w:r>
        <w:t>25.2 Reusable ModularRack authoring and Rack02 deck calibration</w:t>
      </w:r>
    </w:p>
    <w:p>
      <w:r>
        <w:t>The reusable base scene is shelf-empty. An editable Levels container accepts ordinary parent-scene-local shelf wrappers, so normal add, duplicate, move and delete operations persist. One root @tool component derives frame geometry, insets, preview, collision, clearance and runtime surfaces. StoragePrototypeManager remains the runtime owner. The three-level starter is a mutable review reference, not a universal standard.</w:t>
      </w:r>
    </w:p>
    <w:tbl>
      <w:tblPr>
        <w:tblW w:type="auto" w:w="0"/>
        <w:tblLook w:firstColumn="1" w:firstRow="1" w:lastColumn="0" w:lastRow="0" w:noHBand="0" w:noVBand="1" w:val="04A0"/>
      </w:tblPr>
      <w:tblGrid>
        <w:gridCol w:w="4931"/>
        <w:gridCol w:w="4931"/>
      </w:tblGrid>
      <w:tr>
        <w:trPr>
          <w:tblHeader w:val="true"/>
        </w:trPr>
        <w:tc>
          <w:tcPr>
            <w:tcW w:type="dxa" w:w="4931"/>
            <w:vAlign w:val="center"/>
          </w:tcPr>
          <w:p>
            <w:r>
              <w:t>Rack02 calibration</w:t>
            </w:r>
          </w:p>
        </w:tc>
        <w:tc>
          <w:tcPr>
            <w:tcW w:type="dxa" w:w="4931"/>
            <w:vAlign w:val="center"/>
          </w:tcPr>
          <w:p>
            <w:r>
              <w:t>Promoted value</w:t>
            </w:r>
          </w:p>
        </w:tc>
      </w:tr>
      <w:tr>
        <w:tc>
          <w:tcPr>
            <w:tcW w:type="dxa" w:w="4931"/>
            <w:vAlign w:val="center"/>
          </w:tcPr>
          <w:p>
            <w:r>
              <w:t>Deck top Y</w:t>
            </w:r>
          </w:p>
        </w:tc>
        <w:tc>
          <w:tcPr>
            <w:tcW w:type="dxa" w:w="4931"/>
            <w:vAlign w:val="center"/>
          </w:tcPr>
          <w:p>
            <w:r>
              <w:t>0.113742 m</w:t>
            </w:r>
          </w:p>
        </w:tc>
      </w:tr>
      <w:tr>
        <w:tc>
          <w:tcPr>
            <w:tcW w:type="dxa" w:w="4931"/>
            <w:vAlign w:val="center"/>
          </w:tcPr>
          <w:p>
            <w:r>
              <w:t>Deck underside Y</w:t>
            </w:r>
          </w:p>
        </w:tc>
        <w:tc>
          <w:tcPr>
            <w:tcW w:type="dxa" w:w="4931"/>
            <w:vAlign w:val="center"/>
          </w:tcPr>
          <w:p>
            <w:r>
              <w:t>0.090407 m</w:t>
            </w:r>
          </w:p>
        </w:tc>
      </w:tr>
      <w:tr>
        <w:tc>
          <w:tcPr>
            <w:tcW w:type="dxa" w:w="4931"/>
            <w:vAlign w:val="center"/>
          </w:tcPr>
          <w:p>
            <w:r>
              <w:t>Deck X</w:t>
            </w:r>
          </w:p>
        </w:tc>
        <w:tc>
          <w:tcPr>
            <w:tcW w:type="dxa" w:w="4931"/>
            <w:vAlign w:val="center"/>
          </w:tcPr>
          <w:p>
            <w:r>
              <w:t>-0.476953864 .. 0.476953864 m</w:t>
            </w:r>
          </w:p>
        </w:tc>
      </w:tr>
      <w:tr>
        <w:tc>
          <w:tcPr>
            <w:tcW w:type="dxa" w:w="4931"/>
            <w:vAlign w:val="center"/>
          </w:tcPr>
          <w:p>
            <w:r>
              <w:t>Deck Z</w:t>
            </w:r>
          </w:p>
        </w:tc>
        <w:tc>
          <w:tcPr>
            <w:tcW w:type="dxa" w:w="4931"/>
            <w:vAlign w:val="center"/>
          </w:tcPr>
          <w:p>
            <w:r>
              <w:t>-1.875163436 .. 1.875163555 m</w:t>
            </w:r>
          </w:p>
        </w:tc>
      </w:tr>
      <w:tr>
        <w:tc>
          <w:tcPr>
            <w:tcW w:type="dxa" w:w="4931"/>
            <w:vAlign w:val="center"/>
          </w:tcPr>
          <w:p>
            <w:r>
              <w:t>Physical thickness</w:t>
            </w:r>
          </w:p>
        </w:tc>
        <w:tc>
          <w:tcPr>
            <w:tcW w:type="dxa" w:w="4931"/>
            <w:vAlign w:val="center"/>
          </w:tcPr>
          <w:p>
            <w:r>
              <w:t>0.023335 m</w:t>
            </w:r>
          </w:p>
        </w:tc>
      </w:tr>
      <w:tr>
        <w:tc>
          <w:tcPr>
            <w:tcW w:type="dxa" w:w="4931"/>
            <w:vAlign w:val="center"/>
          </w:tcPr>
          <w:p>
            <w:r>
              <w:t>Runtime surface origin</w:t>
            </w:r>
          </w:p>
        </w:tc>
        <w:tc>
          <w:tcPr>
            <w:tcW w:type="dxa" w:w="4931"/>
            <w:vAlign w:val="center"/>
          </w:tcPr>
          <w:p>
            <w:r>
              <w:t>-0.012 m relative to wrapper</w:t>
            </w:r>
          </w:p>
        </w:tc>
      </w:tr>
    </w:tbl>
    <w:p>
      <w:r>
        <w:t>The measured physical deck rather than the full rail/bracket AABB anchors the support plane. F6 and the local placement plane align to the gray deck and stay within its calibrated rectangle after per-edge insets and 0.10 m cell quantization.</w:t>
      </w:r>
    </w:p>
    <w:p>
      <w:pPr>
        <w:pStyle w:val="Heading2"/>
      </w:pPr>
      <w:r>
        <w:t>25.3 Storage Unit Orientation and semantic zoning</w:t>
      </w:r>
    </w:p>
    <w:p>
      <w:r>
        <w:t>Orientation is unit-owned. Every surface generated for one unit inherits the same non-null four-state value. The developer authors Front manually; no mesh, wall or viewpoint inference is used.</w:t>
      </w:r>
    </w:p>
    <w:tbl>
      <w:tblPr>
        <w:tblW w:type="auto" w:w="0"/>
        <w:tblLook w:firstColumn="1" w:firstRow="1" w:lastColumn="0" w:lastRow="0" w:noHBand="0" w:noVBand="1" w:val="04A0"/>
      </w:tblPr>
      <w:tblGrid>
        <w:gridCol w:w="1644"/>
        <w:gridCol w:w="1644"/>
        <w:gridCol w:w="1644"/>
        <w:gridCol w:w="1644"/>
        <w:gridCol w:w="1644"/>
        <w:gridCol w:w="1644"/>
      </w:tblGrid>
      <w:tr>
        <w:trPr>
          <w:tblHeader w:val="true"/>
        </w:trPr>
        <w:tc>
          <w:tcPr>
            <w:tcW w:type="dxa" w:w="1644"/>
            <w:vAlign w:val="center"/>
          </w:tcPr>
          <w:p>
            <w:r>
              <w:t>State</w:t>
            </w:r>
          </w:p>
        </w:tc>
        <w:tc>
          <w:tcPr>
            <w:tcW w:type="dxa" w:w="1644"/>
            <w:vAlign w:val="center"/>
          </w:tcPr>
          <w:p>
            <w:r>
              <w:t>Front</w:t>
            </w:r>
          </w:p>
        </w:tc>
        <w:tc>
          <w:tcPr>
            <w:tcW w:type="dxa" w:w="1644"/>
            <w:vAlign w:val="center"/>
          </w:tcPr>
          <w:p>
            <w:r>
              <w:t>Right</w:t>
            </w:r>
          </w:p>
        </w:tc>
        <w:tc>
          <w:tcPr>
            <w:tcW w:type="dxa" w:w="1644"/>
            <w:vAlign w:val="center"/>
          </w:tcPr>
          <w:p>
            <w:r>
              <w:t>Back</w:t>
            </w:r>
          </w:p>
        </w:tc>
        <w:tc>
          <w:tcPr>
            <w:tcW w:type="dxa" w:w="1644"/>
            <w:vAlign w:val="center"/>
          </w:tcPr>
          <w:p>
            <w:r>
              <w:t>Left</w:t>
            </w:r>
          </w:p>
        </w:tc>
        <w:tc>
          <w:tcPr>
            <w:tcW w:type="dxa" w:w="1644"/>
            <w:vAlign w:val="center"/>
          </w:tcPr>
          <w:p>
            <w:r>
              <w:t>Semantic size</w:t>
            </w:r>
          </w:p>
        </w:tc>
      </w:tr>
      <w:tr>
        <w:tc>
          <w:tcPr>
            <w:tcW w:type="dxa" w:w="1644"/>
            <w:vAlign w:val="center"/>
          </w:tcPr>
          <w:p>
            <w:r>
              <w:t>0</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W x D</w:t>
            </w:r>
          </w:p>
        </w:tc>
      </w:tr>
      <w:tr>
        <w:tc>
          <w:tcPr>
            <w:tcW w:type="dxa" w:w="1644"/>
            <w:vAlign w:val="center"/>
          </w:tcPr>
          <w:p>
            <w:r>
              <w:t>1</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D x W</w:t>
            </w:r>
          </w:p>
        </w:tc>
      </w:tr>
      <w:tr>
        <w:tc>
          <w:tcPr>
            <w:tcW w:type="dxa" w:w="1644"/>
            <w:vAlign w:val="center"/>
          </w:tcPr>
          <w:p>
            <w:r>
              <w:t>2</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W x D</w:t>
            </w:r>
          </w:p>
        </w:tc>
      </w:tr>
      <w:tr>
        <w:tc>
          <w:tcPr>
            <w:tcW w:type="dxa" w:w="1644"/>
            <w:vAlign w:val="center"/>
          </w:tcPr>
          <w:p>
            <w:r>
              <w:t>3</w:t>
            </w:r>
          </w:p>
        </w:tc>
        <w:tc>
          <w:tcPr>
            <w:tcW w:type="dxa" w:w="1644"/>
            <w:vAlign w:val="center"/>
          </w:tcPr>
          <w:p>
            <w:r>
              <w:t>-X</w:t>
            </w:r>
          </w:p>
        </w:tc>
        <w:tc>
          <w:tcPr>
            <w:tcW w:type="dxa" w:w="1644"/>
            <w:vAlign w:val="center"/>
          </w:tcPr>
          <w:p>
            <w:r>
              <w:t>+Z</w:t>
            </w:r>
          </w:p>
        </w:tc>
        <w:tc>
          <w:tcPr>
            <w:tcW w:type="dxa" w:w="1644"/>
            <w:vAlign w:val="center"/>
          </w:tcPr>
          <w:p>
            <w:r>
              <w:t>+X</w:t>
            </w:r>
          </w:p>
        </w:tc>
        <w:tc>
          <w:tcPr>
            <w:tcW w:type="dxa" w:w="1644"/>
            <w:vAlign w:val="center"/>
          </w:tcPr>
          <w:p>
            <w:r>
              <w:t>-Z</w:t>
            </w:r>
          </w:p>
        </w:tc>
        <w:tc>
          <w:tcPr>
            <w:tcW w:type="dxa" w:w="1644"/>
            <w:vAlign w:val="center"/>
          </w:tcPr>
          <w:p>
            <w:r>
              <w:t>D x W</w:t>
            </w:r>
          </w:p>
        </w:tc>
      </w:tr>
    </w:tbl>
    <w:p>
      <w:r>
        <w:t>For physical size W x D and semantic coordinates u left-to-right, v back-to-front, the promoted mapping is: state 0 x=u z=v; state 1 x=v z=D-1-u; state 2 x=W-1-u z=D-1-v; state 3 x=W-1-v z=u. The inverse mapping is exact. Zoning always presents Back at top and Front at bottom from authored Front, independent of player viewpoint.</w:t>
      </w:r>
    </w:p>
    <w:p>
      <w:r>
        <w:t>Physical grid, reservations, stacks, zone-cell storage and F6 remain unchanged. Changing orientation metadata reinterprets physical cells semantically; it does not migrate them. Cross-family human review on ModularRack, Metal Shelf and Ventilated Locker produced PROMOTE.</w:t>
      </w:r>
    </w:p>
    <w:p>
      <w:pPr>
        <w:pStyle w:val="Heading2"/>
      </w:pPr>
      <w:r>
        <w:t>25.4 Canonical Item Storage Pose and packing separation</w:t>
      </w:r>
    </w:p>
    <w:p>
      <w:r>
        <w:t>ItemDefinition.storage_rotation_degrees remains the full pitch/yaw/roll correction from untouched imported asset to canonical stored presentation. Canonical item Front is +Z. Runtime applies unit yaw outside authored pose/seating, then applies the existing packing boolean as one additional +90-degree turn.</w:t>
      </w:r>
    </w:p>
    <w:tbl>
      <w:tblPr>
        <w:tblW w:type="auto" w:w="0"/>
        <w:tblLook w:firstColumn="1" w:firstRow="1" w:lastColumn="0" w:lastRow="0" w:noHBand="0" w:noVBand="1" w:val="04A0"/>
      </w:tblPr>
      <w:tblGrid>
        <w:gridCol w:w="2466"/>
        <w:gridCol w:w="2466"/>
        <w:gridCol w:w="2466"/>
        <w:gridCol w:w="2466"/>
      </w:tblGrid>
      <w:tr>
        <w:trPr>
          <w:tblHeader w:val="true"/>
        </w:trPr>
        <w:tc>
          <w:tcPr>
            <w:tcW w:type="dxa" w:w="2466"/>
            <w:vAlign w:val="center"/>
          </w:tcPr>
          <w:p>
            <w:r>
              <w:t>Unit state</w:t>
            </w:r>
          </w:p>
        </w:tc>
        <w:tc>
          <w:tcPr>
            <w:tcW w:type="dxa" w:w="2466"/>
            <w:vAlign w:val="center"/>
          </w:tcPr>
          <w:p>
            <w:r>
              <w:t>Unit Front</w:t>
            </w:r>
          </w:p>
        </w:tc>
        <w:tc>
          <w:tcPr>
            <w:tcW w:type="dxa" w:w="2466"/>
            <w:vAlign w:val="center"/>
          </w:tcPr>
          <w:p>
            <w:r>
              <w:t>Packing false</w:t>
            </w:r>
          </w:p>
        </w:tc>
        <w:tc>
          <w:tcPr>
            <w:tcW w:type="dxa" w:w="2466"/>
            <w:vAlign w:val="center"/>
          </w:tcPr>
          <w:p>
            <w:r>
              <w:t>Packing true</w:t>
            </w:r>
          </w:p>
        </w:tc>
      </w:tr>
      <w:tr>
        <w:tc>
          <w:tcPr>
            <w:tcW w:type="dxa" w:w="2466"/>
            <w:vAlign w:val="center"/>
          </w:tcPr>
          <w:p>
            <w:r>
              <w:t>0</w:t>
            </w:r>
          </w:p>
        </w:tc>
        <w:tc>
          <w:tcPr>
            <w:tcW w:type="dxa" w:w="2466"/>
            <w:vAlign w:val="center"/>
          </w:tcPr>
          <w:p>
            <w:r>
              <w:t>+Z</w:t>
            </w:r>
          </w:p>
        </w:tc>
        <w:tc>
          <w:tcPr>
            <w:tcW w:type="dxa" w:w="2466"/>
            <w:vAlign w:val="center"/>
          </w:tcPr>
          <w:p>
            <w:r>
              <w:t>2x1 / 0 degrees</w:t>
            </w:r>
          </w:p>
        </w:tc>
        <w:tc>
          <w:tcPr>
            <w:tcW w:type="dxa" w:w="2466"/>
            <w:vAlign w:val="center"/>
          </w:tcPr>
          <w:p>
            <w:r>
              <w:t>1x2 / 90 degrees</w:t>
            </w:r>
          </w:p>
        </w:tc>
      </w:tr>
      <w:tr>
        <w:tc>
          <w:tcPr>
            <w:tcW w:type="dxa" w:w="2466"/>
            <w:vAlign w:val="center"/>
          </w:tcPr>
          <w:p>
            <w:r>
              <w:t>1</w:t>
            </w:r>
          </w:p>
        </w:tc>
        <w:tc>
          <w:tcPr>
            <w:tcW w:type="dxa" w:w="2466"/>
            <w:vAlign w:val="center"/>
          </w:tcPr>
          <w:p>
            <w:r>
              <w:t>+X</w:t>
            </w:r>
          </w:p>
        </w:tc>
        <w:tc>
          <w:tcPr>
            <w:tcW w:type="dxa" w:w="2466"/>
            <w:vAlign w:val="center"/>
          </w:tcPr>
          <w:p>
            <w:r>
              <w:t>1x2 / 90 degrees</w:t>
            </w:r>
          </w:p>
        </w:tc>
        <w:tc>
          <w:tcPr>
            <w:tcW w:type="dxa" w:w="2466"/>
            <w:vAlign w:val="center"/>
          </w:tcPr>
          <w:p>
            <w:r>
              <w:t>2x1 / 180 degrees</w:t>
            </w:r>
          </w:p>
        </w:tc>
      </w:tr>
      <w:tr>
        <w:tc>
          <w:tcPr>
            <w:tcW w:type="dxa" w:w="2466"/>
            <w:vAlign w:val="center"/>
          </w:tcPr>
          <w:p>
            <w:r>
              <w:t>2</w:t>
            </w:r>
          </w:p>
        </w:tc>
        <w:tc>
          <w:tcPr>
            <w:tcW w:type="dxa" w:w="2466"/>
            <w:vAlign w:val="center"/>
          </w:tcPr>
          <w:p>
            <w:r>
              <w:t>-Z</w:t>
            </w:r>
          </w:p>
        </w:tc>
        <w:tc>
          <w:tcPr>
            <w:tcW w:type="dxa" w:w="2466"/>
            <w:vAlign w:val="center"/>
          </w:tcPr>
          <w:p>
            <w:r>
              <w:t>2x1 / 180 degrees</w:t>
            </w:r>
          </w:p>
        </w:tc>
        <w:tc>
          <w:tcPr>
            <w:tcW w:type="dxa" w:w="2466"/>
            <w:vAlign w:val="center"/>
          </w:tcPr>
          <w:p>
            <w:r>
              <w:t>1x2 / 270 degrees</w:t>
            </w:r>
          </w:p>
        </w:tc>
      </w:tr>
      <w:tr>
        <w:tc>
          <w:tcPr>
            <w:tcW w:type="dxa" w:w="2466"/>
            <w:vAlign w:val="center"/>
          </w:tcPr>
          <w:p>
            <w:r>
              <w:t>3</w:t>
            </w:r>
          </w:p>
        </w:tc>
        <w:tc>
          <w:tcPr>
            <w:tcW w:type="dxa" w:w="2466"/>
            <w:vAlign w:val="center"/>
          </w:tcPr>
          <w:p>
            <w:r>
              <w:t>-X</w:t>
            </w:r>
          </w:p>
        </w:tc>
        <w:tc>
          <w:tcPr>
            <w:tcW w:type="dxa" w:w="2466"/>
            <w:vAlign w:val="center"/>
          </w:tcPr>
          <w:p>
            <w:r>
              <w:t>1x2 / 270 degrees</w:t>
            </w:r>
          </w:p>
        </w:tc>
        <w:tc>
          <w:tcPr>
            <w:tcW w:type="dxa" w:w="2466"/>
            <w:vAlign w:val="center"/>
          </w:tcPr>
          <w:p>
            <w:r>
              <w:t>2x1 / 0 degrees</w:t>
            </w:r>
          </w:p>
        </w:tc>
      </w:tr>
    </w:tbl>
    <w:p>
      <w:r>
        <w:t>The table uses an asymmetric canonical 2x1 Footprint. Physical reservation parity follows the combined unit plus packing turn. Auto-placement remains canonical/front-facing first and packing alternative second. Committed items keep their transform when shelf Front changes; newly placed copies use the new Front. Future save/load must restore placed orientation rather than recompute it.</w:t>
      </w:r>
    </w:p>
    <w:p>
      <w:pPr>
        <w:pStyle w:val="Heading2"/>
      </w:pPr>
      <w:r>
        <w:t>25.5 Pose-authoring tool correction and catalogue-wide human review</w:t>
      </w:r>
    </w:p>
    <w:p>
      <w:r>
        <w:t>The retained fixture is res://gameplay/dev/item_storage_pose/item_storage_pose_authoring.tscn. It edits the assigned external ItemDefinition, uses the runtime StorageVisualPose path and now combines Resource.changed with a bounded editor fingerprint so in-place pitch/yaw/roll and Footprint changes refresh reliably.</w:t>
      </w:r>
    </w:p>
    <w:p>
      <w:r>
        <w:t>The inspector exposes Authored Footprint, Suggested Canonical Footprint, suggestion warning and preview packing Footprint. Suggestion uses canonical posed bounds at 0.10 m per cell with ceil and a one-cell minimum. Apply Suggested Footprint writes x/y only and preserves Footprint z and storage_rotation_degrees. Nothing silently rewrites gameplay metadata or source GLB/FBX transforms.</w:t>
      </w:r>
    </w:p>
    <w:p>
      <w:r>
        <w:t>Final reconciliation: 42 definitions remain present and resolvable; 40 are eligible/current; Gloves loot_000034 and Pants loot_000036 remain blocked. Eligible approvals are 21 DEFAULT_POSE_APPROVED and 19 CUSTOM_POSE_APPROVED; Footprints are 27 GEOMETRY_APPROVED and 13 OVERRIDE_APPROVED. Twenty-six ItemDefinition .tres resources contain saved human pose/Footprint edits, while all 40 eligible items were reviewed. Stack Role, Auto Group, identity and blocked-item decisions remained consistent.</w:t>
      </w:r>
    </w:p>
    <w:p>
      <w:r>
        <w:t>The corrected workbench reduced the full eligible-catalogue pass to roughly 10 minutes versus roughly two hours for the earlier seed-in-game, review, written-instructions and Codex-edit workflow.</w:t>
      </w:r>
    </w:p>
    <w:p>
      <w:pPr>
        <w:pStyle w:val="Heading2"/>
      </w:pPr>
      <w:r>
        <w:t>25.6 Reconciliation, regression findings and known tolerances/debt</w:t>
      </w:r>
    </w:p>
    <w:p>
      <w:r>
        <w:t>The promoted close-out preserved source assets, scale normalization, ItemCatalog references, gameplay scenes, shelf/rack definitions, unit orientation, zoning and Rack02 calibration. The human-approved Book 2x2 override produces a measured 0.289 mm front-edge excursion in the rotated locker boundary fixture, within the documented 0.5 mm visual-bounds tolerance. Fixture position, grid and calibration checks retain their strict 0.02 mm tolerance.</w:t>
      </w:r>
    </w:p>
    <w:p>
      <w:pPr>
        <w:pStyle w:val="ListBullet"/>
      </w:pPr>
      <w:r>
        <w:t>The existing Windows root-certificate-store diagnostic remains environment noise rather than a task blocker.</w:t>
      </w:r>
    </w:p>
    <w:p>
      <w:pPr>
        <w:pStyle w:val="ListBullet"/>
      </w:pPr>
      <w:r>
        <w:t>The dedicated missing-clearance-context warning path remains intentional test coverage.</w:t>
      </w:r>
    </w:p>
    <w:p>
      <w:pPr>
        <w:pStyle w:val="ListBullet"/>
      </w:pPr>
      <w:r>
        <w:t>The scripted editor round-trip may emit scan-aborted/RID cleanup diagnostics at process shutdown; the separate normal editor scan remains clean apart from the certificate diagnostic.</w:t>
      </w:r>
    </w:p>
    <w:p>
      <w:pPr>
        <w:pStyle w:val="ListBullet"/>
      </w:pPr>
      <w:r>
        <w:t>Gloves and Pants remain blocked for source/pose work.</w:t>
      </w:r>
    </w:p>
    <w:p>
      <w:pPr>
        <w:pStyle w:val="ListBullet"/>
      </w:pPr>
      <w:r>
        <w:t>Optional 0/90/180/270 display rotation remains UX debt. Existing packing remains a boolean two-state choice.</w:t>
      </w:r>
    </w:p>
    <w:p>
      <w:pPr>
        <w:pStyle w:val="ListBullet"/>
      </w:pPr>
      <w:r>
        <w:t>Changing unit Front does not migrate physical zone cells. Future save/load must persist placed orientation.</w:t>
      </w:r>
    </w:p>
    <w:p>
      <w:pPr>
        <w:pStyle w:val="Heading2"/>
      </w:pPr>
      <w:r>
        <w:t>25.7 Current gate: fixed-ladder proof</w:t>
      </w:r>
    </w:p>
    <w:p>
      <w:pPr/>
      <w:r>
        <w:t>29 September supersession: this was the active 21 September gate. The proof and real-wing bridge were subsequently human-promoted in the bounded scopes recorded in §26; the gate order below is retained as history.</w:t>
      </w:r>
    </w:p>
    <w:p>
      <w:r>
        <w:t>No ladder implementation is promoted. The active proof targets one fixed floor-position ladder serving selected taller rack(s), not universal ladder coverage. Its purpose is reliable vertical access to additional storage, not perfect visibility or a universal reach solution.</w:t>
      </w:r>
    </w:p>
    <w:p>
      <w:pPr>
        <w:pStyle w:val="ListBullet"/>
      </w:pPr>
      <w:r>
        <w:t>Frontal approach plus forward input begins attach/climb; side-walking through the trigger must not capture.</w:t>
      </w:r>
    </w:p>
    <w:p>
      <w:pPr>
        <w:pStyle w:val="ListBullet"/>
      </w:pPr>
      <w:r>
        <w:t>W/S climbs up/down independent of camera pitch; release holds current height; A/D does not move laterally while attached.</w:t>
      </w:r>
    </w:p>
    <w:p>
      <w:pPr>
        <w:pStyle w:val="ListBullet"/>
      </w:pPr>
      <w:r>
        <w:t>Mouse look remains available for shelf inspection; yaw is clamped relative to the ladder. Exact clamp is Validate/provisional.</w:t>
      </w:r>
    </w:p>
    <w:p>
      <w:pPr>
        <w:pStyle w:val="ListBullet"/>
      </w:pPr>
      <w:r>
        <w:t>A top stop prevents ceiling/camera clipping and does not imply rack-top dismount.</w:t>
      </w:r>
    </w:p>
    <w:p>
      <w:pPr>
        <w:pStyle w:val="ListBullet"/>
      </w:pPr>
      <w:r>
        <w:t>Descending through the bottom releases; continued backward input backs away cleanly with reattach suppression.</w:t>
      </w:r>
    </w:p>
    <w:p>
      <w:pPr>
        <w:pStyle w:val="ListBullet"/>
      </w:pPr>
      <w:r>
        <w:t>The same player body and camera move together; the carried item is preserved.</w:t>
      </w:r>
    </w:p>
    <w:p>
      <w:pPr>
        <w:pStyle w:val="ListBullet"/>
      </w:pPr>
      <w:r>
        <w:t>Selected held-item interaction, pickup, auto/manual placement, rotation and HUD remain available while attached where reachable. Opening modal zoning leaves the player stationary.</w:t>
      </w:r>
    </w:p>
    <w:p>
      <w:pPr>
        <w:pStyle w:val="ListBullet"/>
      </w:pPr>
      <w:r>
        <w:t>Use one climb speed initially. Exact speed, selected installation geometry and human acceptability are Validate/provisional.</w:t>
      </w:r>
    </w:p>
    <w:p>
      <w:pPr>
        <w:pStyle w:val="ListBullet"/>
      </w:pPr>
      <w:r>
        <w:t>No animation, visible hands, extra interact key, sprint modifier, fall/sliding system, general mantling, jumping, general climbing or shelf-top traversal.</w:t>
      </w:r>
    </w:p>
    <w:p>
      <w:pPr>
        <w:pStyle w:val="ListBullet"/>
      </w:pPr>
      <w:r>
        <w:t>A fixed ladder does not solve shelf depth, brace/rung occlusion, rear reach or every low/high shelf ergonomics problem.</w:t>
      </w:r>
    </w:p>
    <w:p>
      <w:r>
        <w:t>Gate order: 1) single-rack fixed-ladder proof; 2) human ladder decision; 3) Receiving unless a concrete storage blocker appears.</w:t>
      </w:r>
    </w:p>
    <w:p>
      <w:pPr>
        <w:pStyle w:val="Heading1"/>
      </w:pPr>
      <w:r>
        <w:t>26. Fixed-ladder proof and wing integration closure</w:t>
      </w:r>
    </w:p>
    <w:p>
      <w:pPr>
        <w:pStyle w:val="Heading2"/>
      </w:pPr>
      <w:r>
        <w:t>26.1 Standalone fixed-line proof</w:t>
      </w:r>
    </w:p>
    <w:p>
      <w:pPr/>
      <w:r>
        <w:t>The single-rack proof implemented an authored FixedLadder with per-instance height, a fixed vertical climb line, coarse player collision and bounded attach, rearm and mouse-look behavior. The same player body and camera climb; deliberate WorldItem pickup, held-item use and StorageSurface interaction remain available through the ladder geometry where reachable. Focused tests, the interaction layer and preservation checks technically verified the architecture. Earlier REVISE rounds corrected bottom rearm and asymmetric visible yaw; the final focused human re-review recorded PROMOTE.</w:t>
      </w:r>
    </w:p>
    <w:p>
      <w:pPr/>
      <w:r>
        <w:t>This promotion approves fixed ladders as authored options for selected taller storage installations. It does not set final ladder art or a universal geometry and reach rule. The original §25.7 active-gate statement is a retained 21 September checkpoint, explicitly superseded by this result.</w:t>
      </w:r>
    </w:p>
    <w:p>
      <w:pPr>
        <w:pStyle w:val="Heading2"/>
      </w:pPr>
      <w:r>
        <w:t>26.2 Gallery B ModularRack plus FixedLadder bridge</w:t>
      </w:r>
    </w:p>
    <w:p>
      <w:pPr/>
      <w:r>
        <w:t>The independent ladder and a scene-local four-level ModularRack were integrated into the normal wing_gameplay.tscn composition in temporary Gallery B. The bridge preserved the existing storage manager and ordinary surface behavior, while allowing the developer to move this rack/ladder installation as a Stage B storage destination. Technical checks passed and the developer promoted the real-wing integration. This bridge did not itself start Receiving work or revalidate the standalone ladder or rack architectures.</w:t>
      </w:r>
    </w:p>
    <w:p>
      <w:pPr>
        <w:pStyle w:val="Heading2"/>
      </w:pPr>
      <w:r>
        <w:t>26.3 Scope boundary</w:t>
      </w:r>
    </w:p>
    <w:p>
      <w:pPr/>
      <w:r>
        <w:t>The accepted fixed-line proof does not authorize universal ladder coverage, general climbing, jumping, mantling, movable or sliding ladders, shelf-top traversal, fall or sliding systems, rung collision, or a final production ladder roster. Ordinary ground-access storage remains important. Installation-specific approach, depth, occlusion, top stop and reach still require review in their eventual furniture contexts.</w:t>
      </w:r>
    </w:p>
    <w:p>
      <w:pPr>
        <w:pStyle w:val="Heading1"/>
      </w:pPr>
      <w:r>
        <w:t>27. Receiving Stage B presentation research and promotion</w:t>
      </w:r>
    </w:p>
    <w:p>
      <w:pPr/>
      <w:r>
        <w:t>The Stage A contract remains upstream authority: Expedition determines and commits the exact durable ItemInstances in a batch. Receiving determines where and how those same items appear and records drain. Presentation may not add filler, omit or replace awkward loot, or bias Expedition output. The following research stages did not themselves change that ownership.</w:t>
      </w:r>
    </w:p>
    <w:p>
      <w:pPr>
        <w:pStyle w:val="Heading2"/>
      </w:pPr>
      <w:r>
        <w:t>27.1 Isolated A/B/C geometry comparison</w:t>
      </w:r>
    </w:p>
    <w:p>
      <w:pPr/>
      <w:r>
        <w:t>The A/B/C deck and barrier geometry comparison was completed as isolated, technically verified research into visibility, cage depth, apron stance and access to lower or rear items. It helped frame later deck dimensions and review reach, but no A/B/C case was promoted as final production geometry. Its proof-only measurements cannot override the later integrated Stage B configuration.</w:t>
      </w:r>
    </w:p>
    <w:p>
      <w:pPr>
        <w:pStyle w:val="Heading2"/>
      </w:pPr>
      <w:r>
        <w:t>27.2 Real-item physics pile proof</w:t>
      </w:r>
    </w:p>
    <w:p>
      <w:pPr/>
      <w:r>
        <w:t>An isolated proof instantiated ordinary catalogue visuals as temporary mesh-derived single-convex-hull rigid bodies, used committed manifests and seeds, settled them out of view, froze them, and reconstructed interactive ordinary WorldItems. It established that hidden settling and frozen presentation can be separated. This was technically useful research, not a successful production presenter. The stricter containment run still recorded out-of-bounds hulls, and the developer observed floating remnants, floor-clipped thin items and awkward support relationships after TAKE.</w:t>
      </w:r>
    </w:p>
    <w:p>
      <w:pPr/>
      <w:r>
        <w:t>Human review chose PIVOT TO ORDERED TAKE-ONLY DECK and rejected the irregular frozen-pile visual direction for production. A support-graph system was explicitly judged disproportionate and should not be designed to rescue this rejected approach. The proof-only 3.5 m reach and its larger cage are historical diagnostics, not current Receiving values.</w:t>
      </w:r>
    </w:p>
    <w:p>
      <w:pPr>
        <w:pStyle w:val="Heading2"/>
      </w:pPr>
      <w:r>
        <w:t>27.3 Deterministic seeded deck presenter</w:t>
      </w:r>
    </w:p>
    <w:p>
      <w:pPr/>
      <w:r>
        <w:t>The promoted Stage B presenter uses a private deterministic layout to reserve and stack the exact committed batch, then exposes ordinary WorldItems for TAKE through the normal pickup and legal StorageStack TAKE, base-promotion and compression paths. The functional usable deck is 3.00 m × 2.00 m; its physical support is 3.10 m × 2.10 m with a 0.05 m non-reservable border. These are the current authored proof values, not immutable shipped elevator dimensions.</w:t>
      </w:r>
    </w:p>
    <w:p>
      <w:pPr/>
      <w:r>
        <w:t>The private presentation surfaces are excluded from ordinary storage registration. The deck offers no PUT, zoning, labels, manual placement, visible grid, F6 storage surface, item ghost or fixture interaction prompt. The normal wing launch does not synthesize a batch; deliveries for review need explicit debug or CLI activation. Technical verification and human re-review promoted this deterministic deck in its tested Stage B scope. The earlier bare-deck 2.1 m Receiving reach remains historical evidence; the fixture-integrated 3.4 m value in §27.4 is current.</w:t>
      </w:r>
    </w:p>
    <w:p>
      <w:pPr>
        <w:pStyle w:val="Heading2"/>
      </w:pPr>
      <w:r>
        <w:t>27.4 Functional freight fixtures</w:t>
      </w:r>
    </w:p>
    <w:p>
      <w:pPr/>
      <w:r>
        <w:t>The subsequent promoted wave added Receiving-only crates and pallets as deterministic freight fixtures on private presentation surfaces. Crates sit at the front, pallets at the rear, and useful loose MainDeck cargo remains between them. No fixture starts empty. A fixture that becomes empty during TAKE remains visibly present and reserved as historical presentation until the delivery closes. Fixture stacks continue ordinary StorageStack behavior; these fixtures never become player storage, PUT targets or loot.</w:t>
      </w:r>
    </w:p>
    <w:p>
      <w:pPr/>
      <w:r>
        <w:t>Human review corrected the front/rear order and measured fixture-integrated access through the production pickup ray. The current Receiving-only fixture TAKE reach is 3.4 m, including the agreed aiming and stance margin. Loose-item reach remains 1.4 m; ordinary storage/manual reach remains 2.3 m. The prior 2.1 m bare-deck value and the rejected pile proof range remain dated measurements, not competing current settings.</w:t>
      </w:r>
    </w:p>
    <w:p>
      <w:pPr>
        <w:pStyle w:val="Heading2"/>
      </w:pPr>
      <w:r>
        <w:t>27.5 Promotion boundary</w:t>
      </w:r>
    </w:p>
    <w:p>
      <w:pPr/>
      <w:r>
        <w:t>The deterministic Stage B deck and freight fixtures are implemented, technically verified and human-promoted in the recorded scope. Stage C gameplay, queued delivery theatre, shutter and audio presentation, full save/journal work and economy-facing obligations remain incomplete. Stage B promotion establishes a playable physical presentation basis; it does not claim the broader Receiving/Elevator feature is finished.</w:t>
      </w:r>
    </w:p>
    <w:p>
      <w:pPr>
        <w:pStyle w:val="Heading1"/>
      </w:pPr>
      <w:r>
        <w:t>28. Environment Authoring Foundation EAF1–EAF4</w:t>
      </w:r>
    </w:p>
    <w:p>
      <w:pPr>
        <w:pStyle w:val="Heading2"/>
      </w:pPr>
      <w:r>
        <w:t>28.1 Why the foundation preceded C1</w:t>
      </w:r>
    </w:p>
    <w:p>
      <w:pPr/>
      <w:r>
        <w:t>The parked C1A asset/prefab-first structural conversion exposed a pipeline blocker: lighting review quality, mesh/material coupling, irregular geometry, narrow material range and no reusable wear path. C1A on codex/receiving-c1a-structural-shell remains technically verified research, parked and unpromoted; its visual decisions are not production authority. The replacement authoring model separates structural shape, surface material, localized finish or wear, and lighting. The EAF milestones proved these owners before EAF5 assembled an isolated Receiving room.</w:t>
      </w:r>
    </w:p>
    <w:p>
      <w:pPr>
        <w:pStyle w:val="Heading2"/>
      </w:pPr>
      <w:r>
        <w:t>28.2 EAF1 material and lighting lookdev</w:t>
      </w:r>
    </w:p>
    <w:p>
      <w:pPr/>
      <w:r>
        <w:t>EAF1 promoted a permanent self-contained Godot lookdev scene with Neutral Calibration and Receiving Target Preview. Geometry, material, camera/FOV, WorldEnvironment, exposure and tonemap stay fixed; switching mode changes only the light rig. The Compatibility renderer, metre-based meters_per_repeat, fixed cameras and deterministic capture manifest make material comparison reproducible. The original three 1K KitBash examples are workflow fixtures, not the final material palette.</w:t>
      </w:r>
    </w:p>
    <w:p>
      <w:pPr/>
      <w:r>
        <w:t>The later WallGrazing hatch was diagnosed with a plain untextured surface and isolated lights: positional shadow-map self-shadowing of large review surfaces caused the shared grid. The promoted bounded fix stops the main review wall, floor, ceiling and column from casting while preserving dedicated block, beam and partial-return shadow casters. The light rigs and material parameters remained fixed. This shadow fix is separate from the later Compatibility triplanar mapping artifact.</w:t>
      </w:r>
    </w:p>
    <w:p>
      <w:pPr>
        <w:pStyle w:val="Heading2"/>
      </w:pPr>
      <w:r>
        <w:t>28.3 EAF2 structural substrate authoring</w:t>
      </w:r>
    </w:p>
    <w:p>
      <w:pPr/>
      <w:r>
        <w:t>EAF2 human-promoted Godot-native parametric pieces with exact metre dimensions and physical thickness, unit roots, deterministic normals, tangents and geometry fingerprints, metre-authored UV1, optional UV rotation/phase and bounded bevel, EAF1 material binding, NONE/SIMPLE collision and a native UV2 unwrap seam. The promoted recipe registry contains rect_solid, wall_with_rect_opening and wall_with_two_rect_openings; the two-opening wall established an incremental extension path rather than a one-off Receiving mesh. UV2 is an authoring seam, not a decision to adopt LightmapGI.</w:t>
      </w:r>
    </w:p>
    <w:p>
      <w:pPr/>
      <w:r>
        <w:t>EAF5 later used rect_solid concealed_faces to omit only construction faces hidden by accepted joins. An empty concealed_faces value still produces the closed solid. This generic extension did not introduce a missing topology or reopen the EAF2 promotion.</w:t>
      </w:r>
    </w:p>
    <w:p>
      <w:pPr>
        <w:pStyle w:val="Heading2"/>
      </w:pPr>
      <w:r>
        <w:t>28.4 EAF3 indexed material source to curated catalog</w:t>
      </w:r>
    </w:p>
    <w:p>
      <w:pPr/>
      <w:r>
        <w:t>The human-promoted EAF3 pipeline uses one configured external material-source root, guarded indexing and source profiles, stable source IDs, actual channel and resolution discovery, triage sheets, selective staging, strong fingerprints and EAF1 PBR review. Human decisions enter a tracked catalog. Approved-spec restaging and query use current fingerprints; STALE and SOURCE_MISSING retain the historical decision without misrepresenting current availability. A basecolor sheet or passing staging test is not a material approval.</w:t>
      </w:r>
    </w:p>
    <w:p>
      <w:pPr/>
      <w:r>
        <w:t>The promoted FAB maintenance extension kept the same root and schema 1, moved the scanner to eaf3a-2, and used KITBASH_PROFILE_V1 revision 1 plus FAB_SURFACE_PROFILE_V1 revision 1. Object-specific or trim warnings keep raw candidates discoverable but exclude them from general structural review sheets by default; they have a separate review path. The original five approved Foundation Mineral materials were a non-exhaustive seed, not the current vocabulary. At EAF5 close-out, the catalog held 30 current APPROVED, 7 DEFERRED and 6 REJECTED entries. Room-role review and selection remain separate human decisions.</w:t>
      </w:r>
    </w:p>
    <w:p>
      <w:pPr>
        <w:pStyle w:val="Heading2"/>
      </w:pPr>
      <w:r>
        <w:t>28.5 UV default and bounded triplanar exception</w:t>
      </w:r>
    </w:p>
    <w:p>
      <w:pPr/>
      <w:r>
        <w:t>Controlled Compatibility captures reproduced a fine grid/crosshatch with built-in triplanar on large surfaces. Raw source textures were not the cause; UV captures removed the artifact, and no small reliable owner fix was found. UV is now the default. Triplanar is explicit opt-in only, requiring a documented reason, large-plane review, corner or multi-axis review and WallGrazing verification. Earlier explicit approved triplanar mappings were not silently rewritten. This is a mapping policy result, distinct from EAF1 positional shadow-map self-shadowing.</w:t>
      </w:r>
    </w:p>
    <w:p>
      <w:pPr>
        <w:pStyle w:val="Heading2"/>
      </w:pPr>
      <w:r>
        <w:t>28.6 EAF4 wear sources, overlays and curation</w:t>
      </w:r>
    </w:p>
    <w:p>
      <w:pPr/>
      <w:r>
        <w:t>The human-promoted EAF4 workflow has a separate guarded wear-source root and index, stable IDs, source triage, masked decals, imperfection masks and Unreal atlas handling. Selective staging uses strong fingerprints. Compatibility-safe mesh overlays support CUTOUT and SOFT_BLEND, physical size and surface offset, normal/roughness response and imperfection modulation; EAF3 material patches and EAF4 source patches serve different material semantics. Diagnostic and real EAF3-context captures support human review. A tracked wear catalog, freshness/restaging and query complete the pipeline.</w:t>
      </w:r>
    </w:p>
    <w:p>
      <w:pPr/>
      <w:r>
        <w:t>The final promoted initial catalog has 12 current APPROVED and 2 DEFERRED sources. Approval is source-level suitability with cause tags, not a mandate to place every source in Receiving. Room placement still needs a plausible cause: traffic or hard-to-clean dust, nearby metal for rust, service moisture for mineral marks, and stress or damage for cracks and spall. The catalog is intentionally non-exhaustive.</w:t>
      </w:r>
    </w:p>
    <w:p>
      <w:pPr>
        <w:pStyle w:val="Heading1"/>
      </w:pPr>
      <w:r>
        <w:t>29. EAF5 Receiving architectural proof</w:t>
      </w:r>
    </w:p>
    <w:p>
      <w:pPr>
        <w:pStyle w:val="Heading2"/>
      </w:pPr>
      <w:r>
        <w:t>29.1 Purpose and authority</w:t>
      </w:r>
    </w:p>
    <w:p>
      <w:pPr/>
      <w:r>
        <w:t>EAF5 was an isolated, dimensionally faithful Receiving architectural proof of EAF1–EAF4 working together. It took accepted dimensions and joins from the wing_gameplay.tscn → wing_environment.tscn → accepted wing_geometry.tscn chain. The production wing scenes, geometry builder and Receiving runtime paths were protected during the proof. Human promotion closed EAF5 as a recipe and pipeline result; the EAF2 proof scene was not installed as the production Receiving room.</w:t>
      </w:r>
    </w:p>
    <w:p>
      <w:pPr>
        <w:pStyle w:val="Heading2"/>
      </w:pPr>
      <w:r>
        <w:t>29.2 Accepted shell and deferred oddity</w:t>
      </w:r>
    </w:p>
    <w:p>
      <w:pPr/>
      <w:r>
        <w:t>The accepted Pass-3A composition v2 contains 14 EAF2 pieces: 13 rect_solid and one wall_with_rect_opening, with zero missing topologies and unit root scale. It preserves a 10.50 × 10.00 m apron, a 5.00 × 7.00 m freight enclosure, 4.20 m clear height and 0.30 m structure. The west freight aperture is 5.00 m full height; Dispatch is 2.40 m full height; the east opening is 3.84 × 3.40 m with a 0.80 m upper closure. Accepted joins use through/butt ownership and concealed construction faces without an EAF5-specific mesh recipe.</w:t>
      </w:r>
    </w:p>
    <w:p>
      <w:pPr/>
      <w:r>
        <w:t>The inaccessible freight/elevator enclosure reads as a visual oddity in this proof. Human close-out explicitly marked it NON-BLOCKING and DEFERRED to C1. EAF5 approval does not certify final architectural furnishing, lighting or production migration.</w:t>
      </w:r>
    </w:p>
    <w:p>
      <w:pPr>
        <w:pStyle w:val="Heading2"/>
      </w:pPr>
      <w:r>
        <w:t>29.3 Material review funnel</w:t>
      </w:r>
    </w:p>
    <w:p>
      <w:pPr/>
      <w:r>
        <w:t>The review path ran from a guarded source shortlist through EAF3B staging, fixed EAF1 PBR comparison, human catalog reconciliation, isolated room-role review, wall/floor pairs, ceiling expansion and complete structural palette review. Thirty-one new shortlisted source candidates received PBR review: 25 new APPROVED, 4 DEFERRED and 2 REJECTED. With the five earlier approved seeds, the current EAF3 catalog at close-out holds 30 APPROVED, 7 DEFERRED and 6 REJECTED. Source approval did not automatically grant a Receiving role; the role narrowing and palette selection were later human judgements.</w:t>
      </w:r>
    </w:p>
    <w:p>
      <w:pPr>
        <w:pStyle w:val="Heading2"/>
      </w:pPr>
      <w:r>
        <w:t>29.4 Final Receiving structural selection</w:t>
      </w:r>
    </w:p>
    <w:p>
      <w:pPr/>
      <w:r>
        <w:t>PRIMARY P01_C02: wall eaf3b_d335d94fd85c2c95c26b6b8b — Dirty Concrete; floor eaf3b_bb32071987faae156ff2d4e8 — Worn Concrete Floor; ceiling eaf3b_6bcd8f817ca2993433e217cc — Shuttered Concrete Wall.</w:t>
      </w:r>
    </w:p>
    <w:p>
      <w:pPr/>
      <w:r>
        <w:t>ALTERNATE P05_C03: wall eaf3b_5a797fbdc766d7e3dc475abf — KB3D_BTL_ConcreteRoughPanelBright; floor eaf3b_bb32071987faae156ff2d4e8 — Worn Concrete Floor; ceiling eaf3b_71edb3fc983ed8f7655d9523 — KB3D_AMC_ConcreteWhite.</w:t>
      </w:r>
    </w:p>
    <w:p>
      <w:pPr/>
      <w:r>
        <w:t>These primary and alternate choices are Receiving-room evidence, not universal bunker palettes. C1 uses their exact catalog IDs through the promoted workflow and may perform room-specific checks without relabeling isolated EAF5 variants as globally approved.</w:t>
      </w:r>
    </w:p>
    <w:p>
      <w:pPr>
        <w:pStyle w:val="Heading2"/>
      </w:pPr>
      <w:r>
        <w:t>29.5 Applied-finish conclusion</w:t>
      </w:r>
    </w:p>
    <w:p>
      <w:pPr/>
      <w:r>
        <w:t>Pass 6A screened material treatments against no-finish controls; Pass 6B tested bounded field and local layouts. Human review retained no layout variant as Receiving base composition. BASE APPLIED FINISH = NONE (NO_FINISH). This does not reject applied finish globally: none of the shortlisted treatments improved this proof room enough to become its base. A small, locally caused finish may later be reviewed in real production context; historical HOLD variants are not promoted presets.</w:t>
      </w:r>
    </w:p>
    <w:p>
      <w:pPr>
        <w:pStyle w:val="Heading2"/>
      </w:pPr>
      <w:r>
        <w:t>29.6 Structural-secondary conclusion</w:t>
      </w:r>
    </w:p>
    <w:p>
      <w:pPr/>
      <w:r>
        <w:t>STRUCTURAL SECONDARY = NONE by default. EAF5 found no need to add a contrasting structural material merely for variation. A later specific architectural condition may justify one, but it needs its own room review rather than inheriting an isolated proof variant.</w:t>
      </w:r>
    </w:p>
    <w:p>
      <w:pPr>
        <w:pStyle w:val="Heading2"/>
      </w:pPr>
      <w:r>
        <w:t>29.7 Generic EAF4 material-patch scale correction</w:t>
      </w:r>
    </w:p>
    <w:p>
      <w:pPr/>
      <w:r>
        <w:t>The Pass 6B layout exposed a generic owner-system bug: EnvironmentMaterialPatch in EAF3_MATERIAL mode used normalized 0–1 QuadMesh UVs at every physical size, breaking EAF3 meters_per_repeat. The promoted correction generates a planar ArrayMesh with exact physical vertices and metre-authored UV extents at root scale Vector3.ONE. EAF4_SOURCE retains its normalized source UV semantics. Focused scale and winding checks verified both paths. This is a generic EAF4 maintenance correction discovered during EAF5, not a Receiving-only workaround.</w:t>
      </w:r>
    </w:p>
    <w:p>
      <w:pPr>
        <w:pStyle w:val="Heading2"/>
      </w:pPr>
      <w:r>
        <w:t>29.8 Causal wear proof and calibration</w:t>
      </w:r>
    </w:p>
    <w:p>
      <w:pPr/>
      <w:r>
        <w:t>EAF5 accepted catalog instantiation, cause-driven placement architecture and a room-instance deep-copy override path. Pass 7 placed candidate leak, crack, dust and rust instances; human review requested composition revision. Pass 7A calibrated selected sources in isolation, but the final EAF5 close-out promoted no L0–L2, D0–D2 or R0–R2 wear variant as a permanent Receiving composition. BASE WEAR PRESET = NONE. EAF4 source approvals remain intact.</w:t>
      </w:r>
    </w:p>
    <w:p>
      <w:pPr/>
      <w:r>
        <w:t>C1 should author local wear after infrastructure, furniture, shelving and pallets, freight barrier/shutter, and room lighting substantially exist. Approved room instances may be placed manually by cause, oriented or mirrored, resized when physical placement justifies it, and locally tuned for opacity/albedo under final lighting and occlusion without mutating catalog approval. Dust or light grime belongs along freight paths, thresholds and hard-to-clean furniture or pallet areas; rust belongs near real metal supports or fittings; water/mineral marks need a pipe, penetration, drain or service cause; crack/spall belongs nearer stressed, recessed or rough service conditions than the maintained apron by default. These are causal review tendencies, not placement quotas.</w:t>
      </w:r>
    </w:p>
    <w:p>
      <w:pPr>
        <w:pStyle w:val="Heading1"/>
      </w:pPr>
      <w:r>
        <w:t>30. Current evidence state and next gate</w:t>
      </w:r>
    </w:p>
    <w:p>
      <w:pPr/>
      <w:r>
        <w:t>This table records the reconciled 30 September state. Its labels distinguish accepted production-facing scope from isolated research and later work. Historical sections above retain the status they had when written.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024"/>
        <w:gridCol w:w="6840"/>
      </w:tblGrid>
      <w:tr>
        <w:trPr>
          <w:cantSplit/>
          <w:tblHeader/>
        </w:trPr>
        <w:tc>
          <w:tcPr>
            <w:tcW w:type="dxa" w:w="3024"/>
            <w:vAlign w:val="top"/>
            <w:shd w:fill="253842"/>
          </w:tcPr>
          <w:p>
            <w:pPr>
              <w:pStyle w:val="TableText"/>
              <w:keepNext/>
              <w:widowControl/>
            </w:pPr>
            <w:r>
              <w:rPr>
                <w:rFonts w:ascii="Lato" w:hAnsi="Lato"/>
                <w:b/>
                <w:color w:val="FFFFFF"/>
                <w:sz w:val="18"/>
              </w:rPr>
              <w:t>Area</w:t>
            </w:r>
          </w:p>
        </w:tc>
        <w:tc>
          <w:tcPr>
            <w:tcW w:type="dxa" w:w="6840"/>
            <w:vAlign w:val="top"/>
            <w:shd w:fill="253842"/>
          </w:tcPr>
          <w:p>
            <w:pPr>
              <w:pStyle w:val="TableText"/>
              <w:keepNext/>
              <w:widowControl/>
            </w:pPr>
            <w:r>
              <w:rPr>
                <w:rFonts w:ascii="Lato" w:hAnsi="Lato"/>
                <w:b/>
                <w:color w:val="FFFFFF"/>
                <w:sz w:val="18"/>
              </w:rPr>
              <w:t>Current evidence state</w:t>
            </w:r>
          </w:p>
        </w:tc>
      </w:tr>
      <w:tr>
        <w:trPr>
          <w:cantSplit/>
        </w:trPr>
        <w:tc>
          <w:tcPr>
            <w:tcW w:type="dxa" w:w="3024"/>
            <w:vAlign w:val="top"/>
          </w:tcPr>
          <w:p>
            <w:pPr>
              <w:pStyle w:val="TableText"/>
              <w:keepNext w:val="0"/>
              <w:widowControl/>
            </w:pPr>
            <w:r>
              <w:rPr>
                <w:rFonts w:ascii="Lato" w:hAnsi="Lato"/>
                <w:b/>
                <w:color w:val="25323A"/>
                <w:sz w:val="18"/>
              </w:rPr>
              <w:t>Storage/content foundation</w:t>
            </w:r>
          </w:p>
        </w:tc>
        <w:tc>
          <w:tcPr>
            <w:tcW w:type="dxa" w:w="6840"/>
            <w:vAlign w:val="top"/>
          </w:tcPr>
          <w:p>
            <w:pPr>
              <w:pStyle w:val="TableText"/>
              <w:keepNext w:val="0"/>
              <w:widowControl/>
            </w:pPr>
            <w:r>
              <w:rPr>
                <w:rFonts w:ascii="Lato" w:hAnsi="Lato"/>
                <w:b w:val="0"/>
                <w:color w:val="25323A"/>
                <w:sz w:val="18"/>
              </w:rPr>
              <w:t>HUMAN-PROMOTED in its recorded interaction and authoring scope.</w:t>
            </w:r>
          </w:p>
        </w:tc>
      </w:tr>
      <w:tr>
        <w:trPr>
          <w:cantSplit/>
        </w:trPr>
        <w:tc>
          <w:tcPr>
            <w:tcW w:type="dxa" w:w="3024"/>
            <w:vAlign w:val="top"/>
            <w:shd w:fill="F6F8F9"/>
          </w:tcPr>
          <w:p>
            <w:pPr>
              <w:pStyle w:val="TableText"/>
              <w:keepNext w:val="0"/>
              <w:widowControl/>
            </w:pPr>
            <w:r>
              <w:rPr>
                <w:rFonts w:ascii="Lato" w:hAnsi="Lato"/>
                <w:b/>
                <w:color w:val="25323A"/>
                <w:sz w:val="18"/>
              </w:rPr>
              <w:t>Fixed ladder</w:t>
            </w:r>
          </w:p>
        </w:tc>
        <w:tc>
          <w:tcPr>
            <w:tcW w:type="dxa" w:w="6840"/>
            <w:vAlign w:val="top"/>
            <w:shd w:fill="F6F8F9"/>
          </w:tcPr>
          <w:p>
            <w:pPr>
              <w:pStyle w:val="TableText"/>
              <w:keepNext w:val="0"/>
              <w:widowControl/>
            </w:pPr>
            <w:r>
              <w:rPr>
                <w:rFonts w:ascii="Lato" w:hAnsi="Lato"/>
                <w:b w:val="0"/>
                <w:color w:val="25323A"/>
                <w:sz w:val="18"/>
              </w:rPr>
              <w:t>HUMAN-PROMOTED for selected authored tall-storage installations.</w:t>
            </w:r>
          </w:p>
        </w:tc>
      </w:tr>
      <w:tr>
        <w:trPr>
          <w:cantSplit/>
        </w:trPr>
        <w:tc>
          <w:tcPr>
            <w:tcW w:type="dxa" w:w="3024"/>
            <w:vAlign w:val="top"/>
          </w:tcPr>
          <w:p>
            <w:pPr>
              <w:pStyle w:val="TableText"/>
              <w:keepNext w:val="0"/>
              <w:widowControl/>
            </w:pPr>
            <w:r>
              <w:rPr>
                <w:rFonts w:ascii="Lato" w:hAnsi="Lato"/>
                <w:b/>
                <w:color w:val="25323A"/>
                <w:sz w:val="18"/>
              </w:rPr>
              <w:t>Wing rack + ladder bridge</w:t>
            </w:r>
          </w:p>
        </w:tc>
        <w:tc>
          <w:tcPr>
            <w:tcW w:type="dxa" w:w="6840"/>
            <w:vAlign w:val="top"/>
          </w:tcPr>
          <w:p>
            <w:pPr>
              <w:pStyle w:val="TableText"/>
              <w:keepNext w:val="0"/>
              <w:widowControl/>
            </w:pPr>
            <w:r>
              <w:rPr>
                <w:rFonts w:ascii="Lato" w:hAnsi="Lato"/>
                <w:b w:val="0"/>
                <w:color w:val="25323A"/>
                <w:sz w:val="18"/>
              </w:rPr>
              <w:t>HUMAN-PROMOTED real-wing Gallery B Stage B destination baseline.</w:t>
            </w:r>
          </w:p>
        </w:tc>
      </w:tr>
      <w:tr>
        <w:trPr>
          <w:cantSplit/>
        </w:trPr>
        <w:tc>
          <w:tcPr>
            <w:tcW w:type="dxa" w:w="3024"/>
            <w:vAlign w:val="top"/>
            <w:shd w:fill="F6F8F9"/>
          </w:tcPr>
          <w:p>
            <w:pPr>
              <w:pStyle w:val="TableText"/>
              <w:keepNext w:val="0"/>
              <w:widowControl/>
            </w:pPr>
            <w:r>
              <w:rPr>
                <w:rFonts w:ascii="Lato" w:hAnsi="Lato"/>
                <w:b/>
                <w:color w:val="25323A"/>
                <w:sz w:val="18"/>
              </w:rPr>
              <w:t>Receiving Stage A</w:t>
            </w:r>
          </w:p>
        </w:tc>
        <w:tc>
          <w:tcPr>
            <w:tcW w:type="dxa" w:w="6840"/>
            <w:vAlign w:val="top"/>
            <w:shd w:fill="F6F8F9"/>
          </w:tcPr>
          <w:p>
            <w:pPr>
              <w:pStyle w:val="TableText"/>
              <w:keepNext w:val="0"/>
              <w:widowControl/>
            </w:pPr>
            <w:r>
              <w:rPr>
                <w:rFonts w:ascii="Lato" w:hAnsi="Lato"/>
                <w:b w:val="0"/>
                <w:color w:val="25323A"/>
                <w:sz w:val="18"/>
              </w:rPr>
              <w:t>IMPLEMENTED / TECHNICALLY VERIFIED upstream lifecycle authority.</w:t>
            </w:r>
          </w:p>
        </w:tc>
      </w:tr>
      <w:tr>
        <w:trPr>
          <w:cantSplit/>
        </w:trPr>
        <w:tc>
          <w:tcPr>
            <w:tcW w:type="dxa" w:w="3024"/>
            <w:vAlign w:val="top"/>
          </w:tcPr>
          <w:p>
            <w:pPr>
              <w:pStyle w:val="TableText"/>
              <w:keepNext w:val="0"/>
              <w:widowControl/>
            </w:pPr>
            <w:r>
              <w:rPr>
                <w:rFonts w:ascii="Lato" w:hAnsi="Lato"/>
                <w:b/>
                <w:color w:val="25323A"/>
                <w:sz w:val="18"/>
              </w:rPr>
              <w:t>Receiving Stage B deterministic presenter</w:t>
            </w:r>
          </w:p>
        </w:tc>
        <w:tc>
          <w:tcPr>
            <w:tcW w:type="dxa" w:w="6840"/>
            <w:vAlign w:val="top"/>
          </w:tcPr>
          <w:p>
            <w:pPr>
              <w:pStyle w:val="TableText"/>
              <w:keepNext w:val="0"/>
              <w:widowControl/>
            </w:pPr>
            <w:r>
              <w:rPr>
                <w:rFonts w:ascii="Lato" w:hAnsi="Lato"/>
                <w:b w:val="0"/>
                <w:color w:val="25323A"/>
                <w:sz w:val="18"/>
              </w:rPr>
              <w:t>IMPLEMENTED / TECHNICALLY VERIFIED / HUMAN-PROMOTED.</w:t>
            </w:r>
          </w:p>
        </w:tc>
      </w:tr>
      <w:tr>
        <w:trPr>
          <w:cantSplit/>
        </w:trPr>
        <w:tc>
          <w:tcPr>
            <w:tcW w:type="dxa" w:w="3024"/>
            <w:vAlign w:val="top"/>
            <w:shd w:fill="F6F8F9"/>
          </w:tcPr>
          <w:p>
            <w:pPr>
              <w:pStyle w:val="TableText"/>
              <w:keepNext w:val="0"/>
              <w:widowControl/>
            </w:pPr>
            <w:r>
              <w:rPr>
                <w:rFonts w:ascii="Lato" w:hAnsi="Lato"/>
                <w:b/>
                <w:color w:val="25323A"/>
                <w:sz w:val="18"/>
              </w:rPr>
              <w:t>Receiving freight fixtures</w:t>
            </w:r>
          </w:p>
        </w:tc>
        <w:tc>
          <w:tcPr>
            <w:tcW w:type="dxa" w:w="6840"/>
            <w:vAlign w:val="top"/>
            <w:shd w:fill="F6F8F9"/>
          </w:tcPr>
          <w:p>
            <w:pPr>
              <w:pStyle w:val="TableText"/>
              <w:keepNext w:val="0"/>
              <w:widowControl/>
            </w:pPr>
            <w:r>
              <w:rPr>
                <w:rFonts w:ascii="Lato" w:hAnsi="Lato"/>
                <w:b w:val="0"/>
                <w:color w:val="25323A"/>
                <w:sz w:val="18"/>
              </w:rPr>
              <w:t>IMPLEMENTED / TECHNICALLY VERIFIED / HUMAN-PROMOTED.</w:t>
            </w:r>
          </w:p>
        </w:tc>
      </w:tr>
      <w:tr>
        <w:trPr>
          <w:cantSplit/>
        </w:trPr>
        <w:tc>
          <w:tcPr>
            <w:tcW w:type="dxa" w:w="3024"/>
            <w:vAlign w:val="top"/>
          </w:tcPr>
          <w:p>
            <w:pPr>
              <w:pStyle w:val="TableText"/>
              <w:keepNext w:val="0"/>
              <w:widowControl/>
            </w:pPr>
            <w:r>
              <w:rPr>
                <w:rFonts w:ascii="Lato" w:hAnsi="Lato"/>
                <w:b/>
                <w:color w:val="25323A"/>
                <w:sz w:val="18"/>
              </w:rPr>
              <w:t>Irregular frozen pile</w:t>
            </w:r>
          </w:p>
        </w:tc>
        <w:tc>
          <w:tcPr>
            <w:tcW w:type="dxa" w:w="6840"/>
            <w:vAlign w:val="top"/>
          </w:tcPr>
          <w:p>
            <w:pPr>
              <w:pStyle w:val="TableText"/>
              <w:keepNext w:val="0"/>
              <w:widowControl/>
            </w:pPr>
            <w:r>
              <w:rPr>
                <w:rFonts w:ascii="Lato" w:hAnsi="Lato"/>
                <w:b w:val="0"/>
                <w:color w:val="25323A"/>
                <w:sz w:val="18"/>
              </w:rPr>
              <w:t>HUMAN-REJECTED for production; isolated research retained.</w:t>
            </w:r>
          </w:p>
        </w:tc>
      </w:tr>
      <w:tr>
        <w:trPr>
          <w:cantSplit/>
        </w:trPr>
        <w:tc>
          <w:tcPr>
            <w:tcW w:type="dxa" w:w="3024"/>
            <w:vAlign w:val="top"/>
            <w:shd w:fill="F6F8F9"/>
          </w:tcPr>
          <w:p>
            <w:pPr>
              <w:pStyle w:val="TableText"/>
              <w:keepNext w:val="0"/>
              <w:widowControl/>
            </w:pPr>
            <w:r>
              <w:rPr>
                <w:rFonts w:ascii="Lato" w:hAnsi="Lato"/>
                <w:b/>
                <w:color w:val="25323A"/>
                <w:sz w:val="18"/>
              </w:rPr>
              <w:t>EAF1 material and lighting lookdev</w:t>
            </w:r>
          </w:p>
        </w:tc>
        <w:tc>
          <w:tcPr>
            <w:tcW w:type="dxa" w:w="6840"/>
            <w:vAlign w:val="top"/>
            <w:shd w:fill="F6F8F9"/>
          </w:tcPr>
          <w:p>
            <w:pPr>
              <w:pStyle w:val="TableText"/>
              <w:keepNext w:val="0"/>
              <w:widowControl/>
            </w:pPr>
            <w:r>
              <w:rPr>
                <w:rFonts w:ascii="Lato" w:hAnsi="Lato"/>
                <w:b w:val="0"/>
                <w:color w:val="25323A"/>
                <w:sz w:val="18"/>
              </w:rPr>
              <w:t>HUMAN-PROMOTED, including WallGrazing correction.</w:t>
            </w:r>
          </w:p>
        </w:tc>
      </w:tr>
      <w:tr>
        <w:trPr>
          <w:cantSplit/>
        </w:trPr>
        <w:tc>
          <w:tcPr>
            <w:tcW w:type="dxa" w:w="3024"/>
            <w:vAlign w:val="top"/>
          </w:tcPr>
          <w:p>
            <w:pPr>
              <w:pStyle w:val="TableText"/>
              <w:keepNext w:val="0"/>
              <w:widowControl/>
            </w:pPr>
            <w:r>
              <w:rPr>
                <w:rFonts w:ascii="Lato" w:hAnsi="Lato"/>
                <w:b/>
                <w:color w:val="25323A"/>
                <w:sz w:val="18"/>
              </w:rPr>
              <w:t>EAF2 substrate authoring</w:t>
            </w:r>
          </w:p>
        </w:tc>
        <w:tc>
          <w:tcPr>
            <w:tcW w:type="dxa" w:w="6840"/>
            <w:vAlign w:val="top"/>
          </w:tcPr>
          <w:p>
            <w:pPr>
              <w:pStyle w:val="TableText"/>
              <w:keepNext w:val="0"/>
              <w:widowControl/>
            </w:pPr>
            <w:r>
              <w:rPr>
                <w:rFonts w:ascii="Lato" w:hAnsi="Lato"/>
                <w:b w:val="0"/>
                <w:color w:val="25323A"/>
                <w:sz w:val="18"/>
              </w:rPr>
              <w:t>HUMAN-PROMOTED.</w:t>
            </w:r>
          </w:p>
        </w:tc>
      </w:tr>
      <w:tr>
        <w:trPr>
          <w:cantSplit/>
        </w:trPr>
        <w:tc>
          <w:tcPr>
            <w:tcW w:type="dxa" w:w="3024"/>
            <w:vAlign w:val="top"/>
            <w:shd w:fill="F6F8F9"/>
          </w:tcPr>
          <w:p>
            <w:pPr>
              <w:pStyle w:val="TableText"/>
              <w:keepNext w:val="0"/>
              <w:widowControl/>
            </w:pPr>
            <w:r>
              <w:rPr>
                <w:rFonts w:ascii="Lato" w:hAnsi="Lato"/>
                <w:b/>
                <w:color w:val="25323A"/>
                <w:sz w:val="18"/>
              </w:rPr>
              <w:t>EAF3 material pipeline and catalog</w:t>
            </w:r>
          </w:p>
        </w:tc>
        <w:tc>
          <w:tcPr>
            <w:tcW w:type="dxa" w:w="6840"/>
            <w:vAlign w:val="top"/>
            <w:shd w:fill="F6F8F9"/>
          </w:tcPr>
          <w:p>
            <w:pPr>
              <w:pStyle w:val="TableText"/>
              <w:keepNext w:val="0"/>
              <w:widowControl/>
            </w:pPr>
            <w:r>
              <w:rPr>
                <w:rFonts w:ascii="Lato" w:hAnsi="Lato"/>
                <w:b w:val="0"/>
                <w:color w:val="25323A"/>
                <w:sz w:val="18"/>
              </w:rPr>
              <w:t>HUMAN-PROMOTED; 30 current APPROVED / 7 DEFERRED / 6 REJECTED at EAF5 close-out.</w:t>
            </w:r>
          </w:p>
        </w:tc>
      </w:tr>
      <w:tr>
        <w:trPr>
          <w:cantSplit/>
        </w:trPr>
        <w:tc>
          <w:tcPr>
            <w:tcW w:type="dxa" w:w="3024"/>
            <w:vAlign w:val="top"/>
          </w:tcPr>
          <w:p>
            <w:pPr>
              <w:pStyle w:val="TableText"/>
              <w:keepNext w:val="0"/>
              <w:widowControl/>
            </w:pPr>
            <w:r>
              <w:rPr>
                <w:rFonts w:ascii="Lato" w:hAnsi="Lato"/>
                <w:b/>
                <w:color w:val="25323A"/>
                <w:sz w:val="18"/>
              </w:rPr>
              <w:t>EAF4 wear pipeline and catalog</w:t>
            </w:r>
          </w:p>
        </w:tc>
        <w:tc>
          <w:tcPr>
            <w:tcW w:type="dxa" w:w="6840"/>
            <w:vAlign w:val="top"/>
          </w:tcPr>
          <w:p>
            <w:pPr>
              <w:pStyle w:val="TableText"/>
              <w:keepNext w:val="0"/>
              <w:widowControl/>
            </w:pPr>
            <w:r>
              <w:rPr>
                <w:rFonts w:ascii="Lato" w:hAnsi="Lato"/>
                <w:b w:val="0"/>
                <w:color w:val="25323A"/>
                <w:sz w:val="18"/>
              </w:rPr>
              <w:t>HUMAN-PROMOTED; 12 current APPROVED / 2 DEFERRED at EAF5 close-out.</w:t>
            </w:r>
          </w:p>
        </w:tc>
      </w:tr>
      <w:tr>
        <w:trPr>
          <w:cantSplit/>
        </w:trPr>
        <w:tc>
          <w:tcPr>
            <w:tcW w:type="dxa" w:w="3024"/>
            <w:vAlign w:val="top"/>
            <w:shd w:fill="F6F8F9"/>
          </w:tcPr>
          <w:p>
            <w:pPr>
              <w:pStyle w:val="TableText"/>
              <w:keepNext w:val="0"/>
              <w:widowControl/>
            </w:pPr>
            <w:r>
              <w:rPr>
                <w:rFonts w:ascii="Lato" w:hAnsi="Lato"/>
                <w:b/>
                <w:color w:val="25323A"/>
                <w:sz w:val="18"/>
              </w:rPr>
              <w:t>EAF5 Receiving architectural proof</w:t>
            </w:r>
          </w:p>
        </w:tc>
        <w:tc>
          <w:tcPr>
            <w:tcW w:type="dxa" w:w="6840"/>
            <w:vAlign w:val="top"/>
            <w:shd w:fill="F6F8F9"/>
          </w:tcPr>
          <w:p>
            <w:pPr>
              <w:pStyle w:val="TableText"/>
              <w:keepNext w:val="0"/>
              <w:widowControl/>
            </w:pPr>
            <w:r>
              <w:rPr>
                <w:rFonts w:ascii="Lato" w:hAnsi="Lato"/>
                <w:b w:val="0"/>
                <w:color w:val="25323A"/>
                <w:sz w:val="18"/>
              </w:rPr>
              <w:t>IMPLEMENTED / TECHNICALLY VERIFIED / HUMAN-PROMOTED / CLOSED.</w:t>
            </w:r>
          </w:p>
        </w:tc>
      </w:tr>
      <w:tr>
        <w:trPr>
          <w:cantSplit/>
        </w:trPr>
        <w:tc>
          <w:tcPr>
            <w:tcW w:type="dxa" w:w="3024"/>
            <w:vAlign w:val="top"/>
          </w:tcPr>
          <w:p>
            <w:pPr>
              <w:pStyle w:val="TableText"/>
              <w:keepNext w:val="0"/>
              <w:widowControl/>
            </w:pPr>
            <w:r>
              <w:rPr>
                <w:rFonts w:ascii="Lato" w:hAnsi="Lato"/>
                <w:b/>
                <w:color w:val="25323A"/>
                <w:sz w:val="18"/>
              </w:rPr>
              <w:t>C1A structural-shell branch</w:t>
            </w:r>
          </w:p>
        </w:tc>
        <w:tc>
          <w:tcPr>
            <w:tcW w:type="dxa" w:w="6840"/>
            <w:vAlign w:val="top"/>
          </w:tcPr>
          <w:p>
            <w:pPr>
              <w:pStyle w:val="TableText"/>
              <w:keepNext w:val="0"/>
              <w:widowControl/>
            </w:pPr>
            <w:r>
              <w:rPr>
                <w:rFonts w:ascii="Lato" w:hAnsi="Lato"/>
                <w:b w:val="0"/>
                <w:color w:val="25323A"/>
                <w:sz w:val="18"/>
              </w:rPr>
              <w:t>PARKED technically verified research; not promoted or production authority.</w:t>
            </w:r>
          </w:p>
        </w:tc>
      </w:tr>
      <w:tr>
        <w:trPr>
          <w:cantSplit/>
        </w:trPr>
        <w:tc>
          <w:tcPr>
            <w:tcW w:type="dxa" w:w="3024"/>
            <w:vAlign w:val="top"/>
            <w:shd w:fill="F6F8F9"/>
          </w:tcPr>
          <w:p>
            <w:pPr>
              <w:pStyle w:val="TableText"/>
              <w:keepNext w:val="0"/>
              <w:widowControl/>
            </w:pPr>
            <w:r>
              <w:rPr>
                <w:rFonts w:ascii="Lato" w:hAnsi="Lato"/>
                <w:b/>
                <w:color w:val="25323A"/>
                <w:sz w:val="18"/>
              </w:rPr>
              <w:t>Receiving Stage C1</w:t>
            </w:r>
          </w:p>
        </w:tc>
        <w:tc>
          <w:tcPr>
            <w:tcW w:type="dxa" w:w="6840"/>
            <w:vAlign w:val="top"/>
            <w:shd w:fill="F6F8F9"/>
          </w:tcPr>
          <w:p>
            <w:pPr>
              <w:pStyle w:val="TableText"/>
              <w:keepNext w:val="0"/>
              <w:widowControl/>
            </w:pPr>
            <w:r>
              <w:rPr>
                <w:rFonts w:ascii="Lato" w:hAnsi="Lato"/>
                <w:b w:val="0"/>
                <w:color w:val="25323A"/>
                <w:sz w:val="18"/>
              </w:rPr>
              <w:t>NEXT IMPLEMENTATION GATE.</w:t>
            </w:r>
          </w:p>
        </w:tc>
      </w:tr>
      <w:tr>
        <w:trPr>
          <w:cantSplit/>
        </w:trPr>
        <w:tc>
          <w:tcPr>
            <w:tcW w:type="dxa" w:w="3024"/>
            <w:vAlign w:val="top"/>
          </w:tcPr>
          <w:p>
            <w:pPr>
              <w:pStyle w:val="TableText"/>
              <w:keepNext w:val="0"/>
              <w:widowControl/>
            </w:pPr>
            <w:r>
              <w:rPr>
                <w:rFonts w:ascii="Lato" w:hAnsi="Lato"/>
                <w:b/>
                <w:color w:val="25323A"/>
                <w:sz w:val="18"/>
              </w:rPr>
              <w:t>Receiving Stage C queue/theatre</w:t>
            </w:r>
          </w:p>
        </w:tc>
        <w:tc>
          <w:tcPr>
            <w:tcW w:type="dxa" w:w="6840"/>
            <w:vAlign w:val="top"/>
          </w:tcPr>
          <w:p>
            <w:pPr>
              <w:pStyle w:val="TableText"/>
              <w:keepNext w:val="0"/>
              <w:widowControl/>
            </w:pPr>
            <w:r>
              <w:rPr>
                <w:rFonts w:ascii="Lato" w:hAnsi="Lato"/>
                <w:b w:val="0"/>
                <w:color w:val="25323A"/>
                <w:sz w:val="18"/>
              </w:rPr>
              <w:t>Later work; not proved by Stage B or EAF5.</w:t>
            </w:r>
          </w:p>
        </w:tc>
      </w:tr>
    </w:tbl>
    <w:p>
      <w:pPr>
        <w:keepLines/>
      </w:pPr>
      <w:r>
        <w:t>The comprehensive three-master documentation refresh is complete. Receiving Stage C1 is the next implementation gate and owns production visual migration from the accepted wing geometry using the EAF5 recipe. Neither this evidence record nor EAF5 completes that migration.</w:t>
      </w:r>
    </w:p>
    <w:p>
      <w:pPr>
        <w:pStyle w:val="Heading1"/>
      </w:pPr>
      <w:r>
        <w:t>31. v0.11 revision and source register</w:t>
      </w:r>
    </w:p>
    <w:p>
      <w:pPr/>
      <w:r>
        <w:t>v0.11 supersedes v0.10 current-status summaries but keeps its dated evidence and §§1–25 checkpoints intact. Sections 26–30 record later explicit promotions, rejections, deferred findings and the current gate. This is an implementation and evidence-boundary record. Preliminary GDD v0.11 and VDD v0.8 are the reconciled current companion masters; CURRENT_STATE and focused validation records retain the current gate and implementation detail.</w:t>
      </w:r>
    </w:p>
    <w:p>
      <w:pPr>
        <w:pStyle w:val="ListBullet"/>
      </w:pPr>
      <w:r>
        <w:t>Ladder: docs/testing/fixed-ladder-proof-validation.md; wing-modular-rack-ladder-integration-validation.md.</w:t>
      </w:r>
    </w:p>
    <w:p>
      <w:pPr>
        <w:pStyle w:val="ListBullet"/>
      </w:pPr>
      <w:r>
        <w:t>Receiving Stage B: docs/testing/receiving-abc-geometry-comparison.md; receiving-real-item-physics-pile-proof.md; receiving-deterministic-deck-presenter-validation.md; receiving-functional-freight-fixtures-validation.md.</w:t>
      </w:r>
    </w:p>
    <w:p>
      <w:pPr>
        <w:pStyle w:val="ListBullet"/>
      </w:pPr>
      <w:r>
        <w:t>EAF1: docs/testing/environment-authoring-eaf1-lookdev-validation.md; environment-authoring-eaf1-wallgrazing-fix-validation.md.</w:t>
      </w:r>
    </w:p>
    <w:p>
      <w:pPr>
        <w:pStyle w:val="ListBullet"/>
      </w:pPr>
      <w:r>
        <w:t>EAF2: docs/testing/environment-authoring-eaf2-substrate-validation.md.</w:t>
      </w:r>
    </w:p>
    <w:p>
      <w:pPr>
        <w:pStyle w:val="ListBullet"/>
      </w:pPr>
      <w:r>
        <w:t>EAF3 and UV policy: docs/testing/environment-authoring-eaf3a-repository-index-validation.md; environment-authoring-eaf3b-curated-catalog-validation.md; environment-authoring-eaf3-fab-profile-refresh-validation.md; environment-authoring-triplanar-uv-default-maintenance.md.</w:t>
      </w:r>
    </w:p>
    <w:p>
      <w:pPr>
        <w:pStyle w:val="ListBullet"/>
      </w:pPr>
      <w:r>
        <w:t>EAF4: docs/testing/environment-authoring-eaf4a-wear-source-index-validation.md; environment-authoring-eaf4b-overlay-catalog-validation.md; environment-authoring-eaf4b-human-review-rerun-validation.md.</w:t>
      </w:r>
    </w:p>
    <w:p>
      <w:pPr>
        <w:pStyle w:val="ListBullet"/>
      </w:pPr>
      <w:r>
        <w:t>EAF5: docs/testing/environment-authoring-eaf5-promotion-validation.md; Pass 1–7A records in docs/testing/environment-authoring-eaf5-pass*-validation.md; data/environment/receiving_proof/eaf5_c1_handoff.json.</w:t>
      </w:r>
    </w:p>
    <w:p>
      <w:pPr>
        <w:pStyle w:val="ListBullet"/>
      </w:pPr>
      <w:r>
        <w:t>Current state and authority: docs/CURRENT_STATE.md; docs/AI_WORKING_GUIDELINES.md; docs/CODEX_BOOTSTRAP.md; docs/README.md.</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Prototype Findings v0.11  |  29 September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0.11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PROTOTYPE FINDINGS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Prototype Findings v0.11</dc:title>
  <dc:subject>Implementation, technical verification, human review, promotion and evidence boundaries</dc:subject>
  <dc:creator>Sorting Apocalypse project</dc:creator>
  <cp:keywords>Sorting Apocalypse; v0.5; Godot; Receiving; Foundation Gate</cp:keywords>
  <dc:description>Living project authority aligned to promoted evidence through 21 September 2026.</dc:description>
  <cp:lastModifiedBy/>
  <cp:revision>10</cp:revision>
  <dcterms:created xsi:type="dcterms:W3CDTF">2013-12-23T23:15:00Z</dcterms:created>
  <dcterms:modified xsi:type="dcterms:W3CDTF">2026-09-21T12:00:00Z</dcterms:modified>
  <cp:category/>
  <cp:version>0.7</cp:version>
</cp:coreProperties>
</file>