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0.14 | 14 October 2026 | Approved current master</w:t>
      </w:r>
    </w:p>
    <w:p>
      <w:pPr>
        <w:pStyle w:val="CoverMeta"/>
        <w:widowControl/>
      </w:pPr>
      <w:r>
        <w:t>Living design | Receiving Stage C is HUMAN-PROMOTED / CLOSED in its agreed prototype scope. C1, Stage A/B, storage, fixed ladder and EAF1–EAF5 retain their accepted dispositions.</w:t>
      </w:r>
    </w:p>
    <w:p>
      <w:pPr>
        <w:pStyle w:val="CoverSummary"/>
        <w:widowControl/>
      </w:pPr>
      <w:r>
        <w:t>The accepted Receiving prototype now runs autonomous deliveries with fully-OPEN TAKE, full departure before FIFO handoff, live CRT and upstream Awaiting Lift with an explicit simulated-midnight seam. Actual Expedition, clock, Dispatch, population and persistence integration remains later Systems MVP work.</w:t>
      </w:r>
    </w:p>
    <w:p>
      <w:pPr>
        <w:pStyle w:val="CoverSummary"/>
        <w:widowControl/>
      </w:pPr>
      <w:r>
        <w:t>Companion approved masters: Prototype Findings v0.14; Visual Design &amp; World-Building Direction v0.11. Document promotion approved on 14 October 2026 without version increments; accepted gameplay and lighting milestones remain promoted.</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v0.14 authority and evidence boundary</w:t>
      </w:r>
    </w:p>
    <w:p>
      <w:pPr>
        <w:widowControl/>
      </w:pPr>
      <w:r>
        <w:t>This GDD remains the overall gameplay, design and scope authority. Prototype Findings v0.14 records implementation and evidence; VDD v0.11 governs environment, spatial, material and lighting direction. Accepted in-engine geometry and later human decisions govern the prototype; historical schematics and appendices retain dated evidence.</w:t>
      </w:r>
    </w:p>
    <w:p>
      <w:pPr>
        <w:widowControl/>
      </w:pPr>
      <w:r>
        <w:t>This approved 14 October edition reconciles Receiving through published Stage C closure at bb6683d28539ff743bc480a9d5d68c4ef3d0ce87. Established gameplay and balance rules remain. Implemented prototype behavior is distinguished from future Systems MVP integration; this revision selects no next milestone. [R14]</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 / later work</w:t>
            </w:r>
          </w:p>
        </w:tc>
        <w:tc>
          <w:tcPr>
            <w:tcW w:type="dxa" w:w="6869"/>
            <w:vAlign w:val="top"/>
            <w:shd w:fill="F6F8F9"/>
          </w:tcPr>
          <w:p>
            <w:pPr>
              <w:pStyle w:val="TableText"/>
              <w:keepNext w:val="0"/>
              <w:widowControl/>
            </w:pPr>
            <w:r>
              <w:rPr>
                <w:rFonts w:ascii="Lato" w:hAnsi="Lato"/>
                <w:b w:val="0"/>
                <w:color w:val="25323A"/>
                <w:sz w:val="18"/>
              </w:rPr>
              <w:t>Outside the current prototype/milestone; may still be intended for the initial release. The relevant roadmap or section determines release status; this label alone does not exclude it from launch.</w:t>
            </w:r>
          </w:p>
        </w:tc>
      </w:tr>
      <w:tr>
        <w:trPr>
          <w:cantSplit/>
        </w:trPr>
        <w:tc>
          <w:tcPr>
            <w:tcW w:type="dxa" w:w="2995"/>
            <w:vAlign w:val="top"/>
          </w:tcPr>
          <w:p>
            <w:pPr>
              <w:pStyle w:val="TableText"/>
              <w:keepNext w:val="0"/>
              <w:widowControl/>
            </w:pPr>
            <w:r>
              <w:rPr>
                <w:rFonts w:ascii="Lato" w:hAnsi="Lato"/>
                <w:b/>
                <w:color w:val="25323A"/>
                <w:sz w:val="18"/>
              </w:rPr>
              <w:t>Beyond first release</w:t>
            </w:r>
          </w:p>
        </w:tc>
        <w:tc>
          <w:tcPr>
            <w:tcW w:type="dxa" w:w="6869"/>
            <w:vAlign w:val="top"/>
          </w:tcPr>
          <w:p>
            <w:pPr>
              <w:pStyle w:val="TableText"/>
              <w:keepNext w:val="0"/>
              <w:widowControl/>
            </w:pPr>
            <w:r>
              <w:rPr>
                <w:rFonts w:ascii="Lato" w:hAnsi="Lato"/>
                <w:b w:val="0"/>
                <w:color w:val="25323A"/>
                <w:sz w:val="18"/>
              </w:rPr>
              <w:t>Explicitly outside the initial-release target unless separately reconsidered.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tcPr>
          <w:p>
            <w:pPr>
              <w:pStyle w:val="TableText"/>
              <w:keepNext w:val="0"/>
              <w:widowControl/>
            </w:pPr>
            <w:r>
              <w:rPr>
                <w:rFonts w:ascii="Lato" w:hAnsi="Lato"/>
                <w:b/>
                <w:color w:val="25323A"/>
                <w:sz w:val="18"/>
              </w:rPr>
              <w:t>11.1</w:t>
            </w:r>
          </w:p>
        </w:tc>
        <w:tc>
          <w:tcPr>
            <w:tcW w:type="dxa" w:w="8136"/>
            <w:vAlign w:val="top"/>
          </w:tcPr>
          <w:p>
            <w:pPr>
              <w:pStyle w:val="TableText"/>
              <w:keepNext w:val="0"/>
              <w:widowControl/>
            </w:pPr>
            <w:r>
              <w:rPr>
                <w:rFonts w:ascii="Lato" w:hAnsi="Lato"/>
                <w:b w:val="0"/>
                <w:color w:val="25323A"/>
                <w:sz w:val="18"/>
              </w:rPr>
              <w:t>Spatial boundary and incoming sequence</w:t>
            </w:r>
          </w:p>
        </w:tc>
      </w:tr>
      <w:tr>
        <w:trPr>
          <w:cantSplit/>
        </w:trPr>
        <w:tc>
          <w:tcPr>
            <w:tcW w:type="dxa" w:w="1728"/>
            <w:vAlign w:val="top"/>
          </w:tcPr>
          <w:p>
            <w:pPr>
              <w:pStyle w:val="TableText"/>
              <w:keepNext w:val="0"/>
              <w:widowControl/>
            </w:pPr>
            <w:r>
              <w:rPr>
                <w:rFonts w:ascii="Lato" w:hAnsi="Lato"/>
                <w:b/>
                <w:color w:val="25323A"/>
                <w:sz w:val="18"/>
              </w:rPr>
              <w:t>11.2</w:t>
            </w:r>
          </w:p>
        </w:tc>
        <w:tc>
          <w:tcPr>
            <w:tcW w:type="dxa" w:w="8136"/>
            <w:vAlign w:val="top"/>
          </w:tcPr>
          <w:p>
            <w:pPr>
              <w:pStyle w:val="TableText"/>
              <w:keepNext w:val="0"/>
              <w:widowControl/>
            </w:pPr>
            <w:r>
              <w:rPr>
                <w:rFonts w:ascii="Lato" w:hAnsi="Lato"/>
                <w:b w:val="0"/>
                <w:color w:val="25323A"/>
                <w:sz w:val="18"/>
              </w:rPr>
              <w:t>Committed content, identity and preparation</w:t>
            </w:r>
          </w:p>
        </w:tc>
      </w:tr>
      <w:tr>
        <w:trPr>
          <w:cantSplit/>
        </w:trPr>
        <w:tc>
          <w:tcPr>
            <w:tcW w:type="dxa" w:w="1728"/>
            <w:vAlign w:val="top"/>
          </w:tcPr>
          <w:p>
            <w:pPr>
              <w:pStyle w:val="TableText"/>
              <w:keepNext w:val="0"/>
              <w:widowControl/>
            </w:pPr>
            <w:r>
              <w:rPr>
                <w:rFonts w:ascii="Lato" w:hAnsi="Lato"/>
                <w:b/>
                <w:color w:val="25323A"/>
                <w:sz w:val="18"/>
              </w:rPr>
              <w:t>11.3</w:t>
            </w:r>
          </w:p>
        </w:tc>
        <w:tc>
          <w:tcPr>
            <w:tcW w:type="dxa" w:w="8136"/>
            <w:vAlign w:val="top"/>
          </w:tcPr>
          <w:p>
            <w:pPr>
              <w:pStyle w:val="TableText"/>
              <w:keepNext w:val="0"/>
              <w:widowControl/>
            </w:pPr>
            <w:r>
              <w:rPr>
                <w:rFonts w:ascii="Lato" w:hAnsi="Lato"/>
                <w:b w:val="0"/>
                <w:color w:val="25323A"/>
                <w:sz w:val="18"/>
              </w:rPr>
              <w:t>Deterministic deck and freight-fixture presentation</w:t>
            </w:r>
          </w:p>
        </w:tc>
      </w:tr>
      <w:tr>
        <w:trPr>
          <w:cantSplit/>
        </w:trPr>
        <w:tc>
          <w:tcPr>
            <w:tcW w:type="dxa" w:w="1728"/>
            <w:vAlign w:val="top"/>
          </w:tcPr>
          <w:p>
            <w:pPr>
              <w:pStyle w:val="TableText"/>
              <w:keepNext w:val="0"/>
              <w:widowControl/>
            </w:pPr>
            <w:r>
              <w:rPr>
                <w:rFonts w:ascii="Lato" w:hAnsi="Lato"/>
                <w:b/>
                <w:color w:val="25323A"/>
                <w:sz w:val="18"/>
              </w:rPr>
              <w:t>11.4</w:t>
            </w:r>
          </w:p>
        </w:tc>
        <w:tc>
          <w:tcPr>
            <w:tcW w:type="dxa" w:w="8136"/>
            <w:vAlign w:val="top"/>
          </w:tcPr>
          <w:p>
            <w:pPr>
              <w:pStyle w:val="TableText"/>
              <w:keepNext w:val="0"/>
              <w:widowControl/>
            </w:pPr>
            <w:r>
              <w:rPr>
                <w:rFonts w:ascii="Lato" w:hAnsi="Lato"/>
                <w:b w:val="0"/>
                <w:color w:val="25323A"/>
                <w:sz w:val="18"/>
              </w:rPr>
              <w:t>Targeting, TAKE and presentation constraints</w:t>
            </w:r>
          </w:p>
        </w:tc>
      </w:tr>
      <w:tr>
        <w:trPr>
          <w:cantSplit/>
        </w:trPr>
        <w:tc>
          <w:tcPr>
            <w:tcW w:type="dxa" w:w="1728"/>
            <w:vAlign w:val="top"/>
          </w:tcPr>
          <w:p>
            <w:pPr>
              <w:pStyle w:val="TableText"/>
              <w:keepNext w:val="0"/>
              <w:widowControl/>
            </w:pPr>
            <w:r>
              <w:rPr>
                <w:rFonts w:ascii="Lato" w:hAnsi="Lato"/>
                <w:b/>
                <w:color w:val="25323A"/>
                <w:sz w:val="18"/>
              </w:rPr>
              <w:t>11.5</w:t>
            </w:r>
          </w:p>
        </w:tc>
        <w:tc>
          <w:tcPr>
            <w:tcW w:type="dxa" w:w="8136"/>
            <w:vAlign w:val="top"/>
          </w:tcPr>
          <w:p>
            <w:pPr>
              <w:pStyle w:val="TableText"/>
              <w:keepNext w:val="0"/>
              <w:widowControl/>
            </w:pPr>
            <w:r>
              <w:rPr>
                <w:rFonts w:ascii="Lato" w:hAnsi="Lato"/>
                <w:b w:val="0"/>
                <w:color w:val="25323A"/>
                <w:sz w:val="18"/>
              </w:rPr>
              <w:t>Deposited capacity and Awaiting Lift</w:t>
            </w:r>
          </w:p>
        </w:tc>
      </w:tr>
      <w:tr>
        <w:trPr>
          <w:cantSplit/>
        </w:trPr>
        <w:tc>
          <w:tcPr>
            <w:tcW w:type="dxa" w:w="1728"/>
            <w:vAlign w:val="top"/>
          </w:tcPr>
          <w:p>
            <w:pPr>
              <w:pStyle w:val="TableText"/>
              <w:keepNext w:val="0"/>
              <w:widowControl/>
            </w:pPr>
            <w:r>
              <w:rPr>
                <w:rFonts w:ascii="Lato" w:hAnsi="Lato"/>
                <w:b/>
                <w:color w:val="25323A"/>
                <w:sz w:val="18"/>
              </w:rPr>
              <w:t>11.6</w:t>
            </w:r>
          </w:p>
        </w:tc>
        <w:tc>
          <w:tcPr>
            <w:tcW w:type="dxa" w:w="8136"/>
            <w:vAlign w:val="top"/>
          </w:tcPr>
          <w:p>
            <w:pPr>
              <w:pStyle w:val="TableText"/>
              <w:keepNext w:val="0"/>
              <w:widowControl/>
            </w:pPr>
            <w:r>
              <w:rPr>
                <w:rFonts w:ascii="Lato" w:hAnsi="Lato"/>
                <w:b w:val="0"/>
                <w:color w:val="25323A"/>
                <w:sz w:val="18"/>
              </w:rPr>
              <w:t>Recovery and transactional TAKE</w:t>
            </w:r>
          </w:p>
        </w:tc>
      </w:tr>
      <w:tr>
        <w:trPr>
          <w:cantSplit/>
        </w:trPr>
        <w:tc>
          <w:tcPr>
            <w:tcW w:type="dxa" w:w="1728"/>
            <w:vAlign w:val="top"/>
          </w:tcPr>
          <w:p>
            <w:pPr>
              <w:pStyle w:val="TableText"/>
              <w:keepNext w:val="0"/>
              <w:widowControl/>
            </w:pPr>
            <w:r>
              <w:rPr>
                <w:rFonts w:ascii="Lato" w:hAnsi="Lato"/>
                <w:b/>
                <w:color w:val="25323A"/>
                <w:sz w:val="18"/>
              </w:rPr>
              <w:t>11.7</w:t>
            </w:r>
          </w:p>
        </w:tc>
        <w:tc>
          <w:tcPr>
            <w:tcW w:type="dxa" w:w="8136"/>
            <w:vAlign w:val="top"/>
          </w:tcPr>
          <w:p>
            <w:pPr>
              <w:pStyle w:val="TableText"/>
              <w:keepNext w:val="0"/>
              <w:widowControl/>
            </w:pPr>
            <w:r>
              <w:rPr>
                <w:rFonts w:ascii="Lato" w:hAnsi="Lato"/>
                <w:b w:val="0"/>
                <w:color w:val="25323A"/>
                <w:sz w:val="18"/>
              </w:rPr>
              <w:t>Future expedition precomputation</w:t>
            </w:r>
          </w:p>
        </w:tc>
      </w:tr>
      <w:tr>
        <w:trPr>
          <w:cantSplit/>
        </w:trPr>
        <w:tc>
          <w:tcPr>
            <w:tcW w:type="dxa" w:w="1728"/>
            <w:vAlign w:val="top"/>
          </w:tcPr>
          <w:p>
            <w:pPr>
              <w:pStyle w:val="TableText"/>
              <w:keepNext w:val="0"/>
              <w:widowControl/>
            </w:pPr>
            <w:r>
              <w:rPr>
                <w:rFonts w:ascii="Lato" w:hAnsi="Lato"/>
                <w:b/>
                <w:color w:val="25323A"/>
                <w:sz w:val="18"/>
              </w:rPr>
              <w:t>11.8</w:t>
            </w:r>
          </w:p>
        </w:tc>
        <w:tc>
          <w:tcPr>
            <w:tcW w:type="dxa" w:w="8136"/>
            <w:vAlign w:val="top"/>
          </w:tcPr>
          <w:p>
            <w:pPr>
              <w:pStyle w:val="TableText"/>
              <w:keepNext w:val="0"/>
              <w:widowControl/>
            </w:pPr>
            <w:r>
              <w:rPr>
                <w:rFonts w:ascii="Lato" w:hAnsi="Lato"/>
                <w:b w:val="0"/>
                <w:color w:val="25323A"/>
                <w:sz w:val="18"/>
              </w:rPr>
              <w:t>Stage C delivery, queue and theatre boundary</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r>
        <w:tc>
          <w:tcPr>
            <w:tcW w:type="dxa" w:w="1728"/>
          </w:tcPr>
          <w:p>
            <w:r>
              <w:t>Appendix D</w:t>
            </w:r>
          </w:p>
        </w:tc>
        <w:tc>
          <w:tcPr>
            <w:tcW w:type="dxa" w:w="8136"/>
          </w:tcPr>
          <w:p>
            <w:r>
              <w:t>v0.9 Storage Authoring Consolidation</w:t>
            </w:r>
          </w:p>
        </w:tc>
      </w:tr>
      <w:tr>
        <w:tc>
          <w:tcPr>
            <w:tcW w:type="dxa" w:w="1728"/>
            <w:vAlign w:val="center"/>
          </w:tcPr>
          <w:p>
            <w:r>
              <w:t>Appendix E</w:t>
            </w:r>
          </w:p>
        </w:tc>
        <w:tc>
          <w:tcPr>
            <w:tcW w:type="dxa" w:w="8136"/>
            <w:vAlign w:val="center"/>
          </w:tcPr>
          <w:p>
            <w:r>
              <w:t>v0.10 Storage Authoring, Orientation and Item-Pose Closure</w:t>
            </w:r>
          </w:p>
        </w:tc>
      </w:tr>
      <w:tr>
        <w:tc>
          <w:tcPr>
            <w:tcW w:type="dxa" w:w="1728"/>
            <w:vAlign w:val="center"/>
          </w:tcPr>
          <w:p>
            <w:r>
              <w:t>Appendix F</w:t>
            </w:r>
          </w:p>
        </w:tc>
        <w:tc>
          <w:tcPr>
            <w:tcW w:type="dxa" w:w="8136"/>
            <w:vAlign w:val="center"/>
          </w:tcPr>
          <w:p>
            <w:r>
              <w:t>v0.11 Ladder, Receiving Stage B, and Environment Authoring Closure</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r>
        <w:t>Risky systems should advance through bounded evidence gates. Validate spatial gameplay separately from environment art, and preserve accepted gameplay geometry when a visual-shell substitution is sufficient.</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delivery,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have accepted whole-wing geometry. Functional storage, the bounded fixed ladder and Wing ModularRack bridge, and the promoted Receiving Stage B deck and freight fixtures now coexist in the playable development composition. Receiving Stage C is now human-promoted/closed in its agreed prototype scope (§11); actual Systems MVP integration and broader production furnishing remain later work. The accepted builder, saved geometry and overview govern dimensional work.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and durable item identities are committed upstream. Receiving arranges those exact items deterministically on private presentation surfaces and reveals ordinary WorldItems when the shutter is open. The permanent barrier controls player access; the shutter controls visibility and TAKE availability. Section 11 records the promoted Stage B presentation and accepted Stage C choreography/queue theatre, with later Systems MVP integration kept distinct.</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ordinary freight at a dedicated safe marker rather than within the cargo arrangement.</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the working dimensional authority, subordinate to later explicit decisions. Detailed Topology V3 and Basic Structural Schematic V2 remain unchanged historical intent references; do not revert approved in-engine refinements to match their pixels. VDD v0.11 is the current visual and spatial companion. Earlier Visual Direction v0.5 recorded service spaces, Kitchen-from-B routing, Medical alignment and abandoned-stub deferral at its checkpoint. [V05, V08,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widowControl/>
      </w:pPr>
      <w:r>
        <w:t>Implementation boundary, 14 October: the daily timetable is established design. The accepted Receiving prototype supplies an explicit simulated-midnight hook, not a running day clock or scheduler; actual daily time pressure remains later Systems MVP work. [R14]</w:t>
      </w:r>
    </w:p>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widowControl/>
      </w:pPr>
      <w:r>
        <w:t>For Receiving, an explicit simulated-midnight event forfeits only submitted returns still awaiting admission. Deposited active/queued hauls are untouched, and later vacancy notifications cannot resurrect terminal commitments. The full night report and population resolution above remain design intentions. [R14]</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r>
        <w:t>Future save/load must persist each committed item's placed orientation state. Loading must restore that state and must not recompute item orientation from the storage unit's current Front. Any later four-way display rotation must also be saved explicitly.</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center"/>
          </w:tcPr>
          <w:p>
            <w:r>
              <w:t>Storage Footprint</w:t>
            </w:r>
          </w:p>
        </w:tc>
        <w:tc>
          <w:tcPr>
            <w:tcW w:type="dxa" w:w="6869"/>
            <w:vAlign w:val="center"/>
          </w:tcPr>
          <w:p>
            <w:r>
              <w:t>Item-authored canonical width/depth occupancy for the approved +Z-front pose. The physical reservation follows storage-unit orientation plus the separate packing turn. It remains separate from Bulk and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r>
        <w:trPr>
          <w:cantSplit/>
        </w:trPr>
        <w:tc>
          <w:tcPr>
            <w:tcW w:type="dxa" w:w="2995"/>
            <w:vAlign w:val="center"/>
            <w:shd w:fill="F6F8F9"/>
          </w:tcPr>
          <w:p>
            <w:r>
              <w:t>Canonical Storage Pose</w:t>
            </w:r>
          </w:p>
        </w:tc>
        <w:tc>
          <w:tcPr>
            <w:tcW w:type="dxa" w:w="6869"/>
            <w:vAlign w:val="center"/>
            <w:shd w:fill="F6F8F9"/>
          </w:tcPr>
          <w:p>
            <w:r>
              <w:t>Full pitch/yaw/roll correction stored on ItemDefinition. In the canonical stance the intended item Front faces +Z; runtime aligns that pose to unit Front before applying optional 90-degree packing.</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p>
      <w:pPr/>
      <w:r>
        <w:t>Every storage unit owns one semantic Front/Right/Back/Left state shared by all of its surfaces. State 0 is Front +Z, Back -Z, Right +X and Left -X; states 1-3 quarter-turn that basis. The physical grid remains authoritative and unrotated. New canonical placements align item Front to unit Front, while packing_rotated adds one separate +90-degree turn.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Deterministic TAKE-only cargo on private presentation surfaces with ordinary WorldItems and functional Receiving crates/pallets. No PUT, zoning, labels or manual placement; exact committed content must drain from the apron.</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final physical Footprint of the item directly below it after unit orientation and the optional packing turn are combined. Stack dimensions therefore do not widen upward unless automatic base promotion first installs a larger compatible new base.</w:t>
      </w:r>
    </w:p>
    <w:p>
      <w:pPr>
        <w:pStyle w:val="ListBullet"/>
        <w:widowControl/>
      </w:pPr>
      <w:r>
        <w:t>Automatic placement is stack-first within each valid zone tier. It tries canonical/front-facing placement first and the packing alternative second. It may smart-insert a compatible item at the highest valid position and may automatically promote a larger compatible incoming item to the base if the expanded reservation remains valid. Existing members keep their relative order and their committed placed orientation.</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pPr>
      <w:r>
        <w:t>Reusable ModularRack is a shelf-empty authoring scaffold. The developer adds, duplicates, moves or deletes parent-scene-local shelf wrappers under its editable Levels container; one root controller derives dimensions, insets, collision, preview and runtime surfaces. The current three-level starter is a review reference, not a universal storage standard.</w:t>
      </w:r>
    </w:p>
    <w:p>
      <w:pPr>
        <w:pStyle w:val="ListBullet"/>
      </w:pPr>
      <w:r>
        <w:t>The developer owns physical installation authoring: model, placement, dimensions, level count/distribution, unit Front and ladder availability/placement. The player owns zones, labels and day-to-day organization. No player-facing free-build follows from the authoring workflow.</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pStyle w:val="ListBullet"/>
      </w:pPr>
      <w:r>
        <w:t>The zoning editor always presents a surface from its authored unit Front: Back is at the top, Front at the bottom, and the semantic aspect rotates with the unit state. Player viewpoint does not alter the view.</w:t>
      </w:r>
    </w:p>
    <w:p>
      <w:pPr>
        <w:pStyle w:val="ListBullet"/>
      </w:pPr>
      <w:r>
        <w:t>Semantic paint maps to the existing physical cell array. F6 and the physical grid remain diagnostics of physical truth. Changing orientation metadata reinterprets existing zone cells; it does not migrate, rotate or reorder them.</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pPr>
      <w:r>
        <w:t>Default new storage placement should present an item's human-authored canonical Front toward the storage unit's Front. A 90-degree packing choice may intentionally turn that presentation sideways.</w:t>
      </w:r>
    </w:p>
    <w:p>
      <w:pPr>
        <w:pStyle w:val="ListBullet"/>
      </w:pPr>
      <w:r>
        <w:t>A committed item's orientation is stable. Later changes to shelf Front affect new placements only; they do not rotate stored items already in place.</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deterministic Receiving delivery supports legible choice among exposed items. Every committed item must become reachable through normal progressive TAKE from the apron.</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Ordinary ground-access storage must keep intended contents visible, targetable and retrievable from supported standing approaches without a ladder. Fixed ladders are a promoted authored access option for selected taller installations, including the real-wing ModularRack bridge. They are installation-specific infrastructure, not universal coverage or a general movement system. No general climbing, jumping, mantling, movable/sliding ladders, shelf-top traversal or broad fall-system expansion follows from this decision. Crouch remains separate deferred work. Final furniture depth, openings, level count and usable-area insets are tested with actual catalogue items and installation geometry rather than treated as universal percentages.</w:t>
      </w:r>
    </w:p>
    <w:p>
      <w:pPr/>
      <w:r>
        <w:t>Functional storage authoring may reuse one furniture grammar across installations, but each instance retains its own dimensions, edge insets, level distribution and semantic Front. Mesh appearance must not be used to infer Front, and no per-item shelf-family rotation hack may compensate for installation authoring.</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committed cargo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widowControl/>
      </w:pPr>
      <w:r>
        <w:t>Return completion occurs on admission to Receiving, including a queued deposit. Actual return submission is distinct from earlier preparation. Awaiting expeditions remain pending until admitted or forfeiting their haul at midnight; the prototype records these outcomes without a real Expedition roster or population execution. See §11.5. [R14]</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Receiving is TAKE-only; its private presentation surfaces are not player storage.</w:t>
      </w:r>
    </w:p>
    <w:p>
      <w:pPr>
        <w:widowControl/>
      </w:pPr>
      <w:r>
        <w:t>The bay, deck and permanent player barrier are stationary; only the shutter moves. Four arrival, opening, closing and departure cues imply unseen lift travel. The implemented autonomous cycle below enables targeting and actual TAKE only when fully OPEN. No call button, confirmation, manual close or timer-driven unloading is required. [R14]</w:t>
      </w:r>
    </w:p>
    <w:p>
      <w:pPr>
        <w:widowControl/>
      </w:pPr>
      <w:r>
        <w:t>Current compact room: Receiving nominal 8.00 × 7.50 m / 60 m² (clear 7.70 × 7.20 m), floor Y 0, height 4.20 m and structure 0.30 m. Dispatch is 6.50 × 3.50 m (clear approximately 6.20 × 3.20 m), with a 2.40 m doorway. The centred Backlog opening is 2.84 × 3.40 m at X −28.50; its threshold geometry and circulation are resolved, while walking-surface material awaits the corridor floor choice. Dispatch furnishing remains provisional. [R10: compact retrofit]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Lift cycle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TAKE disabled. Departure also presents this idle state while the lift remains internally busy.</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Arrival cue and pulsing amber warning; shutter closed and TAKE disabled.</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Exact committed cargo staged behind the closed shutter; TAKE disabled; immediately proceeds when staging is confirmed.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Opening cue and shutter motion; amber warning; TAKE remains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Fully open endpoint enables targeting and actual TAKE; steady green. Waits indefinitely until every active item is successfully removed.</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Final successful TAKE triggers automatic shutter contact, reverberation/latch and the full closing cue; TAKE and W1 are off.</w:t>
            </w:r>
          </w:p>
        </w:tc>
      </w:tr>
    </w:tbl>
    <w:p>
      <w:pPr>
        <w:spacing w:after="60" w:before="0" w:line="40" w:lineRule="exact"/>
      </w:pPr>
      <w:r>
        <w:rPr>
          <w:sz w:val="4"/>
        </w:rPr>
      </w:r>
    </w:p>
    <w:p>
      <w:pPr>
        <w:widowControl/>
      </w:pPr>
      <w:r>
        <w:t>The accepted cycle is SEALED_EMPTY → ARRIVAL → SEALED_READY → REVEALING → OPEN → CLOSING → SEALED_EMPTY. Closing precedes the complete outbound turnaround. The manager retires the drained active batch and promotes FIFO only after departure, so opposing journeys never overlap. Player-facing IDLE during departure is not a free lift. [R14]</w:t>
      </w:r>
    </w:p>
    <w:p>
      <w:pPr>
        <w:pStyle w:val="Heading2"/>
        <w:widowControl/>
      </w:pPr>
      <w:r>
        <w:t>11.2 Committed content, identity and preparation</w:t>
      </w:r>
    </w:p>
    <w:p>
      <w:pPr>
        <w:widowControl/>
      </w:pPr>
      <w:r>
        <w:t>Expedition or another upstream source owns the exact committed loot outcome. LootBatch preserves a durable identity for each ItemInstance and the committed content independently of deposit position. Receiving may arrange and present that content, but it may not add filler, omit awkward items, replace entries, reroll an inconvenient result or bias the expedition outcome.</w:t>
      </w:r>
    </w:p>
    <w:p>
      <w:pPr>
        <w:widowControl/>
      </w:pPr>
      <w:r>
        <w:t>A repeated prototype content seed can reproduce an ordered definition selection without reusing unique batch or item identities. Reconstruction of an existing commitment preserves its identities. Presentation changes do not mint replacement items.</w:t>
      </w:r>
    </w:p>
    <w:p>
      <w:pPr>
        <w:widowControl/>
      </w:pPr>
      <w:r>
        <w:t>ItemDefinition remains gameplay truth. Fuel is eligible in the current approved prototype pool; Gloves and Pants remain excluded pending separate content work. Prototype generation is evidence, not final expedition loot balance.</w:t>
      </w:r>
    </w:p>
    <w:p>
      <w:pPr>
        <w:pStyle w:val="Heading2"/>
        <w:widowControl/>
      </w:pPr>
      <w:r>
        <w:t>11.3 Deterministic deck and freight-fixture presentation</w:t>
      </w:r>
    </w:p>
    <w:p>
      <w:pPr>
        <w:pStyle w:val="Callout"/>
        <w:keepLines/>
        <w:shd w:fill="F0F4F5"/>
        <w:ind w:left="140" w:right="140"/>
      </w:pPr>
      <w:r>
        <w:rPr>
          <w:b/>
          <w:color w:val="96712D"/>
        </w:rPr>
        <w:t xml:space="preserve">PROMOTED STAGE B  </w:t>
      </w:r>
      <w:r>
        <w:t>The current presentation uses a deterministic TAKE-only cargo arrangement on private Receiving surfaces. Ordinary WorldItems preserve exact committed ItemInstance identity. Legal TAKE and StorageStack behavior applies where the presentation uses stacks; no hidden rigid-body settle or irregular frozen pile is part of the active design.</w:t>
      </w:r>
    </w:p>
    <w:p>
      <w:pPr>
        <w:widowControl/>
      </w:pPr>
      <w:r>
        <w:t>The freight composition places crates toward the player-facing FRONT, pallets toward the REAR, and useful loose MainDeck cargo between. No enabled fixture begins empty. Emptied fixtures and drained active ownership remain through closing and full departure, then retire. Fixtures present freight; they are not player storage.</w:t>
      </w:r>
    </w:p>
    <w:p>
      <w:pPr>
        <w:widowControl/>
      </w:pPr>
      <w:r>
        <w:t>Private Receiving surfaces expose no PUT, zoning, labels, manual placement, visible storage grid or ordinary functional-storage registration. The promoted MainDeck is 3.30 × 2.00 m / 33 × 20 cells at 0.10 m, on approximately 3.441 × 2.100 m support, with 0.0705 m side and approximately 0.05 m front/rear margins. Receiving fixture TAKE reach remains 3.4 m; loose reach 1.4 m and ordinary storage/manual reach 2.3 m remain separate. These are prototype values, not fixed shipped dimensions or loot-balance changes. [R10: 1 October lift/deck close-out]</w:t>
      </w:r>
    </w:p>
    <w:p>
      <w:pPr>
        <w:pStyle w:val="Heading2"/>
        <w:widowControl/>
      </w:pPr>
      <w:r>
        <w:t>11.4 Targeting, TAKE and presentation constraints</w:t>
      </w:r>
    </w:p>
    <w:p>
      <w:pPr>
        <w:pStyle w:val="ListBullet"/>
        <w:widowControl/>
      </w:pPr>
      <w:r>
        <w:t>Implemented Stage C contract: only fully OPEN enables both targeting and actual successful TAKE. Closed, arrival, staging, opening, closing and outbound departure disable pickup; stale/direct transfers cannot bypass the gate.</w:t>
      </w:r>
    </w:p>
    <w:p>
      <w:pPr>
        <w:pStyle w:val="ListBullet"/>
        <w:widowControl/>
      </w:pPr>
      <w:r>
        <w:t>Every committed item must become reachable and drainable through progressive normal TAKE from apron-side player positions; the player never enters the freight bay.</w:t>
      </w:r>
    </w:p>
    <w:p>
      <w:pPr>
        <w:pStyle w:val="ListBullet"/>
        <w:widowControl/>
      </w:pPr>
      <w:r>
        <w:t>Receiving-specific fixture reach may differ from ordinary loose and storage reach without changing those ordinary interactions.</w:t>
      </w:r>
    </w:p>
    <w:p>
      <w:pPr>
        <w:pStyle w:val="ListBullet"/>
        <w:widowControl/>
      </w:pPr>
      <w:r>
        <w:t>Remaining cargo does not physics-resettle after TAKE. On fixture stacks, ordinary legal removal, base promotion and compression may apply.</w:t>
      </w:r>
    </w:p>
    <w:p>
      <w:pPr>
        <w:pStyle w:val="ListBullet"/>
        <w:widowControl/>
      </w:pPr>
      <w:r>
        <w:t>Presentation failure must preserve the exact committed content and identity; it is never permission to drop or reroll an item.</w:t>
      </w:r>
    </w:p>
    <w:p>
      <w:pPr>
        <w:widowControl/>
      </w:pPr>
      <w:r>
        <w:t>The hidden-settle and irregular frozen-pile experiment remains completed research and human-rejected for production. Prototype Findings v0.14 preserves its evidence; no support-graph rescue is approved.</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One deposited active batch, retained through arrival, reveal, unloading, closing and complete outbound turnaround.</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Advance preparation alone consumes no slot and does not submit a return or expose cargo to the player.</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Pending returned team until admission or midnight</w:t>
            </w:r>
          </w:p>
        </w:tc>
        <w:tc>
          <w:tcPr>
            <w:tcW w:type="dxa" w:w="6048"/>
            <w:vAlign w:val="top"/>
            <w:shd w:fill="F6F8F9"/>
          </w:tcPr>
          <w:p>
            <w:pPr>
              <w:pStyle w:val="TableText"/>
              <w:keepNext w:val="0"/>
              <w:widowControl/>
            </w:pPr>
            <w:r>
              <w:rPr>
                <w:rFonts w:ascii="Lato" w:hAnsi="Lato"/>
                <w:b w:val="0"/>
                <w:color w:val="25323A"/>
                <w:sz w:val="18"/>
              </w:rPr>
              <w:t>Submitted, compatible commitment waits upstream outside Receiving when admission is blocked; oldest waiting return receives capacity first.</w:t>
            </w:r>
          </w:p>
        </w:tc>
      </w:tr>
    </w:tbl>
    <w:p>
      <w:pPr>
        <w:spacing w:after="60" w:before="0" w:line="40" w:lineRule="exact"/>
      </w:pPr>
      <w:r>
        <w:rPr>
          <w:sz w:val="4"/>
        </w:rPr>
      </w:r>
    </w:p>
    <w:p>
      <w:pPr>
        <w:widowControl/>
      </w:pPr>
      <w:r>
        <w:t>A valid PREPARED deposit becomes active if that slot is empty, otherwise joins the two-slot FIFO queue. A fourth deposit is capacity backpressure, refused atomically without destroying the committed haul. Invalid input is a separate result. Last TAKE does not free occupancy: retirement, promotion and fresh admission wait for the accepted full outbound turnaround. [R14]</w:t>
      </w:r>
    </w:p>
    <w:p>
      <w:pPr>
        <w:widowControl/>
      </w:pPr>
      <w:r>
        <w:t>At the design level, admission completes an expedition return even when the haul is queued. A team still Awaiting Lift at midnight forfeits its undeposited haul and returns without it; its loadout/opportunity is spent. The implemented prototype retains team-linked prepared commitments upstream, without player access, rerolling or replacement, and records admitted, waiting and forfeited returns through in-memory statuses/events. It does not execute Medical, recruitment or population outcomes. [R14]</w:t>
      </w:r>
    </w:p>
    <w:p>
      <w:pPr>
        <w:widowControl/>
      </w:pPr>
      <w:r>
        <w:t>The explicit simulated-midnight hook acts only on still-awaiting commitments and leaves all deposited hauls intact. Oldest waiting returns take genuine vacancies first; terminal identities remain terminal after later capacity notifications. Future Dispatch/Expedition supplies team feedback and clock events. [R14]</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presentation commitment, recovery preserves exact committed content and identities. Once a deterministic presentation is committed, reconstruction must restore its accepted arrangement and remaining-entry ownership. Incompatible profile data fails closed pending an explicit migration or allowed unrevealed re-preparation; a revealed delivery is never rerolled.</w:t>
      </w:r>
    </w:p>
    <w:p>
      <w:pPr>
        <w:widowControl/>
      </w:pPr>
      <w:r>
        <w:t>TAKE transfers the exact existing ItemInstance into the carried bundle and releases its active-batch entry as one ownership transaction. Failed/full-bundle pickup cannot drain or close; stale transfers cannot duplicate an item. The last successful TAKE begins closing, followed by full departure, retirement and FIFO promotion. Full durable save, journal and crash recovery remain future integration. [R14; R12 §§6, 18, 20]</w:t>
      </w:r>
    </w:p>
    <w:p>
      <w:pPr>
        <w:pStyle w:val="Heading2"/>
        <w:widowControl/>
      </w:pPr>
      <w:r>
        <w:t>11.7 Future expedition precomputation</w:t>
      </w:r>
    </w:p>
    <w:p>
      <w:pPr>
        <w:widowControl/>
      </w:pPr>
      <w:r>
        <w:t>Once an expedition outcome is committed and no longer player-influenceable, content and presentation may be prepared before return. This remains an optional future Expedition optimization, not a running generator or return scheduler. Mere preparation neither submits a return nor consumes deposited capacity, reveals loot or changes timing. Actual return submission uses the upstream admission owner and preserves oldest-waiting priority. [R14; R12 §26]</w:t>
      </w:r>
    </w:p>
    <w:p>
      <w:pPr>
        <w:pStyle w:val="Heading2"/>
        <w:widowControl/>
      </w:pPr>
      <w:r>
        <w:t>11.8 Stage C delivery, queue and theatre boundary</w:t>
      </w:r>
    </w:p>
    <w:p>
      <w:pPr>
        <w:widowControl/>
      </w:pPr>
      <w:r>
        <w:t>Receiving Stage C overall is HUMAN-PROMOTED / CLOSED in its agreed prototype scope on 14 October. Accepted single-cycle, distinct back-to-back FIFO deliveries and Awaiting Lift/explicit simulated-midnight handling complete that Receiving gate. C1, Stage A/B and intentional Receiving lighting retain their promotions. Real clock, Expedition generation/teams, Dispatch monitoring, population consequences, durable persistence and actual time-pressure play remain later Systems MVP work. Neither the whole game nor Systems MVP is complete; no next milestone is selected here. [R14]</w:t>
      </w:r>
    </w:p>
    <w:p>
      <w:pPr>
        <w:widowControl/>
      </w:pPr>
      <w:r>
        <w:t>The accepted stationary-bay theatre uses arrival/opening/closing/departure audio and localized W1 amber through ARRIVAL/SEALED_READY/REVEALING, green in OPEN and off in CLOSING/SEALED_EMPTY. The curved read-only CRT now shows live STATUS/DECK/QUEUE. QUEUE 00–02 counts only deposited waiting batches, excluding active cargo and Awaiting Lift teams; their future monitoring belongs to Dispatch/Expedition. The EMERGENCY STOP plaque/button remains decorative. Ordinary lighting/wear/furnishing tuning is tracked scene authoring and does not automatically reopen C1 or Stage C. [R14]</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lock and shutter sounds create anticipation and imply unseen freight movement.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VDD v0.11 governs environment, world, spatial and material direction. Preserve low-complexity realism, readable silhouettes and layered survivor adaptation.</w:t>
      </w:r>
    </w:p>
    <w:p>
      <w:pPr>
        <w:pStyle w:val="ListBullet"/>
        <w:widowControl/>
      </w:pPr>
      <w:r>
        <w:t>The building envelope remains mineral and structurally legible. UV mapping is the default; coherent exposed structure may need no applied finish. Receiving now uses P05_C02. Earlier EAF5 P01_C02/P05_C03 proof selections remain historical room-role evidence. VDD v0.11 owns material and wear grammar.</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contextual wear, localized moisture, sparse legacy signage, quiet surfaces and restrained dry humor. Serious abandonment is confined to peripheral dead spaces; occupied areas remain dependable.</w:t>
      </w:r>
    </w:p>
    <w:p>
      <w:pPr>
        <w:widowControl/>
      </w:pPr>
      <w:r>
        <w:t>Structural Shell and coherent structural surface/material composition are separate human production-art gates; applied finish is optional. Lighting and later dressing cannot rescue weak architecture or materials. Neutral spatial gameplay validation remains separate from art validation, and the accepted wing geometry remains the spatial authority for Receiving C1. [VDD v0.11]</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 and testing. Godot 4.7 is the reported development baseline for this evidence window; each task verifies the installed executable and branch state. Future architect and Codex sessions begin with docs/AI_WORKING_GUIDELINES.md, docs/CURRENT_STATE.md and docs/CODEX_BOOTSTRAP.md, then consult the current master documents and only the records relevant to the active gate.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deterministic arrangement are committed separately. Private TAKE-only surfaces present ordinary WorldItems and may use legal StorageStack behavior. The rejected irregular frozen-pile route is historical research, not a runtime production dependency.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r>
        <w:t>The retained canonical workbench is res://gameplay/dev/item_storage_pose/item_storage_pose_authoring.tscn. It edits actual ItemDefinition pose metadata, exposes authored and suggested canonical Footprints plus warning and packing-preview states, and writes a suggestion only through an explicit action that preserves Footprint z and pose. All 40 eligible definitions have been human-reviewed: 21 default and 19 custom pose approvals; 27 geometry and 13 deliberate override Footprint approvals. Gloves and Pants remain blocked.</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r>
        <w:t>Placed-item records must preserve the orientation chosen at commit time. Load reconstruction must restore each placed item's saved orientation and never derive it again from the current shelf Front. Optional future 0/90/180/270 display rotation expands the saved placement state rather than the ItemDefinition's canonical pose.</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Metric structural walls, slabs, ceilings, beams, pillars and openings now have a promoted reusable authoring route.</w:t>
      </w:r>
    </w:p>
    <w:p>
      <w:pPr>
        <w:pStyle w:val="ListBullet"/>
        <w:widowControl/>
      </w:pPr>
      <w:r>
        <w:t>EAF1–EAF5 remain promoted in their scopes: standardized lookdev, metric structural authoring, curated PBR review, wear authoring and the isolated Receiving proof. EAF4 live editor authoring is completed/human-accepted: eleven conventional presets and sixteen approved scalar patterns. Source/use approval remains distinct from room-placement acceptance. [R10]</w:t>
      </w:r>
    </w:p>
    <w:p>
      <w:pPr>
        <w:pStyle w:val="ListBullet"/>
        <w:widowControl/>
      </w:pPr>
      <w:r>
        <w:t>UV mapping and physical material scale are the environment default. Review material suitability on standardized geometry and in context. Lighting cannot rescue a weak material composition.</w:t>
      </w:r>
    </w:p>
    <w:p>
      <w:pPr>
        <w:pStyle w:val="ListBullet"/>
        <w:widowControl/>
      </w:pPr>
      <w:r>
        <w:t>C1 is CLOSED / HUMAN-PROMOTED as the completed Receiving production environment/art milestone, preserving spatial/gameplay ownership. The isolated EAF5 proof remains historical specification/evidence. Later minor room-art changes do not automatically reopen C1 or completed EAF4 tooling. [R11]</w:t>
      </w:r>
    </w:p>
    <w:p>
      <w:pPr>
        <w:widowControl/>
      </w:pPr>
      <w:r>
        <w:t>Normal EAF4 room authoring uses live independent preset/scalar root controls, duplication and safe save/reopen without launching gameplay. Sixteen scalar patterns sample exactly eleven opacity.red and five roughness.red maps. Approved uses are flat tinted-opacity layers and modulation of only the two established soft Leakage overlays; grayscale is diagnostic and roughness.red is a repurposed scalar pattern. Neither workflow edits base material or establishes true substrate roughness/normal changes. [R10]</w:t>
      </w:r>
    </w:p>
    <w:p>
      <w:pPr>
        <w:pStyle w:val="Heading2"/>
        <w:widowControl/>
      </w:pPr>
      <w:r>
        <w:t>18.7 Foundation Gate and evidence-driven production</w:t>
      </w:r>
    </w:p>
    <w:p>
      <w:pPr>
        <w:widowControl/>
      </w:pPr>
      <w:r>
        <w:t>The representative storage/content gate and EAF1–EAF5 remain promoted foundations. The Foundation Gate remains the review protocol for each space. The developer has accepted Receiving collectively through its structural/material, lighting/reflection, furnishing/collision and initial wear slices, closing C1 on 11 October. [VDD v0.11; R11]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Structural surface/material composition</w:t>
            </w:r>
          </w:p>
        </w:tc>
        <w:tc>
          <w:tcPr>
            <w:tcW w:type="dxa" w:w="4896"/>
            <w:vAlign w:val="top"/>
            <w:shd w:fill="F6F8F9"/>
          </w:tcPr>
          <w:p>
            <w:pPr>
              <w:pStyle w:val="TableText"/>
              <w:keepNext w:val="0"/>
              <w:widowControl/>
            </w:pPr>
            <w:r>
              <w:rPr>
                <w:rFonts w:ascii="Lato" w:hAnsi="Lato"/>
                <w:b w:val="0"/>
                <w:color w:val="25323A"/>
                <w:sz w:val="18"/>
              </w:rPr>
              <w:t>Coherent structural materials at credible physical scale under useful review light, with applied finish only when the room calls for it. Receiving's accepted base uses no applied finish.</w:t>
            </w:r>
          </w:p>
        </w:tc>
        <w:tc>
          <w:tcPr>
            <w:tcW w:type="dxa" w:w="2880"/>
            <w:vAlign w:val="top"/>
            <w:shd w:fill="F6F8F9"/>
          </w:tcPr>
          <w:p>
            <w:pPr>
              <w:pStyle w:val="TableText"/>
              <w:keepNext w:val="0"/>
              <w:widowControl/>
            </w:pPr>
            <w:r>
              <w:rPr>
                <w:rFonts w:ascii="Lato" w:hAnsi="Lato"/>
                <w:b w:val="0"/>
                <w:color w:val="25323A"/>
                <w:sz w:val="18"/>
              </w:rPr>
              <w:t>Lighting that hides weak material scale or composition, or a paint/plaster/tile layer added only to satisfy a checklist.</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services and functional lighting; occupation and furniture; contextual wear and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asset-led Receiving shell remains historically rejected and C1A stays parked/unpromoted. Receiving C1 is now CLOSED / HUMAN-PROMOTED in its bounded production environment/art scope. Dispatch final furnishing and Receiving–Backlog sill walking-surface material are non-blocking adjacent follow-ups; later minor art changes do not automatically reopen C1. [R11]</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interaction/content prototype is complete in its promoted representative scope. The accepted wing, fixed-ladder/rack bridge and Receiving Stage A/B remain foundations. EAF1–EAF5, C1 environment/art, intentional Receiving lighting and Stage C in its agreed Receiving prototype scope are promoted/closed as recorded. Timed obligations, actual Expedition/population/economy integration and full save/journal work remain later; this does not complete Systems MVP. [R14]</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Integrate the accepted one-active/two-queued Receiving and upstream Awaiting Lift prototype with actual Expedition returns, Dispatch monitoring and a real daily midnight event; deposited hauls remain exempt from Awaiting Lift forfeiture.</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Receiving C1 and Stage C are CLOSED / HUMAN-PROMOTED in their agreed scopes. Intentional lighting, single-cycle, two-batch and Awaiting Lift decisions are retained. The first timed obligation and wider Systems MVP remain later work under the existing roadmap; this editorial task chooses and authorizes no next implementation. [R14]</w:t>
      </w:r>
    </w:p>
    <w:p>
      <w:pPr/>
      <w:r>
        <w:t>The continuing wing, accepted compact geometry, normal entry, authored palette and promoted storage foundation remain baseline. GDD v0.14, Findings v0.14 and VDD v0.11 are the approved current masters. Preserve prior editions, dated evidence and ignored licensed assets/import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technically verified and human-promoted in Stage A scope. Full durable save/journal integration remains future.</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Deterministic TAKE-only deck, ordinary WorldItems on private surfaces, functional crates/pallets, exact committed content and progressive apron-side drainability. Its later theatre integration is recorded in Stage C.</w:t>
            </w:r>
          </w:p>
        </w:tc>
        <w:tc>
          <w:tcPr>
            <w:tcW w:type="dxa" w:w="2664"/>
            <w:vAlign w:val="top"/>
            <w:shd w:fill="F6F8F9"/>
          </w:tcPr>
          <w:p>
            <w:r>
              <w:rPr>
                <w:sz w:val="18"/>
              </w:rPr>
              <w:t>Implemented, technically verified and human-promoted in tested Stage B scope. Irregular frozen piles were human-rejected for production. Current authored dimensions and reach are prototype values.</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Autonomous six-state cycle, fully-OPEN TAKE, full outbound retirement/FIFO handoff, one active plus two queued deposits, upstream Awaiting Lift and explicit simulated-midnight forfeiture.</w:t>
            </w:r>
          </w:p>
        </w:tc>
        <w:tc>
          <w:tcPr>
            <w:tcW w:type="dxa" w:w="2664"/>
            <w:vAlign w:val="top"/>
          </w:tcPr>
          <w:p>
            <w:pPr>
              <w:pStyle w:val="TableText"/>
              <w:keepNext w:val="0"/>
              <w:widowControl/>
            </w:pPr>
            <w:r>
              <w:rPr>
                <w:rFonts w:ascii="Lato" w:hAnsi="Lato"/>
                <w:b w:val="0"/>
                <w:color w:val="25323A"/>
                <w:sz w:val="18"/>
              </w:rPr>
              <w:t>IMPLEMENTED / TECHNICALLY VERIFIED / HUMAN-PROMOTED / CLOSED in agreed prototype scope, 14 October. Actual Expedition, clock, Dispatch, population and durable persistence remain later. [R14]</w:t>
            </w:r>
          </w:p>
        </w:tc>
      </w:tr>
    </w:tbl>
    <w:p>
      <w:pPr>
        <w:spacing w:after="60" w:before="0" w:line="40" w:lineRule="exact"/>
      </w:pPr>
      <w:r>
        <w:rPr>
          <w:sz w:val="4"/>
        </w:rPr>
      </w:r>
    </w:p>
    <w:p>
      <w:pPr>
        <w:widowControl/>
      </w:pPr>
      <w:r>
        <w:t>Storage authoring, canonical item pose, orientation/zoning, fixed ladder, rack/ladder bridge, Receiving Stage A/B/C and EAF1–EAF5 remain promoted in their scopes. C1 and intentional lighting remain closed; C1A stays parked. Ordinary wear/furnishing/light tuning does not automatically reopen completed milestones.</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completed bridge</w:t>
      </w:r>
    </w:p>
    <w:p>
      <w:pPr/>
      <w:r>
        <w:t>The completed bridge provides a playable continuing wing with existing storage-capable shelves and a bounded editor-authored assortment of real catalogue items. It preserves the accepted geometry and keeps the functional setup within valid Storage and Sorting space rather than redesigning rooms or populating departmental service spaces.</w:t>
      </w:r>
    </w:p>
    <w:p>
      <w:pPr/>
      <w:r>
        <w:t>The continuing scene reuses ItemDefinition, ItemInstance, WorldItem, per-level StorageSurface profiles, carrying, held/HUD presentation, zoning, placement and support stacking. Shelf meshes alone remain insufficient. The editor-authored palette supplies varied eligible shapes and categories without defining production starting stock; the fixed twelve-host fixture remains separate regression evidence.</w:t>
      </w:r>
    </w:p>
    <w:p>
      <w:pPr/>
      <w:r>
        <w:t>main.tscn and its tunnel/test-room contents retain their original mechanics-fixture purpose. res://gameplay/logistics_wing/wing_gameplay.tscn is the accepted continuing composition built from the promoted geometry. The neutral wing review and shelf-ergonomics review scenes remain separately runnable, and functional authoring remains outside generated geometry subtrees.</w:t>
      </w:r>
    </w:p>
    <w:p>
      <w:pPr/>
      <w:r>
        <w:t>The developer accepted the continuing wing handling/editor-authoring foundation. Later ladder, Stage B, EAF/C1, intentional lighting and Stage C received their own bounded promotions. Their evidence does not validate timed requests, actual Expedition/population balance or full-game saves. [R14]</w:t>
      </w:r>
    </w:p>
    <w:p>
      <w:pPr/>
      <w:r>
        <w:t>The continuing wing is now the normal project launch through UID uid://bljf1nlhijej. The old main remains independently runnable and is not deleted, stripped or merged into the new environment. F6 developer grids remain available and default off in the continuing scene; F7 is suppressed there.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Receiving C1 production composition</w:t>
            </w:r>
          </w:p>
        </w:tc>
        <w:tc>
          <w:tcPr>
            <w:tcW w:type="dxa" w:w="6869"/>
            <w:vAlign w:val="top"/>
          </w:tcPr>
          <w:p>
            <w:pPr>
              <w:pStyle w:val="TableText"/>
              <w:keepNext w:val="0"/>
              <w:widowControl/>
            </w:pPr>
            <w:r>
              <w:rPr>
                <w:rFonts w:ascii="Lato" w:hAnsi="Lato"/>
                <w:b w:val="0"/>
                <w:color w:val="25323A"/>
                <w:sz w:val="18"/>
              </w:rPr>
              <w:t>CLOSED / HUMAN-PROMOTED by the developer on 11 October. Preserve the accepted room; later art changes require ordinary focused clearance, sightline and visual review. Dispatch furnishing and the Receiving–Backlog sill material are non-blocking adjacent follow-ups. [R11]</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r>
        <w:trPr>
          <w:cantSplit/>
        </w:trPr>
        <w:tc>
          <w:tcPr>
            <w:tcW w:type="dxa" w:w="2995"/>
            <w:vAlign w:val="top"/>
            <w:shd w:fill="F6F8F9"/>
          </w:tcPr>
          <w:p>
            <w:pPr>
              <w:pStyle w:val="TableText"/>
              <w:keepNext w:val="0"/>
              <w:widowControl/>
            </w:pPr>
            <w:r>
              <w:rPr>
                <w:rFonts w:ascii="Lato" w:hAnsi="Lato"/>
                <w:b/>
                <w:color w:val="25323A"/>
                <w:sz w:val="18"/>
              </w:rPr>
              <w:t>Stage C delivery pressure and theatre</w:t>
            </w:r>
          </w:p>
        </w:tc>
        <w:tc>
          <w:tcPr>
            <w:tcW w:type="dxa" w:w="6869"/>
            <w:vAlign w:val="top"/>
            <w:shd w:fill="F6F8F9"/>
          </w:tcPr>
          <w:p>
            <w:pPr>
              <w:pStyle w:val="TableText"/>
              <w:keepNext w:val="0"/>
              <w:widowControl/>
            </w:pPr>
            <w:r>
              <w:rPr>
                <w:rFonts w:ascii="Lato" w:hAnsi="Lato"/>
                <w:b w:val="0"/>
                <w:color w:val="25323A"/>
                <w:sz w:val="18"/>
              </w:rPr>
              <w:t>HUMAN-PROMOTED / CLOSED for the agreed Receiving prototype: autonomous theatre, fully-OPEN TAKE, FIFO turnaround and upstream Awaiting Lift. Actual daily time pressure and Systems MVP integration remain to be tested separately. [R14]</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compact wing geometry and the reviewed lift/deck and furnished circulation remain the prototype baseline. Later furnishing changes require focused clearance/sightline review and matching collision-proxy refit. Final shipped lift dimensions remain provisional; current Stage B deck measurements are accepted prototype values.</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r>
        <w:trPr>
          <w:cantSplit/>
        </w:trPr>
        <w:tc>
          <w:tcPr>
            <w:tcW w:type="dxa" w:w="2995"/>
            <w:vAlign w:val="top"/>
          </w:tcPr>
          <w:p>
            <w:pPr>
              <w:pStyle w:val="TableText"/>
            </w:pPr>
            <w:r>
              <w:rPr>
                <w:sz w:val="18"/>
              </w:rPr>
              <w:t>Freight fixtures and lift theatre</w:t>
            </w:r>
          </w:p>
        </w:tc>
        <w:tc>
          <w:tcPr>
            <w:tcW w:type="dxa" w:w="6869"/>
            <w:vAlign w:val="top"/>
          </w:tcPr>
          <w:p>
            <w:pPr>
              <w:pStyle w:val="TableText"/>
            </w:pPr>
            <w:r>
              <w:rPr>
                <w:sz w:val="18"/>
              </w:rPr>
              <w:t>Current prototype shutter/light/audio theatre is human-promoted in Stage C. Shipped fixture art/counts for future profiles and later production refinements remain content/authoring decisions, not unfinished Stage C blockers.</w:t>
            </w:r>
          </w:p>
        </w:tc>
      </w:tr>
      <w:tr>
        <w:trPr>
          <w:cantSplit/>
        </w:trPr>
        <w:tc>
          <w:tcPr>
            <w:tcW w:type="dxa" w:w="2995"/>
            <w:vAlign w:val="top"/>
          </w:tcPr>
          <w:p>
            <w:pPr>
              <w:pStyle w:val="TableText"/>
            </w:pPr>
            <w:r>
              <w:rPr>
                <w:sz w:val="18"/>
              </w:rPr>
              <w:t>Receiving C1 completed milestone and adjacent follow-ups</w:t>
            </w:r>
          </w:p>
        </w:tc>
        <w:tc>
          <w:tcPr>
            <w:tcW w:type="dxa" w:w="6869"/>
            <w:vAlign w:val="top"/>
          </w:tcPr>
          <w:p>
            <w:pPr>
              <w:pStyle w:val="TableText"/>
            </w:pPr>
            <w:r>
              <w:rPr>
                <w:sz w:val="18"/>
              </w:rPr>
              <w:t>C1 environment/art and Stage C agreed prototype scope are CLOSED / HUMAN-PROMOTED; C1A stays parked. Dispatch furnishing, neighboring lighting and sill material remain separate adjacent work. [R14]</w:t>
            </w:r>
          </w:p>
        </w:tc>
      </w:tr>
    </w:tbl>
    <w:p>
      <w:pPr>
        <w:spacing w:after="60" w:before="0" w:line="40" w:lineRule="exact"/>
      </w:pPr>
      <w:r>
        <w:rPr>
          <w:sz w:val="4"/>
        </w:rPr>
      </w:r>
    </w:p>
    <w:p>
      <w:pPr>
        <w:pStyle w:val="Heading2"/>
        <w:widowControl/>
      </w:pPr>
      <w:r>
        <w:t>21.3 Current next artifacts and bounded follow-ups</w:t>
      </w:r>
    </w:p>
    <w:p>
      <w:pPr>
        <w:widowControl/>
      </w:pPr>
      <w:r>
        <w:t>GDD v0.14, Findings v0.14 and VDD v0.11 are the approved current masters. Receiving C1 and Stage C are CLOSED / HUMAN-PROMOTED in their agreed scopes; ordinary room authoring does not automatically reopen them. Document publication selects no next gameplay milestone. [R14]</w:t>
      </w:r>
    </w:p>
    <w:p>
      <w:pPr>
        <w:pStyle w:val="ListBullet"/>
        <w:widowControl/>
      </w:pPr>
      <w:r>
        <w:t>Preserve the promoted Storage Authoring Foundation, canonical item pose and bounded fixed ladder, including the real-wing rack/ladder bridge.</w:t>
      </w:r>
    </w:p>
    <w:p>
      <w:pPr>
        <w:pStyle w:val="ListBullet"/>
        <w:widowControl/>
      </w:pPr>
      <w:r>
        <w:t>Preserve Stage A exact-content and identity ownership and Stage B's deterministic TAKE-only deck and functional freight fixtures; do not revive the rejected irregular frozen pile.</w:t>
      </w:r>
    </w:p>
    <w:p>
      <w:pPr>
        <w:pStyle w:val="ListBullet"/>
        <w:widowControl/>
      </w:pPr>
      <w:r>
        <w:t>Reuse the promoted EAF workflow for ordinary Receiving adjustments and later rooms. Broad restrained scalar variation and local causal wear remain editable; the dated initial 18-layer composition is history, not a current count or quota. The saved human scene governs retained instances. [R14]</w:t>
      </w:r>
    </w:p>
    <w:p>
      <w:pPr>
        <w:pStyle w:val="ListBullet"/>
        <w:widowControl/>
      </w:pPr>
      <w:r>
        <w:t>Preserve the accepted six-state lift, fully-OPEN TAKE, live CRT/W1, full outbound FIFO handoff and Awaiting Lift/explicit midnight seam. Integrate future actual returns through the upstream owner so fairness and terminal identity remain intact. [R14]</w:t>
      </w:r>
    </w:p>
    <w:p>
      <w:pPr>
        <w:pStyle w:val="ListBullet"/>
        <w:widowControl/>
      </w:pPr>
      <w:r>
        <w:t>The first timed obligation, economy integration and full save/journal/crash guarantees remain broader Systems MVP work under the existing roadmap.</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Receiving is already full: one active plus two deposited queued batches. The final clamped expedition returns and becomes Awaiting Lift.</w:t>
            </w:r>
          </w:p>
        </w:tc>
        <w:tc>
          <w:tcPr>
            <w:tcW w:type="dxa" w:w="4565"/>
            <w:vAlign w:val="top"/>
          </w:tcPr>
          <w:p>
            <w:pPr>
              <w:pStyle w:val="TableText"/>
              <w:keepNext w:val="0"/>
              <w:widowControl/>
            </w:pPr>
            <w:r>
              <w:rPr>
                <w:rFonts w:ascii="Lato" w:hAnsi="Lato"/>
                <w:b w:val="0"/>
                <w:color w:val="25323A"/>
                <w:sz w:val="18"/>
              </w:rPr>
              <w:t>Fully empty the active batch, then allow shutter closure, latching and complete outbound departure to release a deposited slot before midnight. Partial unloading releases no slot; enough time is not guaranteed. Illustrative pressure, not a new timing or balance rule.</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Human production-art approval of Layer 1 structural shell and Layer 2 coherent structural surface/material composition. Applied finish is optional; neutral gameplay validation does not promote art.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r>
        <w:trPr>
          <w:cantSplit/>
        </w:trPr>
        <w:tc>
          <w:tcPr>
            <w:tcW w:type="dxa" w:w="2995"/>
            <w:vAlign w:val="center"/>
            <w:shd w:fill="F6F8F9"/>
          </w:tcPr>
          <w:p>
            <w:r>
              <w:t>Storage unit Front</w:t>
            </w:r>
          </w:p>
        </w:tc>
        <w:tc>
          <w:tcPr>
            <w:tcW w:type="dxa" w:w="6869"/>
            <w:vAlign w:val="center"/>
            <w:shd w:fill="F6F8F9"/>
          </w:tcPr>
          <w:p>
            <w:r>
              <w:t>Developer-authored semantic direction shared by every surface in one storage unit. It controls zoning presentation and new canonical item alignment without rotating the physical grid.</w:t>
            </w:r>
          </w:p>
        </w:tc>
      </w:tr>
      <w:tr>
        <w:trPr>
          <w:cantSplit/>
        </w:trPr>
        <w:tc>
          <w:tcPr>
            <w:tcW w:type="dxa" w:w="2995"/>
            <w:vAlign w:val="center"/>
            <w:shd w:fill="F6F8F9"/>
          </w:tcPr>
          <w:p>
            <w:r>
              <w:t>Canonical item storage pose</w:t>
            </w:r>
          </w:p>
        </w:tc>
        <w:tc>
          <w:tcPr>
            <w:tcW w:type="dxa" w:w="6869"/>
            <w:vAlign w:val="center"/>
            <w:shd w:fill="F6F8F9"/>
          </w:tcPr>
          <w:p>
            <w:r>
              <w:t>ItemDefinition-authored full pitch/yaw/roll correction whose intended item Front faces +Z before runtime unit alignment and optional packing rotation.</w:t>
            </w:r>
          </w:p>
        </w:tc>
      </w:tr>
      <w:tr>
        <w:trPr>
          <w:cantSplit/>
        </w:trPr>
        <w:tc>
          <w:tcPr>
            <w:tcW w:type="dxa" w:w="2995"/>
            <w:vAlign w:val="center"/>
            <w:shd w:fill="F6F8F9"/>
          </w:tcPr>
          <w:p>
            <w:r>
              <w:t>Packing rotation</w:t>
            </w:r>
          </w:p>
        </w:tc>
        <w:tc>
          <w:tcPr>
            <w:tcW w:type="dxa" w:w="6869"/>
            <w:vAlign w:val="center"/>
            <w:shd w:fill="F6F8F9"/>
          </w:tcPr>
          <w:p>
            <w:r>
              <w:t>Per-placement optional +90-degree turn kept separate from unit Front and the canonical item pose.</w:t>
            </w:r>
          </w:p>
        </w:tc>
      </w:tr>
      <w:tr>
        <w:trPr>
          <w:cantSplit/>
        </w:trPr>
        <w:tc>
          <w:tcPr>
            <w:tcW w:type="dxa" w:w="2995"/>
            <w:vAlign w:val="center"/>
            <w:shd w:fill="F6F8F9"/>
          </w:tcPr>
          <w:p>
            <w:r>
              <w:t>Receiving presentation surface</w:t>
            </w:r>
          </w:p>
        </w:tc>
        <w:tc>
          <w:tcPr>
            <w:tcW w:type="dxa" w:w="6869"/>
            <w:vAlign w:val="center"/>
            <w:shd w:fill="F6F8F9"/>
          </w:tcPr>
          <w:p>
            <w:r>
              <w:t>Private deterministic TAKE-only cargo surface; no PUT, zoning, labels, manual placement, visible grid or ordinary storage registration.</w:t>
            </w:r>
          </w:p>
        </w:tc>
      </w:tr>
      <w:tr>
        <w:trPr>
          <w:cantSplit/>
        </w:trPr>
        <w:tc>
          <w:tcPr>
            <w:tcW w:type="dxa" w:w="2995"/>
            <w:vAlign w:val="center"/>
            <w:shd w:fill="F6F8F9"/>
          </w:tcPr>
          <w:p>
            <w:r>
              <w:t>FixedLadder</w:t>
            </w:r>
          </w:p>
        </w:tc>
        <w:tc>
          <w:tcPr>
            <w:tcW w:type="dxa" w:w="6869"/>
            <w:vAlign w:val="center"/>
            <w:shd w:fill="F6F8F9"/>
          </w:tcPr>
          <w:p>
            <w:r>
              <w:t>Developer-authored access infrastructure for selected taller storage installations, not general climbing or universal ladder coverage.</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powered shutter; deterministic TAKE-only presentation with no live pile physics.</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r>
        <w:trPr>
          <w:cantSplit/>
        </w:trPr>
        <w:tc>
          <w:tcPr>
            <w:tcW w:type="dxa" w:w="2995"/>
            <w:vAlign w:val="center"/>
          </w:tcPr>
          <w:p>
            <w:r>
              <w:t>Storage orientation state 0</w:t>
            </w:r>
          </w:p>
        </w:tc>
        <w:tc>
          <w:tcPr>
            <w:tcW w:type="dxa" w:w="6869"/>
            <w:vAlign w:val="center"/>
          </w:tcPr>
          <w:p>
            <w:r>
              <w:t>Front +Z, Back -Z, Right +X, Left -X; states 1/2/3 quarter-turn this basis.</w:t>
            </w:r>
          </w:p>
        </w:tc>
      </w:tr>
      <w:tr>
        <w:trPr>
          <w:cantSplit/>
        </w:trPr>
        <w:tc>
          <w:tcPr>
            <w:tcW w:type="dxa" w:w="2995"/>
            <w:vAlign w:val="center"/>
          </w:tcPr>
          <w:p>
            <w:r>
              <w:t>Zoning view</w:t>
            </w:r>
          </w:p>
        </w:tc>
        <w:tc>
          <w:tcPr>
            <w:tcW w:type="dxa" w:w="6869"/>
            <w:vAlign w:val="center"/>
          </w:tcPr>
          <w:p>
            <w:r>
              <w:t>Always viewed from authored Front: Back at top, Front at bottom; physical F6/grid state remains unchanged.</w:t>
            </w:r>
          </w:p>
        </w:tc>
      </w:tr>
      <w:tr>
        <w:trPr>
          <w:cantSplit/>
        </w:trPr>
        <w:tc>
          <w:tcPr>
            <w:tcW w:type="dxa" w:w="2995"/>
            <w:vAlign w:val="center"/>
          </w:tcPr>
          <w:p>
            <w:r>
              <w:t>Canonical item Front</w:t>
            </w:r>
          </w:p>
        </w:tc>
        <w:tc>
          <w:tcPr>
            <w:tcW w:type="dxa" w:w="6869"/>
            <w:vAlign w:val="center"/>
          </w:tcPr>
          <w:p>
            <w:r>
              <w:t>+Z in the ItemDefinition authoring reference; default new placement aligns it to unit Front.</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r>
        <w:trPr>
          <w:cantSplit/>
        </w:trPr>
        <w:tc>
          <w:tcPr>
            <w:tcW w:type="dxa" w:w="1584"/>
            <w:vAlign w:val="top"/>
          </w:tcPr>
          <w:p>
            <w:pPr>
              <w:pStyle w:val="TableText"/>
              <w:keepNext w:val="0"/>
              <w:widowControl/>
            </w:pPr>
            <w:r>
              <w:rPr>
                <w:sz w:val="18"/>
              </w:rPr>
              <w:t>v0.11: 7; 20–21; Appendix E</w:t>
            </w:r>
          </w:p>
        </w:tc>
        <w:tc>
          <w:tcPr>
            <w:tcW w:type="dxa" w:w="8280"/>
            <w:vAlign w:val="top"/>
          </w:tcPr>
          <w:p>
            <w:pPr>
              <w:pStyle w:val="TableText"/>
              <w:keepNext w:val="0"/>
              <w:widowControl/>
            </w:pPr>
            <w:r>
              <w:rPr>
                <w:sz w:val="18"/>
              </w:rPr>
              <w:t>The pending fixed-ladder proof and human decision in v0.10 are historical. FixedLadder and the Wing ModularRack + FixedLadder bridge are promoted only for selected authored taller installations.</w:t>
            </w:r>
          </w:p>
        </w:tc>
      </w:tr>
      <w:tr>
        <w:trPr>
          <w:cantSplit/>
        </w:trPr>
        <w:tc>
          <w:tcPr>
            <w:tcW w:type="dxa" w:w="1584"/>
            <w:vAlign w:val="top"/>
          </w:tcPr>
          <w:p>
            <w:pPr>
              <w:pStyle w:val="TableText"/>
              <w:keepNext w:val="0"/>
              <w:widowControl/>
            </w:pPr>
            <w:r>
              <w:rPr>
                <w:sz w:val="18"/>
              </w:rPr>
              <w:t>v0.11: 4; 7; 11; 20–21</w:t>
            </w:r>
          </w:p>
        </w:tc>
        <w:tc>
          <w:tcPr>
            <w:tcW w:type="dxa" w:w="8280"/>
            <w:vAlign w:val="top"/>
          </w:tcPr>
          <w:p>
            <w:pPr>
              <w:pStyle w:val="TableText"/>
              <w:keepNext w:val="0"/>
              <w:widowControl/>
            </w:pPr>
            <w:r>
              <w:rPr>
                <w:sz w:val="18"/>
              </w:rPr>
              <w:t>The preferred hidden-settle/irregular frozen-pile route is superseded after human rejection. Deterministic TAKE-only Stage B deck and functional freight fixtures are the promoted presentation; Stage C queue and theatre remain open.</w:t>
            </w:r>
          </w:p>
        </w:tc>
      </w:tr>
      <w:tr>
        <w:trPr>
          <w:cantSplit/>
        </w:trPr>
        <w:tc>
          <w:tcPr>
            <w:tcW w:type="dxa" w:w="1584"/>
            <w:vAlign w:val="top"/>
          </w:tcPr>
          <w:p>
            <w:pPr>
              <w:pStyle w:val="TableText"/>
              <w:keepNext w:val="0"/>
              <w:widowControl/>
            </w:pPr>
            <w:r>
              <w:rPr>
                <w:sz w:val="18"/>
              </w:rPr>
              <w:t>v0.11: 16; 18; 20–21</w:t>
            </w:r>
          </w:p>
        </w:tc>
        <w:tc>
          <w:tcPr>
            <w:tcW w:type="dxa" w:w="8280"/>
            <w:vAlign w:val="top"/>
          </w:tcPr>
          <w:p>
            <w:pPr>
              <w:pStyle w:val="TableText"/>
              <w:keepNext w:val="0"/>
              <w:widowControl/>
            </w:pPr>
            <w:r>
              <w:rPr>
                <w:sz w:val="18"/>
              </w:rPr>
              <w:t>Pre-EAF uncertainty about a structural/PBR route is superseded. EAF1–EAF5 are promoted; EAF5 is closed with an accepted Receiving recipe. Production C1 migration and room-specific visual review remain.</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their then-current geometry status and roadmap were superseded by V05/P08 and later by V06/P09.</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historical records of the then-current visual, spatial and evidence state, superseded by V06/P09.</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At that historical checkpoint, publication of the local wing remained a local close-out action and had not been performed.</w:t>
            </w:r>
          </w:p>
        </w:tc>
      </w:tr>
      <w:tr>
        <w:trPr>
          <w:cantSplit/>
        </w:trPr>
        <w:tc>
          <w:tcPr>
            <w:tcW w:type="dxa" w:w="1224"/>
          </w:tcPr>
          <w:p>
            <w:pPr/>
            <w:r>
              <w:rPr>
                <w:sz w:val="18"/>
              </w:rPr>
              <w:t>P11</w:t>
            </w:r>
          </w:p>
        </w:tc>
        <w:tc>
          <w:tcPr>
            <w:tcW w:type="dxa" w:w="8640"/>
          </w:tcPr>
          <w:p>
            <w:pPr/>
            <w:r>
              <w:rPr>
                <w:sz w:val="18"/>
              </w:rPr>
              <w:t>Prototype Findings v0.11, 29 September 2026: reviewed implementation and human evidence companion for fixed ladder, Receiving Stage B and EAF1–EAF5. Historical checkpoints remain dated.</w:t>
            </w:r>
          </w:p>
        </w:tc>
      </w:tr>
      <w:tr>
        <w:trPr>
          <w:cantSplit/>
        </w:trPr>
        <w:tc>
          <w:tcPr>
            <w:tcW w:type="dxa" w:w="1224"/>
          </w:tcPr>
          <w:p>
            <w:pPr/>
            <w:r>
              <w:rPr>
                <w:sz w:val="18"/>
              </w:rPr>
              <w:t>V08</w:t>
            </w:r>
          </w:p>
        </w:tc>
        <w:tc>
          <w:tcPr>
            <w:tcW w:type="dxa" w:w="8640"/>
          </w:tcPr>
          <w:p>
            <w:pPr/>
            <w:r>
              <w:rPr>
                <w:sz w:val="18"/>
              </w:rPr>
              <w:t>Visual Design &amp; World-Building Direction v0.8, 29 September 2026: reviewed environment, spatial and material companion, including the Receiving recipe and C1 boundary.</w:t>
            </w:r>
          </w:p>
        </w:tc>
      </w:tr>
      <w:tr>
        <w:trPr>
          <w:cantSplit/>
        </w:trPr>
        <w:tc>
          <w:tcPr>
            <w:tcW w:type="dxa" w:w="1224"/>
          </w:tcPr>
          <w:p>
            <w:pPr/>
            <w:r>
              <w:rPr>
                <w:sz w:val="18"/>
              </w:rPr>
              <w:t>EAF5</w:t>
            </w:r>
          </w:p>
        </w:tc>
        <w:tc>
          <w:tcPr>
            <w:tcW w:type="dxa" w:w="8640"/>
          </w:tcPr>
          <w:p>
            <w:pPr/>
            <w:r>
              <w:rPr>
                <w:sz w:val="18"/>
              </w:rPr>
              <w:t>EAF5 promotion validation and data/environment/receiving_proof/eaf5_c1_handoff.json: closed architectural proof, room palette and production migration boundary.</w:t>
            </w:r>
          </w:p>
        </w:tc>
      </w:tr>
    </w:tbl>
    <w:p>
      <w:pPr>
        <w:spacing w:after="60" w:before="0" w:line="40" w:lineRule="exact"/>
      </w:pPr>
      <w:r>
        <w:rPr>
          <w:sz w:val="4"/>
        </w:rPr>
      </w:r>
    </w:p>
    <w:p>
      <w:pPr>
        <w:widowControl/>
      </w:pPr>
      <w:r>
        <w:t>This v0.8 consolidation recorded accepted spatial evidence and the then-required seeded-storage prerequisite. At that checkpoint it changed status, abandoned-route scope and sequencing, not item, request, treatment, expedition, stacking, zoning or save mechanics. It made no local merge/push, Godot-run, scene-migration or functional-Receiving claim. [W17, H17, A17, D17B, R17]</w:t>
      </w:r>
    </w:p>
    <w:p>
      <w:r>
        <w:br/>
      </w:r>
    </w:p>
    <w:p>
      <w:pPr>
        <w:pStyle w:val="Heading1"/>
      </w:pPr>
      <w:r>
        <w:t>APPENDIX D  v0.9 STORAGE AUTHORING CONSOLIDATION</w:t>
      </w:r>
    </w:p>
    <w:p>
      <w:pPr>
        <w:pStyle w:val="SourceNote"/>
      </w:pPr>
      <w:r>
        <w:t>HISTORICAL CHECKPOINT. Appendix D retains the 20 September v0.9 state and its then-pending gates. Appendix E supersedes its current-status claims after the promoted 20-21 September foundation milestones.</w:t>
      </w:r>
    </w:p>
    <w:p>
      <w:pPr>
        <w:pStyle w:val="Heading2"/>
      </w:pPr>
      <w:r>
        <w:t>D.1 Current playable composition and palette</w:t>
      </w:r>
    </w:p>
    <w:p>
      <w:r>
        <w:t>res://gameplay/logistics_wing/wing_gameplay.tscn is the normal development and playable composition. It combines the accepted wing geometry, normal player and HUD, three functional storage units, twelve functional surfaces, and the saved DevelopmentSetup palette. Legacy main.tscn remains an explicit mechanics fixture and the neutral review scene remains available for spatial review. In the continuing scene F6 developer grids are retained and default off, while F7 is suppressed.</w:t>
      </w:r>
    </w:p>
    <w:p>
      <w:r>
        <w:t>The saved DevelopmentSetup/SeedItems composition is the palette authority. It contains at least one direct editor-authored host for every currently approved eligible type, retains the separate fixed twelve-host regression fixture, and preserves the developer's table and item arrangement. Fuel (loot_000015) is eligible for correctly authored development hosts after its maintenance reconciliation. Gloves (loot_000034) and Pants (loot_000036) remain blocked. This palette is development authoring support, not a production starting inventory decision.</w:t>
      </w:r>
    </w:p>
    <w:p>
      <w:pPr>
        <w:pStyle w:val="Heading2"/>
      </w:pPr>
      <w:r>
        <w:t>D.2 Storage installation and authoring authority</w:t>
      </w:r>
    </w:p>
    <w:p>
      <w:r>
        <w:t>Storage usability belongs to the complete installation: furniture model, authored dimensions and level distribution, room placement, approach space, usable depth and insets, player viewpoint, interaction reach, lighting, target visibility and obstruction. Technical cell capacity alone is not proof that a person can see, target and manually place items.</w:t>
      </w:r>
    </w:p>
    <w:p>
      <w:pPr>
        <w:pStyle w:val="ListBullet"/>
      </w:pPr>
      <w:r>
        <w:t>Use a mixed storage family. Predominantly open modular racks form the general backbone; shallow wall storage, specialist units and deliberately absent top decks solve specific conditions. Cabinets and other opaque storage remain selective rather than the default.</w:t>
      </w:r>
    </w:p>
    <w:p>
      <w:pPr>
        <w:pStyle w:val="ListBullet"/>
      </w:pPr>
      <w:r>
        <w:t>Open racks may tolerate greater usable depth where players can approach from more sides. Wall and corner installations generally require shallower usable depth and clear shelf openings.</w:t>
      </w:r>
    </w:p>
    <w:p>
      <w:pPr>
        <w:pStyle w:val="ListBullet"/>
      </w:pPr>
      <w:r>
        <w:t>A slim authored usable-area inset may be evaluated independently at each edge. Do not impose one universal percentage or silently remove useful front-edge capacity.</w:t>
      </w:r>
    </w:p>
    <w:p>
      <w:pPr>
        <w:pStyle w:val="ListBullet"/>
      </w:pPr>
      <w:r>
        <w:t>The developer retains final authority over functional storage installation authoring: model selection, installation placement, unit dimensions, level count and distribution, and ladder availability and placement. Codex may assist with tooling, validation, decoration and later synthetic checks. This is a development-authoring responsibility, not a player-facing furniture-construction permission. The in-game player retains ownership of storage taxonomy, zoning, labels and day-to-day organization within the authored installations.</w:t>
      </w:r>
    </w:p>
    <w:p>
      <w:pPr>
        <w:pStyle w:val="Heading2"/>
      </w:pPr>
      <w:r>
        <w:t>D.3 Ground access evidence and fixed ladder proof</w:t>
      </w:r>
    </w:p>
    <w:p>
      <w:r>
        <w:t>The A, B and C review experiment is completed evidence and its explicit review scene is retained. Uniformly compressing existing multi-level furniture is rejected as the general solution. In the tested corner-mounted modular-rack context, more than three ground-access levels produced unacceptable compromises in visibility and manual targeting unless the shelves became too shallow or squat. The developer's manually authored three-level modular-rack configuration is a useful ground-access reference, not a universal production template. SM_Rack01.glb and SM_Rack02.glb remain static review assets without functional storage surfaces.</w:t>
      </w:r>
    </w:p>
    <w:p>
      <w:r>
        <w:t>A 1.80 m eye height improved some upper-level cases but did not solve deep shelves or opaque dividers and could worsen low-shelf viewing. A 2.8 m ordinary ceiling looked more proportionate in the tested context. Both remain trial observations; neither changes the wing camera or ceilings.</w:t>
      </w:r>
    </w:p>
    <w:p>
      <w:r>
        <w:t>Fixed shelf-serving ladders are approved only for a bounded proof based on the current ergonomics evidence. This does not approve production ladders, general climbing or jumping, movable or sliding ladders, animations, visible hands, a fall system or shelf-adjustment interaction. Player-adjustable shelf levels remain a post-release or expansion possibility with no weight in the current ladder decision.</w:t>
      </w:r>
    </w:p>
    <w:p>
      <w:pPr>
        <w:pStyle w:val="Heading2"/>
      </w:pPr>
      <w:r>
        <w:t>D.4 Current gate order and supersessions</w:t>
      </w:r>
    </w:p>
    <w:p>
      <w:pPr>
        <w:pStyle w:val="ListNumber"/>
      </w:pPr>
      <w:r>
        <w:t>Reuse the accepted review-scene supply and item presentation where it reduces duplicate setup without changing the normal palette authority.</w:t>
      </w:r>
    </w:p>
    <w:p>
      <w:pPr>
        <w:pStyle w:val="ListNumber"/>
      </w:pPr>
      <w:r>
        <w:t>Create reusable functional modular-rack authoring that preserves player ownership of each installation.</w:t>
      </w:r>
    </w:p>
    <w:p>
      <w:pPr>
        <w:pStyle w:val="ListNumber"/>
      </w:pPr>
      <w:r>
        <w:t>Run one fixed shelf-serving ladder proof on a single rack.</w:t>
      </w:r>
    </w:p>
    <w:p>
      <w:pPr>
        <w:pStyle w:val="ListNumber"/>
      </w:pPr>
      <w:r>
        <w:t>Make the human ladder decision from that proof.</w:t>
      </w:r>
    </w:p>
    <w:p>
      <w:pPr>
        <w:pStyle w:val="ListNumber"/>
      </w:pPr>
      <w:r>
        <w:t>Resume Receiving unless storage ergonomics exposes another concrete blocker.</w:t>
      </w:r>
    </w:p>
    <w:p>
      <w:r>
        <w:t>This order supersedes the v0.8 sequence that treated seeded storage, Fuel reconciliation and shelf ergonomics as pending. Receiving remains the next systems feature after the Storage Authoring and Testbed Foundation and ladder decision. Production palette reuse, functional modular racks, ladders, camera or ceiling promotion, gallery furnishing, crouch, height-aware auto-placement and player-adjustable shelves are not implemented by this revision.</w:t>
      </w:r>
    </w:p>
    <w:p>
      <w:pPr>
        <w:pStyle w:val="Heading2"/>
      </w:pPr>
      <w:r>
        <w:t>D.5 Current evidence</w:t>
      </w:r>
    </w:p>
    <w:p>
      <w:r>
        <w:t>Current repo-local records are docs/testing/wing-gameplay-default-entry-closeout-validation.md, docs/testing/wing-gameplay-foundation-acceptance-2026-09-18.md, docs/testing/locker-fuel-maintenance-validation.md, docs/testing/expanded-item-palette-validation.md and docs/testing/shelf-ceiling-ergonomics-comparison.md. Process guidance is docs/AI_WORKING_GUIDELINES.md. Historical reports retain the status they had when written.</w:t>
      </w:r>
    </w:p>
    <w:p>
      <w:pPr>
        <w:pStyle w:val="Heading1"/>
      </w:pPr>
      <w:r>
        <w:t>APPENDIX E  v0.10 STORAGE AUTHORING, ORIENTATION AND ITEM-POSE CLOSURE</w:t>
      </w:r>
    </w:p>
    <w:p>
      <w:pPr>
        <w:pStyle w:val="Heading2"/>
      </w:pPr>
      <w:r>
        <w:t>E.1 Reusable installation authoring</w:t>
      </w:r>
    </w:p>
    <w:p>
      <w:r>
        <w:t>Review-scene supply reuse and reusable functional ModularRack authoring are promoted. The retained shelf ergonomics review reuses the composed DevelopmentSetup from wing_gameplay.tscn and no longer activates the cabinet-only sample fixture.</w:t>
      </w:r>
    </w:p>
    <w:p>
      <w:r>
        <w:t>ModularRack is a shelf-empty reusable scaffold with an editable Levels container. Parent-scene-local shelf wrappers support normal add, duplicate, move and delete operations. One root @tool controller owns dimensions, per-edge usable-area insets, calibrated visuals, collision, preview and runtime surfaces. Rack02 deck calibration and F6 alignment are promoted; the three-level starter remains a review reference rather than a universal standard.</w:t>
      </w:r>
    </w:p>
    <w:p>
      <w:r>
        <w:t>The developer owns model, installation placement, dimensions, level count/distribution, unit Front and ladder availability/placement. The player owns zones, labels and daily organization. No player-facing free-build is approved.</w:t>
      </w:r>
    </w:p>
    <w:p>
      <w:pPr>
        <w:pStyle w:val="Heading2"/>
      </w:pPr>
      <w:r>
        <w:t>E.2 Unit Front and semantic zoning</w:t>
      </w:r>
    </w:p>
    <w:p>
      <w:r>
        <w:t>Semantic orientation belongs to the storage unit. Every surface in one unit shares its state, and the developer authors Front manually. Mesh appearance, wall location and player approach do not infer it.</w:t>
      </w:r>
    </w:p>
    <w:tbl>
      <w:tblPr>
        <w:tblW w:type="auto" w:w="0"/>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Pr>
          <w:p>
            <w:r>
              <w:t>State</w:t>
            </w:r>
          </w:p>
        </w:tc>
        <w:tc>
          <w:tcPr>
            <w:tcW w:type="dxa" w:w="1973"/>
            <w:vAlign w:val="center"/>
          </w:tcPr>
          <w:p>
            <w:r>
              <w:t>Front</w:t>
            </w:r>
          </w:p>
        </w:tc>
        <w:tc>
          <w:tcPr>
            <w:tcW w:type="dxa" w:w="1973"/>
            <w:vAlign w:val="center"/>
          </w:tcPr>
          <w:p>
            <w:r>
              <w:t>Back</w:t>
            </w:r>
          </w:p>
        </w:tc>
        <w:tc>
          <w:tcPr>
            <w:tcW w:type="dxa" w:w="1973"/>
            <w:vAlign w:val="center"/>
          </w:tcPr>
          <w:p>
            <w:r>
              <w:t>Right</w:t>
            </w:r>
          </w:p>
        </w:tc>
        <w:tc>
          <w:tcPr>
            <w:tcW w:type="dxa" w:w="1973"/>
            <w:vAlign w:val="center"/>
          </w:tcPr>
          <w:p>
            <w:r>
              <w:t>Left</w:t>
            </w:r>
          </w:p>
        </w:tc>
      </w:tr>
      <w:tr>
        <w:tc>
          <w:tcPr>
            <w:tcW w:type="dxa" w:w="1973"/>
            <w:vAlign w:val="center"/>
          </w:tcPr>
          <w:p>
            <w:r>
              <w:t>0</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1</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r>
        <w:tc>
          <w:tcPr>
            <w:tcW w:type="dxa" w:w="1973"/>
            <w:vAlign w:val="center"/>
          </w:tcPr>
          <w:p>
            <w:r>
              <w:t>2</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3</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bl>
    <w:p>
      <w:r>
        <w:t>Zoning always presents the surface from authored Front, with Back at the top and Front at the bottom. Semantic coordinates map reversibly to the unchanged physical cell array. F6 and the physical grid remain diagnostics; changing orientation metadata does not migrate existing physical zone cells.</w:t>
      </w:r>
    </w:p>
    <w:p>
      <w:pPr>
        <w:pStyle w:val="Heading2"/>
      </w:pPr>
      <w:r>
        <w:t>E.3 Canonical item pose and packing</w:t>
      </w:r>
    </w:p>
    <w:p>
      <w:r>
        <w:t>ItemDefinition.storage_rotation_degrees remains the full pitch/yaw/roll correction from untouched imported visual to canonical stored presentation. Canonical item Front is authored against +Z. A new default placement aligns that Front to storage-unit Front; packing_rotated remains separate and adds +90 degrees.</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Canonical placement</w:t>
            </w:r>
          </w:p>
        </w:tc>
        <w:tc>
          <w:tcPr>
            <w:tcW w:type="dxa" w:w="2466"/>
            <w:vAlign w:val="center"/>
          </w:tcPr>
          <w:p>
            <w:r>
              <w:t>Packing placement</w:t>
            </w:r>
          </w:p>
        </w:tc>
      </w:tr>
      <w:tr>
        <w:trPr>
          <w:cantSplit/>
        </w:trPr>
        <w:tc>
          <w:tcPr>
            <w:tcW w:type="dxa" w:w="2466"/>
            <w:vAlign w:val="center"/>
          </w:tcPr>
          <w:p>
            <w:r>
              <w:t>0</w:t>
            </w:r>
          </w:p>
        </w:tc>
        <w:tc>
          <w:tcPr>
            <w:tcW w:type="dxa" w:w="2466"/>
            <w:vAlign w:val="center"/>
          </w:tcPr>
          <w:p>
            <w:r>
              <w:t>+Z</w:t>
            </w:r>
          </w:p>
        </w:tc>
        <w:tc>
          <w:tcPr>
            <w:tcW w:type="dxa" w:w="2466"/>
            <w:vAlign w:val="center"/>
          </w:tcPr>
          <w:p>
            <w:r>
              <w:t>0 degrees / width x depth</w:t>
            </w:r>
          </w:p>
        </w:tc>
        <w:tc>
          <w:tcPr>
            <w:tcW w:type="dxa" w:w="2466"/>
            <w:vAlign w:val="center"/>
          </w:tcPr>
          <w:p>
            <w:r>
              <w:t>90 degrees / depth x width</w:t>
            </w:r>
          </w:p>
        </w:tc>
      </w:tr>
      <w:tr>
        <w:trPr>
          <w:cantSplit/>
        </w:trPr>
        <w:tc>
          <w:tcPr>
            <w:tcW w:type="dxa" w:w="2466"/>
            <w:vAlign w:val="center"/>
          </w:tcPr>
          <w:p>
            <w:r>
              <w:t>1</w:t>
            </w:r>
          </w:p>
        </w:tc>
        <w:tc>
          <w:tcPr>
            <w:tcW w:type="dxa" w:w="2466"/>
            <w:vAlign w:val="center"/>
          </w:tcPr>
          <w:p>
            <w:r>
              <w:t>+X</w:t>
            </w:r>
          </w:p>
        </w:tc>
        <w:tc>
          <w:tcPr>
            <w:tcW w:type="dxa" w:w="2466"/>
            <w:vAlign w:val="center"/>
          </w:tcPr>
          <w:p>
            <w:r>
              <w:t>90 degrees / depth x width</w:t>
            </w:r>
          </w:p>
        </w:tc>
        <w:tc>
          <w:tcPr>
            <w:tcW w:type="dxa" w:w="2466"/>
            <w:vAlign w:val="center"/>
          </w:tcPr>
          <w:p>
            <w:r>
              <w:t>180 degrees / width x depth</w:t>
            </w:r>
          </w:p>
        </w:tc>
      </w:tr>
      <w:tr>
        <w:trPr>
          <w:cantSplit/>
        </w:trPr>
        <w:tc>
          <w:tcPr>
            <w:tcW w:type="dxa" w:w="2466"/>
            <w:vAlign w:val="center"/>
          </w:tcPr>
          <w:p>
            <w:r>
              <w:t>2</w:t>
            </w:r>
          </w:p>
        </w:tc>
        <w:tc>
          <w:tcPr>
            <w:tcW w:type="dxa" w:w="2466"/>
            <w:vAlign w:val="center"/>
          </w:tcPr>
          <w:p>
            <w:r>
              <w:t>-Z</w:t>
            </w:r>
          </w:p>
        </w:tc>
        <w:tc>
          <w:tcPr>
            <w:tcW w:type="dxa" w:w="2466"/>
            <w:vAlign w:val="center"/>
          </w:tcPr>
          <w:p>
            <w:r>
              <w:t>180 degrees / width x depth</w:t>
            </w:r>
          </w:p>
        </w:tc>
        <w:tc>
          <w:tcPr>
            <w:tcW w:type="dxa" w:w="2466"/>
            <w:vAlign w:val="center"/>
          </w:tcPr>
          <w:p>
            <w:r>
              <w:t>270 degrees / depth x width</w:t>
            </w:r>
          </w:p>
        </w:tc>
      </w:tr>
      <w:tr>
        <w:trPr>
          <w:cantSplit/>
        </w:trPr>
        <w:tc>
          <w:tcPr>
            <w:tcW w:type="dxa" w:w="2466"/>
            <w:vAlign w:val="center"/>
          </w:tcPr>
          <w:p>
            <w:r>
              <w:t>3</w:t>
            </w:r>
          </w:p>
        </w:tc>
        <w:tc>
          <w:tcPr>
            <w:tcW w:type="dxa" w:w="2466"/>
            <w:vAlign w:val="center"/>
          </w:tcPr>
          <w:p>
            <w:r>
              <w:t>-X</w:t>
            </w:r>
          </w:p>
        </w:tc>
        <w:tc>
          <w:tcPr>
            <w:tcW w:type="dxa" w:w="2466"/>
            <w:vAlign w:val="center"/>
          </w:tcPr>
          <w:p>
            <w:r>
              <w:t>270 degrees / depth x width</w:t>
            </w:r>
          </w:p>
        </w:tc>
        <w:tc>
          <w:tcPr>
            <w:tcW w:type="dxa" w:w="2466"/>
            <w:vAlign w:val="center"/>
          </w:tcPr>
          <w:p>
            <w:r>
              <w:t>0 degrees / width x depth</w:t>
            </w:r>
          </w:p>
        </w:tc>
      </w:tr>
    </w:tbl>
    <w:p>
      <w:r>
        <w:t>Automatic placement remains canonical/front-facing first and packing alternative second. Reservation Footprint follows the combined unit-plus-packing parity. Committed items retain their placed orientation when shelf Front later changes. Future save/load must restore that placed orientation rather than recomputing it; optional 0/90/180/270 display rotation remains deferred UX debt.</w:t>
      </w:r>
    </w:p>
    <w:p>
      <w:pPr>
        <w:pStyle w:val="Heading2"/>
      </w:pPr>
      <w:r>
        <w:t>E.4 Catalogue authoring workflow and status</w:t>
      </w:r>
    </w:p>
    <w:p>
      <w:r>
        <w:t>The retained fixture res://gameplay/dev/item_storage_pose/item_storage_pose_authoring.tscn edits actual ItemDefinition pose metadata and refreshes live after the bounded correction. It exposes Authored Footprint, Suggested Canonical Footprint, warning state and preview packing Footprint. Apply Suggested Footprint writes x/y only while preserving z and pose. Suggestions use canonical posed bounds and the 0.10 m cell convention; authored Footprint remains explicit gameplay metadata rather than a silent mesh-derived value. Source GLB/FBX transforms remain untouched.</w:t>
      </w:r>
    </w:p>
    <w:p>
      <w:r>
        <w:t>The catalogue contains 42 definitions. Forty are eligible and fully human-reviewed; Gloves loot_000034 and Pants loot_000036 remain blocked. Current approvals are 21 default and 19 custom poses, with 27 geometry and 13 deliberate override Footprints. Twenty-six ItemDefinition resources changed during the human pass. The workbench reduced the full eligible-catalogue pose/Footprint review to roughly 10 minutes versus roughly two hours under the prior in-game review and handoff process.</w:t>
      </w:r>
    </w:p>
    <w:p>
      <w:pPr>
        <w:pStyle w:val="Heading2"/>
      </w:pPr>
      <w:r>
        <w:t>E.5 Single-rack fixed-ladder proof boundary and current gate order</w:t>
      </w:r>
    </w:p>
    <w:p>
      <w:pPr/>
      <w:r>
        <w:t>HISTORICAL CHECKPOINT (21 September 2026). The v0.10 gate order was single-rack proof, human ladder decision, then Receiving. It is superseded by current Sections 7, 20 and 21 and Appendix F; the selected fixed ladder and real-wing bridge were subsequently human-promoted.</w:t>
      </w:r>
    </w:p>
    <w:p>
      <w:r>
        <w:t>The single-rack fixed-ladder proof is the active gate. No ladder implementation is promoted. The target is a fixed floor-position ladder serving selected taller racks, not universal ladder coverage or a general reach solution.</w:t>
      </w:r>
    </w:p>
    <w:p>
      <w:pPr>
        <w:pStyle w:val="ListBullet"/>
      </w:pPr>
      <w:r>
        <w:t>Frontal approach plus forward input begins attach/climb; side-walking through the trigger must not capture.</w:t>
      </w:r>
    </w:p>
    <w:p>
      <w:pPr>
        <w:pStyle w:val="ListBullet"/>
      </w:pPr>
      <w:r>
        <w:t>W/S climbs up/down independent of camera pitch; releasing movement holds current height; A/D does not move laterally while attached.</w:t>
      </w:r>
    </w:p>
    <w:p>
      <w:pPr>
        <w:pStyle w:val="ListBullet"/>
      </w:pPr>
      <w:r>
        <w:t>Mouse look remains available for shelf inspection, with yaw clamped relative to the ladder. Exact clamp is Validate/provisional.</w:t>
      </w:r>
    </w:p>
    <w:p>
      <w:pPr>
        <w:pStyle w:val="ListBullet"/>
      </w:pPr>
      <w:r>
        <w:t>A top stop prevents ceiling/camera clipping and does not imply rack-top dismount. 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 is included.</w:t>
      </w:r>
    </w:p>
    <w:p>
      <w:pPr>
        <w:pStyle w:val="ListBullet"/>
      </w:pPr>
      <w:r>
        <w:t>The purpose is reliable vertical access to additional storage. The ladder does not solve shelf depth, brace/rung occlusion, rear reach or every low/high shelf ergonomics problem.</w:t>
      </w:r>
    </w:p>
    <w:p>
      <w:pPr>
        <w:pageBreakBefore/>
        <w:pStyle w:val="Heading1"/>
      </w:pPr>
      <w:r>
        <w:t>APPENDIX F  v0.11 LADDER, RECEIVING STAGE B, AND ENVIRONMENT AUTHORING CLOSURE</w:t>
      </w:r>
    </w:p>
    <w:p>
      <w:pPr>
        <w:widowControl/>
      </w:pPr>
      <w:r>
        <w:t>HISTORICAL 29 SEPTEMBER v0.11 CHECKPOINT. Appendix F retains its original proof dimensions, palettes and then-next gates. Current §11, §20.6, §21.3 and R14 supersede C1/Stage C-future language: C1 closed on 11 October and Stage C closed in agreed prototype scope on 14 October. This appendix is not current production guidance.</w:t>
      </w:r>
    </w:p>
    <w:p>
      <w:pPr>
        <w:pStyle w:val="Heading2"/>
      </w:pPr>
      <w:r>
        <w:t>F.1 Fixed-ladder promotion boundary</w:t>
      </w:r>
    </w:p>
    <w:p>
      <w:r>
        <w:t>FixedLadder is human-promoted as an authored access option for selected taller storage installations. The independent ladder and Gallery B ModularRack bridge are the current bounded proof. This does not authorize universal traversal, general climbing, movable ladders, jumping, mantling, shelf-top movement, a general fall system or a final ladder-art roster. The developer authors the installation; the player still owns zoning, labels and organization within it.</w:t>
      </w:r>
    </w:p>
    <w:p>
      <w:pPr>
        <w:pStyle w:val="Heading2"/>
      </w:pPr>
      <w:r>
        <w:t>F.2 Receiving Stage B deterministic presentation</w:t>
      </w:r>
    </w:p>
    <w:p>
      <w:r>
        <w:t>Stage A preserves exact committed content and durable ItemInstance identity. Human-promoted Stage B presents that content on a deterministic TAKE-only deck with private surfaces, ordinary WorldItems and functional Receiving-only crates and pallets. Crates read at the front, pallets at the rear and loose MainDeck cargo between; no fixture begins empty, while emptied visuals may persist until delivery close. The irregular frozen-pile route is completed research and human-rejected for production.</w:t>
      </w:r>
    </w:p>
    <w:p>
      <w:r>
        <w:t>The current prototype proof uses a 3.00 m × 2.00 m usable deck, 3.10 m × 2.10 m physical support, a 0.05 m non-reservable border and 3.4 m fixture-integrated Receiving TAKE reach. Ordinary loose and storage/manual reaches remain 1.4 m and 2.3 m. These authored proof values do not fix shipped lift dimensions or future balance.</w:t>
      </w:r>
    </w:p>
    <w:p>
      <w:pPr>
        <w:pStyle w:val="Heading2"/>
      </w:pPr>
      <w:r>
        <w:t>F.3 Environment Authoring Foundation and EAF5 result</w:t>
      </w:r>
    </w:p>
    <w:p>
      <w:r>
        <w:t>EAF1–EAF5 are human-promoted in their bounded scopes, and EAF5 is closed. The environment foundation now supports standardized lookdev, metric structural authoring, curated material and causal wear workflows. EAF5 supplies an accepted, dimensionally faithful Receiving production recipe, not a finished production room. VDD v0.8 owns the material and composition details.</w:t>
      </w:r>
    </w:p>
    <w:p>
      <w:r>
        <w:t>Receiving's PRIMARY structural palette is P01_C02; its reviewed ALTERNATE is P05_C03. BASE APPLIED FINISH = NONE (NO_FINISH); STRUCTURAL SECONDARY = NONE by default; FIXED BASE WEAR PRESET = NONE. These are room-specific choices and do not prohibit locally caused finish, secondary structure or contextual wear after review.</w:t>
      </w:r>
    </w:p>
    <w:p>
      <w:pPr>
        <w:pStyle w:val="Heading2"/>
      </w:pPr>
      <w:r>
        <w:t>F.4 Current Receiving production boundary</w:t>
      </w:r>
    </w:p>
    <w:p>
      <w:r>
        <w:t>The accepted greybox remains spatial and gameplay authority. Stage C1 owns production visual-shell migration while keeping accepted topology, circulation, gameplay and runtime ownership stable. The isolated EAF5 proof scene is a source of specifications, not a runtime dependency. C1A is parked and unpromoted. Contextual wear follows substantially present infrastructure, furniture, freight equipment and representative lighting. Furnished clearances, sightlines and the inaccessible enclosure's visual oddity require C1 review.</w:t>
      </w:r>
    </w:p>
    <w:p>
      <w:pPr>
        <w:pStyle w:val="Heading2"/>
      </w:pPr>
      <w:r>
        <w:t>F.5 Current gate order and companion authorities</w:t>
      </w:r>
    </w:p>
    <w:p>
      <w:r>
        <w:t>GDD v0.11, Prototype Findings v0.11 and VDD v0.8 are reconciled current masters. Receiving Stage C1 production environment migration is the next implementation gate. Remaining Receiving Stage C gameplay follows C1.</w:t>
      </w:r>
    </w:p>
    <w:p>
      <w:pPr>
        <w:widowControl/>
        <w:pStyle w:val="Heading1"/>
      </w:pPr>
      <w:r>
        <w:t>Historical v0.12 revision and source register</w:t>
      </w:r>
    </w:p>
    <w:p>
      <w:pPr>
        <w:widowControl/>
      </w:pPr>
      <w:r>
        <w:t>HISTORICAL 10 OCTOBER CHECKPOINT. The retained register records that edition’s sources and then-open C1 status. R11 below supersedes current gate/roadmap claims only; previous evidence and gameplay design remain intact.</w:t>
      </w:r>
    </w:p>
    <w:p>
      <w:pPr>
        <w:widowControl/>
      </w:pPr>
      <w:r>
        <w:t>10 October 2026. Targeted consistency update to the authority preface, §11 Receiving, §16.9 visual direction, §18 production, §20.6 roadmap and §21.3 next evidence. Established pillars, player fantasy, mechanics, balance, deferrals and historical appendices remain. Editorially updated does not mean a new gameplay or visual milestone approval.</w:t>
      </w:r>
    </w:p>
    <w:p>
      <w:pPr>
        <w:widowControl/>
      </w:pPr>
      <w:r>
        <w:t>R10 — Current prototype/acceptance sources: docs/testing/receiving-c1-structural-material-envelope-closeout-2026-09-30.md; receiving-c1-lift-enclosure-deck-closeout-2026-10-01.md; receiving-c1-lighting-baseline-closeout-2026-10-03.md; receiving-c1-compact-retrofit-closeout-2026-10-03.md; receiving-c1-set-dressing-collision-closeout-2026-10-09.md; receiving-c1-lift-crt-visual-closeout-2026-10-09.md; environment-authoring-eaf4-imperfection-authoring-milestone-closeout-2026-10-10.md. All shortened filenames in this register are under docs/testing/.</w:t>
      </w:r>
    </w:p>
    <w:p>
      <w:pPr>
        <w:widowControl/>
      </w:pPr>
      <w:r>
        <w:t>R10 — EAF4 scope/provenance: docs/environment-authoring/eaf4-wear-authoring-guide.md; eaf4-imperfection-audition-guide.md; data/environment/wear_catalog/decisions/2026-10-10-eaf4-imperfection-scoped-human-review.json; approved_specs/approved_masks.json. Preserve guarded commercial staging, reviewed fingerprints and Compatibility rendering.</w:t>
      </w:r>
    </w:p>
    <w:p>
      <w:pPr>
        <w:widowControl/>
      </w:pPr>
      <w:r>
        <w:t>R10 — Initial committed composition: human confirmation on 10 October; manual art commit c160ae8684c0037091503232d0645281f85365fd, merged by e314c41ef9acfde45632bd8ad4275702e103dcc4 into live main. Current saved scene has 18 layers (17 scalar plus one conventional preset), an editable initial baseline rather than a quota. Dated reconciliation/QA: docs/testing/three-master-document-reconciliation-2026-10-10.md and three-master-document-qa-2026-10-10.md. New editions are subject to documentation review; no push or merge authorized here.</w:t>
      </w:r>
    </w:p>
    <w:p>
      <w:pPr>
        <w:widowControl/>
        <w:pStyle w:val="Heading1"/>
      </w:pPr>
      <w:r>
        <w:t>Historical v0.13 revision and source register</w:t>
      </w:r>
    </w:p>
    <w:p>
      <w:pPr>
        <w:widowControl/>
      </w:pPr>
      <w:r>
        <w:t>HISTORICAL 11 OCTOBER CHECKPOINT. The following register records C1 closure and then-future Stage C; current Receiving status, intentional lighting and integration limits are in R14.</w:t>
      </w:r>
    </w:p>
    <w:p>
      <w:pPr>
        <w:widowControl/>
      </w:pPr>
      <w:r>
        <w:t>11 October 2026. Records the developer’s explicit Receiving C1 CLOSED / HUMAN-PROMOTED decision as a bounded production environment/art milestone. Repairs current cover, §11.8, §18, §20.6 and §21 gate/roadmap statements only; historical appendices/registers remain dated and visibly superseded. No gameplay, economy or balance rule changes; no Stage C implementation or publication is authorized.</w:t>
      </w:r>
    </w:p>
    <w:p>
      <w:pPr>
        <w:widowControl/>
      </w:pPr>
      <w:r>
        <w:t>R11 — Human C1 decision and scope: docs/testing/receiving-c1-human-promotion-documentation-closeout-2026-10-11.md. A30WS evidence and later human PROMOTE: docs/testing/receiving-a30ws-reflection-integration-2026-10-11.md, including Later human disposition. VDD v0.10 owns accepted lighting/reflection direction; Findings v0.13 §33 preserves measured cost, prior REVISE, later human acceptance and verification limits. GDD deliberately adds no technical probe tuning.</w:t>
      </w:r>
    </w:p>
    <w:p>
      <w:pPr>
        <w:widowControl/>
      </w:pPr>
      <w:r>
        <w:t>Companions at the 11 October checkpoint: VDD v0.10 and Findings v0.13. R10 retains accepted individual-slice evidence. Dispatch furnishing, sill material, shipped lift dimensions, later fixtures, optional emitters and optimization remained separate; Stage C-future language is superseded by R14.</w:t>
      </w:r>
    </w:p>
    <w:p>
      <w:pPr>
        <w:widowControl/>
        <w:pStyle w:val="Heading1"/>
      </w:pPr>
      <w:r>
        <w:t>v0.14 revision and source register</w:t>
      </w:r>
    </w:p>
    <w:p>
      <w:pPr>
        <w:widowControl/>
      </w:pPr>
      <w:r>
        <w:t>14 October 2026. Approved current master; same-edition document promotion authorized. Reconciles active summaries, §§5, 9, 11, 16, 18, 20–21 and Appendix B with published Stage C closure; preserves balances, future night/Expedition design and dated history. No gameplay implementation or next-milestone selection accompanies document publication.</w:t>
      </w:r>
    </w:p>
    <w:p>
      <w:pPr>
        <w:widowControl/>
      </w:pPr>
      <w:r>
        <w:t>R14 — Accepted Receiving behavior and human dispositions: docs/testing/receiving-stage-c-single-cycle-validation-2026-10-12.md; docs/testing/receiving-stage-c-queued-deliveries-validation-2026-10-14.md; docs/testing/receiving-stage-c-awaiting-lift-validation-2026-10-14.md. Each record must be read through its later human-promotion/publication addendum. Final published reference bb6683d28539ff743bc480a9d5d68c4ef3d0ce87.</w:t>
      </w:r>
    </w:p>
    <w:p>
      <w:pPr>
        <w:widowControl/>
      </w:pPr>
      <w:r>
        <w:t>R14 — Intentional lighting and ordinary tuning: docs/testing/receiving-intentional-lighting-candidate-2026-10-13.md, followed by manual human scene authoring 9ede796fae0733b59b4cfe78f3d9652657f73d7b. VDD v0.11 owns current lighting/presentation; Findings v0.14 §34 owns exact interfaces, evidence and limits. docs/testing/post-stage-c-three-master-reconciliation-2026-10-14.md records reconciliation and document QA. Historical R10/R11 and all earlier masters remain unchanged.</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v0.14  |  14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v0.14</dc:title>
  <dc:subject>Approved overall gameplay, design and scope authority</dc:subject>
  <dc:creator>Sorting Apocalypse project</dc:creator>
  <cp:keywords>Sorting Apocalypse; v0.14; Godot; Receiving; Foundation Gate</cp:keywords>
  <dc:description>Approved current master on 14 October 2026; evidence through published Stage C closure.</dc:description>
  <cp:lastModifiedBy/>
  <cp:revision>10</cp:revision>
  <dcterms:created xsi:type="dcterms:W3CDTF">2013-12-23T23:15:00Z</dcterms:created>
  <dcterms:modified xsi:type="dcterms:W3CDTF">2026-10-14T00:00:00Z</dcterms:modified>
  <cp:category/>
  <cp:version>0.14</cp:version>
</cp:coreProperties>
</file>