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00" w:line="288" w:lineRule="auto"/>
      </w:pPr>
      <w:r>
        <w:rPr>
          <w:rFonts w:ascii="Aptos" w:hAnsi="Aptos"/>
          <w:b/>
          <w:i w:val="0"/>
          <w:color w:val="2E74B5"/>
          <w:sz w:val="20"/>
        </w:rPr>
        <w:t>PROTOTYPE FINDINGS</w:t>
      </w:r>
    </w:p>
    <w:p>
      <w:pPr>
        <w:spacing w:before="0" w:after="100" w:line="288" w:lineRule="auto"/>
      </w:pPr>
      <w:r>
        <w:rPr>
          <w:rFonts w:ascii="Aptos" w:hAnsi="Aptos"/>
          <w:b/>
          <w:i w:val="0"/>
          <w:color w:val="0B2545"/>
          <w:sz w:val="56"/>
        </w:rPr>
        <w:t>Sorting Apocalypse</w:t>
      </w:r>
    </w:p>
    <w:p>
      <w:pPr>
        <w:spacing w:before="0" w:after="360" w:line="288" w:lineRule="auto"/>
      </w:pPr>
      <w:r>
        <w:t>Technical, interaction, asset-pipeline, and playtest synthesis</w:t>
      </w:r>
    </w:p>
    <w:tbl>
      <w:tblPr>
        <w:tblStyle w:val="TableGrid"/>
        <w:tblW w:type="auto" w:w="0"/>
        <w:jc w:val="left"/>
        <w:tblLayout w:type="fixed"/>
        <w:tblLook w:firstColumn="1" w:firstRow="1" w:lastColumn="0" w:lastRow="0" w:noHBand="0" w:noVBand="1" w:val="04A0"/>
      </w:tblPr>
      <w:tblGrid>
        <w:gridCol w:w="4896"/>
        <w:gridCol w:w="4896"/>
      </w:tblGrid>
      <w:tr>
        <w:trPr>
          <w:tblHeader w:val="true"/>
        </w:trPr>
        <w:tc>
          <w:tcPr>
            <w:tcW w:type="dxa" w:w="2448"/>
            <w:vAlign w:val="top"/>
            <w:shd w:fill="E8EEF5"/>
            <w:tcMar>
              <w:top w:w="90" w:type="dxa"/>
              <w:start w:w="130" w:type="dxa"/>
              <w:bottom w:w="90" w:type="dxa"/>
              <w:end w:w="130" w:type="dxa"/>
            </w:tcMar>
          </w:tcPr>
          <w:p>
            <w:pPr>
              <w:spacing w:before="0" w:after="0" w:line="259" w:lineRule="auto"/>
            </w:pPr>
            <w:r>
              <w:rPr>
                <w:rFonts w:ascii="Aptos" w:hAnsi="Aptos"/>
                <w:b/>
                <w:i w:val="0"/>
                <w:color w:val="0B2545"/>
                <w:sz w:val="19"/>
              </w:rPr>
              <w:t>Document</w:t>
            </w:r>
          </w:p>
        </w:tc>
        <w:tc>
          <w:tcPr>
            <w:tcW w:type="dxa" w:w="8352"/>
            <w:vAlign w:val="top"/>
            <w:shd w:fill="E8EEF5"/>
            <w:tcMar>
              <w:top w:w="90" w:type="dxa"/>
              <w:start w:w="130" w:type="dxa"/>
              <w:bottom w:w="90" w:type="dxa"/>
              <w:end w:w="130" w:type="dxa"/>
            </w:tcMar>
          </w:tcPr>
          <w:p>
            <w:pPr>
              <w:spacing w:before="0" w:after="0" w:line="259" w:lineRule="auto"/>
            </w:pPr>
            <w:r>
              <w:rPr>
                <w:rFonts w:ascii="Aptos" w:hAnsi="Aptos"/>
                <w:b/>
                <w:i w:val="0"/>
                <w:color w:val="0B2545"/>
                <w:sz w:val="19"/>
              </w:rPr>
              <w:t>Details</w:t>
            </w:r>
          </w:p>
        </w:tc>
      </w:tr>
      <w:tr>
        <w:tc>
          <w:tcPr>
            <w:tcW w:type="dxa" w:w="4896"/>
            <w:vAlign w:val="top"/>
            <w:tcMar>
              <w:top w:w="90" w:type="dxa"/>
              <w:start w:w="130" w:type="dxa"/>
              <w:bottom w:w="90" w:type="dxa"/>
              <w:end w:w="130" w:type="dxa"/>
            </w:tcMar>
          </w:tcPr>
          <w:p>
            <w:pPr>
              <w:spacing w:before="0" w:after="0" w:line="259" w:lineRule="auto"/>
            </w:pPr>
            <w:r>
              <w:rPr>
                <w:rFonts w:ascii="Aptos" w:hAnsi="Aptos"/>
                <w:b/>
                <w:i w:val="0"/>
                <w:color w:val="0B2545"/>
                <w:sz w:val="18"/>
              </w:rPr>
              <w:t>Version</w:t>
            </w:r>
          </w:p>
        </w:tc>
        <w:tc>
          <w:tcPr>
            <w:tcW w:type="dxa" w:w="4896"/>
            <w:vAlign w:val="center"/>
            <w:tcMar>
              <w:top w:w="90" w:type="dxa"/>
              <w:start w:w="130" w:type="dxa"/>
              <w:bottom w:w="90" w:type="dxa"/>
              <w:end w:w="130" w:type="dxa"/>
            </w:tcMar>
          </w:tcPr>
          <w:p>
            <w:r>
              <w:t>0.3  |  11 September 2026</w:t>
            </w:r>
          </w:p>
        </w:tc>
      </w:tr>
      <w:tr>
        <w:tc>
          <w:tcPr>
            <w:tcW w:type="dxa" w:w="4896"/>
            <w:vAlign w:val="top"/>
            <w:tcMar>
              <w:top w:w="90" w:type="dxa"/>
              <w:start w:w="130" w:type="dxa"/>
              <w:bottom w:w="90" w:type="dxa"/>
              <w:end w:w="130" w:type="dxa"/>
            </w:tcMar>
          </w:tcPr>
          <w:p>
            <w:pPr>
              <w:spacing w:before="0" w:after="0" w:line="259" w:lineRule="auto"/>
            </w:pPr>
            <w:r>
              <w:rPr>
                <w:rFonts w:ascii="Aptos" w:hAnsi="Aptos"/>
                <w:b/>
                <w:i w:val="0"/>
                <w:color w:val="0B2545"/>
                <w:sz w:val="18"/>
              </w:rPr>
              <w:t>Design authority</w:t>
            </w:r>
          </w:p>
        </w:tc>
        <w:tc>
          <w:tcPr>
            <w:tcW w:type="dxa" w:w="4896"/>
            <w:vAlign w:val="center"/>
            <w:tcMar>
              <w:top w:w="90" w:type="dxa"/>
              <w:start w:w="130" w:type="dxa"/>
              <w:bottom w:w="90" w:type="dxa"/>
              <w:end w:w="130" w:type="dxa"/>
            </w:tcMar>
          </w:tcPr>
          <w:p>
            <w:r>
              <w:t>Sorting Apocalypse - Preliminary GDD v0.4 (11 September 2026)</w:t>
            </w:r>
          </w:p>
        </w:tc>
      </w:tr>
      <w:tr>
        <w:tc>
          <w:tcPr>
            <w:tcW w:type="dxa" w:w="4896"/>
            <w:vAlign w:val="top"/>
            <w:tcMar>
              <w:top w:w="90" w:type="dxa"/>
              <w:start w:w="130" w:type="dxa"/>
              <w:bottom w:w="90" w:type="dxa"/>
              <w:end w:w="130" w:type="dxa"/>
            </w:tcMar>
          </w:tcPr>
          <w:p>
            <w:pPr>
              <w:spacing w:before="0" w:after="0" w:line="259" w:lineRule="auto"/>
            </w:pPr>
            <w:r>
              <w:rPr>
                <w:rFonts w:ascii="Aptos" w:hAnsi="Aptos"/>
                <w:b/>
                <w:i w:val="0"/>
                <w:color w:val="0B2545"/>
                <w:sz w:val="18"/>
              </w:rPr>
              <w:t>Evidence window</w:t>
            </w:r>
          </w:p>
        </w:tc>
        <w:tc>
          <w:tcPr>
            <w:tcW w:type="dxa" w:w="4896"/>
            <w:vAlign w:val="center"/>
            <w:tcMar>
              <w:top w:w="90" w:type="dxa"/>
              <w:start w:w="130" w:type="dxa"/>
              <w:bottom w:w="90" w:type="dxa"/>
              <w:end w:w="130" w:type="dxa"/>
            </w:tcMar>
          </w:tcPr>
          <w:p>
            <w:r>
              <w:t>Implementation, authoring-tool, and playtesting evidence through 11 September 2026</w:t>
            </w:r>
          </w:p>
        </w:tc>
      </w:tr>
      <w:tr>
        <w:tc>
          <w:tcPr>
            <w:tcW w:type="dxa" w:w="4896"/>
            <w:vAlign w:val="top"/>
            <w:tcMar>
              <w:top w:w="90" w:type="dxa"/>
              <w:start w:w="130" w:type="dxa"/>
              <w:bottom w:w="90" w:type="dxa"/>
              <w:end w:w="130" w:type="dxa"/>
            </w:tcMar>
          </w:tcPr>
          <w:p>
            <w:pPr>
              <w:spacing w:before="0" w:after="0" w:line="259" w:lineRule="auto"/>
            </w:pPr>
            <w:r>
              <w:rPr>
                <w:rFonts w:ascii="Aptos" w:hAnsi="Aptos"/>
                <w:b/>
                <w:i w:val="0"/>
                <w:color w:val="0B2545"/>
                <w:sz w:val="18"/>
              </w:rPr>
              <w:t>Purpose</w:t>
            </w:r>
          </w:p>
        </w:tc>
        <w:tc>
          <w:tcPr>
            <w:tcW w:type="dxa" w:w="4896"/>
            <w:vAlign w:val="center"/>
            <w:tcMar>
              <w:top w:w="90" w:type="dxa"/>
              <w:start w:w="130" w:type="dxa"/>
              <w:bottom w:w="90" w:type="dxa"/>
              <w:end w:w="130" w:type="dxa"/>
            </w:tcMar>
          </w:tcPr>
          <w:p>
            <w:r>
              <w:t>Preserve prototype findings, failures, validated interaction changes, scalable authoring evidence, and next validation work while explicitly marking superseded prototype rules.</w:t>
            </w:r>
          </w:p>
        </w:tc>
      </w:tr>
    </w:tbl>
    <w:p>
      <w:pPr>
        <w:spacing w:after="40"/>
      </w:pPr>
    </w:p>
    <w:tbl>
      <w:tblPr>
        <w:tblStyle w:val="TableGrid"/>
        <w:tblW w:type="auto" w:w="0"/>
        <w:jc w:val="left"/>
        <w:tblLook w:firstColumn="1" w:firstRow="1" w:lastColumn="0" w:lastRow="0" w:noHBand="0" w:noVBand="1" w:val="04A0"/>
      </w:tblPr>
      <w:tblGrid>
        <w:gridCol w:w="9792"/>
      </w:tblGrid>
      <w:tr>
        <w:tc>
          <w:tcPr>
            <w:tcW w:type="dxa" w:w="9792"/>
            <w:shd w:fill="E8EEF5"/>
            <w:tcMar>
              <w:top w:w="90" w:type="dxa"/>
              <w:start w:w="130" w:type="dxa"/>
              <w:bottom w:w="90" w:type="dxa"/>
              <w:end w:w="130" w:type="dxa"/>
            </w:tcMar>
            <w:vAlign w:val="center"/>
          </w:tcPr>
          <w:p>
            <w:r>
              <w:t>READING RULE  The GDD remains the design authority. This report records prototype evidence against it. “Validated” means observed in the current prototype scope, not production-ready or balance-final. Where v0.3 evidence supersedes a v0.2 prototype rule, the supersession is stated explicitly rather than silently rewriting the history.</w:t>
            </w:r>
          </w:p>
        </w:tc>
      </w:tr>
    </w:tbl>
    <w:p>
      <w:pPr>
        <w:spacing w:after="20"/>
      </w:pPr>
    </w:p>
    <w:p>
      <w:pPr>
        <w:pStyle w:val="Heading1"/>
        <w:keepNext/>
        <w:spacing w:before="360" w:after="200" w:line="288" w:lineRule="auto"/>
      </w:pPr>
      <w:r>
        <w:rPr>
          <w:rFonts w:ascii="Aptos" w:hAnsi="Aptos"/>
          <w:b/>
          <w:i w:val="0"/>
          <w:color w:val="2E74B5"/>
          <w:sz w:val="32"/>
        </w:rPr>
        <w:t>Executive summary</w:t>
      </w:r>
    </w:p>
    <w:p>
      <w:pPr>
        <w:spacing w:before="0" w:after="120" w:line="300" w:lineRule="auto"/>
      </w:pPr>
      <w:r>
        <w:rPr>
          <w:b w:val="0"/>
          <w:i w:val="0"/>
        </w:rPr>
        <w:t>The interaction prototype has progressed from a small deterministic-storage proof into a representative 42-item content slice with a persistent data catalogue, mesh-bounds auditing, human-reviewed storage pose and Footprint, player-authored storage zones, and deterministic support stacking. Forty-two items have approved canonical scale; 40 have approved storage pose and Footprint, with Gloves and Pants intentionally blocked pending source/pose work.</w:t>
      </w:r>
    </w:p>
    <w:p>
      <w:pPr>
        <w:spacing w:before="0" w:after="120" w:line="300" w:lineRule="auto"/>
      </w:pPr>
      <w:r>
        <w:rPr>
          <w:b w:val="0"/>
          <w:i w:val="0"/>
        </w:rPr>
        <w:t>Storage policy has also become more precise. The item catalogue uses exactly eight primary Storage Categories - Food, Hydration, Medical, Weapons, Protection, Fuel, Morale, and Electronics. General is not an item category: it is a universal storage-zone type. Blank/erased cells are disabled storage. Automatic placement therefore searches the matching specific zone and then General; manual placement may ignore category policy but may not place into disabled cells.</w:t>
      </w:r>
    </w:p>
    <w:p>
      <w:pPr>
        <w:spacing w:before="0" w:after="120" w:line="300" w:lineRule="auto"/>
      </w:pPr>
      <w:r>
        <w:rPr>
          <w:b w:val="0"/>
          <w:i w:val="0"/>
        </w:rPr>
        <w:t>The largest new validation is deterministic support stacking. Single-column stacks use one base 2D reservation plus an ordered vertical list of physical items, with authored support roles, strict automatic compatibility groups, stack-first automatic placement, smart insertion, auto-only base promotion, visible-member retrieval, deterministic compression, and 5 percent visual headroom. Human playtesting found the system visually convincing, predictable, and materially beneficial to storage density without requiring rigid-body physics. The next gate is completion of Auto Group authoring, repair of the known loot_000010 pickup defect, and a stratified catalogue-scale stress test.</w:t>
      </w:r>
    </w:p>
    <w:p>
      <w:pPr>
        <w:pStyle w:val="Heading1"/>
        <w:keepNext/>
        <w:spacing w:before="360" w:after="200" w:line="288" w:lineRule="auto"/>
      </w:pPr>
      <w:r>
        <w:rPr>
          <w:rFonts w:ascii="Aptos" w:hAnsi="Aptos"/>
          <w:b/>
          <w:i w:val="0"/>
          <w:color w:val="2E74B5"/>
          <w:sz w:val="32"/>
        </w:rPr>
        <w:t>1. Evidence status and design authority</w:t>
      </w:r>
    </w:p>
    <w:tbl>
      <w:tblPr>
        <w:tblStyle w:val="TableGrid"/>
        <w:tblW w:type="auto" w:w="0"/>
        <w:jc w:val="left"/>
        <w:tblLayout w:type="fixed"/>
        <w:tblLook w:firstColumn="1" w:firstRow="1" w:lastColumn="0" w:lastRow="0" w:noHBand="0" w:noVBand="1" w:val="04A0"/>
      </w:tblPr>
      <w:tblGrid>
        <w:gridCol w:w="3264"/>
        <w:gridCol w:w="3264"/>
        <w:gridCol w:w="3264"/>
      </w:tblGrid>
      <w:tr>
        <w:trPr>
          <w:tblHeader w:val="true"/>
        </w:trPr>
        <w:tc>
          <w:tcPr>
            <w:tcW w:type="dxa" w:w="1800"/>
            <w:vAlign w:val="top"/>
            <w:shd w:fill="E8EEF5"/>
            <w:tcMar>
              <w:top w:w="90" w:type="dxa"/>
              <w:start w:w="130" w:type="dxa"/>
              <w:bottom w:w="90" w:type="dxa"/>
              <w:end w:w="130" w:type="dxa"/>
            </w:tcMar>
          </w:tcPr>
          <w:p>
            <w:pPr>
              <w:spacing w:before="0" w:after="0" w:line="259" w:lineRule="auto"/>
            </w:pPr>
            <w:r>
              <w:rPr>
                <w:rFonts w:ascii="Aptos" w:hAnsi="Aptos"/>
                <w:b/>
                <w:i w:val="0"/>
                <w:color w:val="0B2545"/>
                <w:sz w:val="19"/>
              </w:rPr>
              <w:t>Status</w:t>
            </w:r>
          </w:p>
        </w:tc>
        <w:tc>
          <w:tcPr>
            <w:tcW w:type="dxa" w:w="4320"/>
            <w:vAlign w:val="top"/>
            <w:shd w:fill="E8EEF5"/>
            <w:tcMar>
              <w:top w:w="90" w:type="dxa"/>
              <w:start w:w="130" w:type="dxa"/>
              <w:bottom w:w="90" w:type="dxa"/>
              <w:end w:w="130" w:type="dxa"/>
            </w:tcMar>
          </w:tcPr>
          <w:p>
            <w:pPr>
              <w:spacing w:before="0" w:after="0" w:line="259" w:lineRule="auto"/>
            </w:pPr>
            <w:r>
              <w:rPr>
                <w:rFonts w:ascii="Aptos" w:hAnsi="Aptos"/>
                <w:b/>
                <w:i w:val="0"/>
                <w:color w:val="0B2545"/>
                <w:sz w:val="19"/>
              </w:rPr>
              <w:t>Meaning in this report</w:t>
            </w:r>
          </w:p>
        </w:tc>
        <w:tc>
          <w:tcPr>
            <w:tcW w:type="dxa" w:w="4680"/>
            <w:vAlign w:val="top"/>
            <w:shd w:fill="E8EEF5"/>
            <w:tcMar>
              <w:top w:w="90" w:type="dxa"/>
              <w:start w:w="130" w:type="dxa"/>
              <w:bottom w:w="90" w:type="dxa"/>
              <w:end w:w="130" w:type="dxa"/>
            </w:tcMar>
          </w:tcPr>
          <w:p>
            <w:pPr>
              <w:spacing w:before="0" w:after="0" w:line="259" w:lineRule="auto"/>
            </w:pPr>
            <w:r>
              <w:rPr>
                <w:rFonts w:ascii="Aptos" w:hAnsi="Aptos"/>
                <w:b/>
                <w:i w:val="0"/>
                <w:color w:val="0B2545"/>
                <w:sz w:val="19"/>
              </w:rPr>
              <w:t>Examples</w:t>
            </w:r>
          </w:p>
        </w:tc>
      </w:tr>
      <w:tr>
        <w:tc>
          <w:tcPr>
            <w:tcW w:type="dxa" w:w="3264"/>
            <w:vAlign w:val="top"/>
            <w:shd w:fill="F4F6F9"/>
            <w:tcMar>
              <w:top w:w="90" w:type="dxa"/>
              <w:start w:w="130" w:type="dxa"/>
              <w:bottom w:w="90" w:type="dxa"/>
              <w:end w:w="130" w:type="dxa"/>
            </w:tcMar>
          </w:tcPr>
          <w:p>
            <w:pPr>
              <w:spacing w:before="0" w:after="0" w:line="259" w:lineRule="auto"/>
            </w:pPr>
            <w:r>
              <w:rPr>
                <w:rFonts w:ascii="Aptos" w:hAnsi="Aptos"/>
                <w:b/>
                <w:i w:val="0"/>
                <w:color w:val="0B2545"/>
                <w:sz w:val="18"/>
              </w:rPr>
              <w:t>Confirmed</w:t>
            </w:r>
          </w:p>
        </w:tc>
        <w:tc>
          <w:tcPr>
            <w:tcW w:type="dxa" w:w="3264"/>
            <w:vAlign w:val="top"/>
            <w:tcMar>
              <w:top w:w="90" w:type="dxa"/>
              <w:start w:w="130" w:type="dxa"/>
              <w:bottom w:w="90" w:type="dxa"/>
              <w:end w:w="130" w:type="dxa"/>
            </w:tcMar>
          </w:tcPr>
          <w:p>
            <w:r>
              <w:t>Established by GDD v0.4 or explicitly retained as the current design direction.</w:t>
            </w:r>
          </w:p>
        </w:tc>
        <w:tc>
          <w:tcPr>
            <w:tcW w:type="dxa" w:w="3264"/>
            <w:vAlign w:val="top"/>
            <w:tcMar>
              <w:top w:w="90" w:type="dxa"/>
              <w:start w:w="130" w:type="dxa"/>
              <w:bottom w:w="90" w:type="dxa"/>
              <w:end w:w="130" w:type="dxa"/>
            </w:tcMar>
          </w:tcPr>
          <w:p>
            <w:r>
              <w:t>No arbitrary item dropping; Bulk and Footprint are distinct; physical items remain represented; mechanical Storage Zones and deterministic support stacking are now incorporated into the design baseline.</w:t>
            </w:r>
          </w:p>
        </w:tc>
      </w:tr>
      <w:tr>
        <w:tc>
          <w:tcPr>
            <w:tcW w:type="dxa" w:w="3264"/>
            <w:vAlign w:val="top"/>
            <w:shd w:fill="DDEFE2"/>
            <w:tcMar>
              <w:top w:w="90" w:type="dxa"/>
              <w:start w:w="130" w:type="dxa"/>
              <w:bottom w:w="90" w:type="dxa"/>
              <w:end w:w="130" w:type="dxa"/>
            </w:tcMar>
          </w:tcPr>
          <w:p>
            <w:pPr>
              <w:spacing w:before="0" w:after="0" w:line="259" w:lineRule="auto"/>
            </w:pPr>
            <w:r>
              <w:rPr>
                <w:rFonts w:ascii="Aptos" w:hAnsi="Aptos"/>
                <w:b/>
                <w:i w:val="0"/>
                <w:color w:val="0B2545"/>
                <w:sz w:val="18"/>
              </w:rPr>
              <w:t>Validated</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Observed to work in the current room and playtest scope.</w:t>
            </w:r>
          </w:p>
        </w:tc>
        <w:tc>
          <w:tcPr>
            <w:tcW w:type="dxa" w:w="3264"/>
            <w:vAlign w:val="center"/>
            <w:tcMar>
              <w:top w:w="90" w:type="dxa"/>
              <w:start w:w="130" w:type="dxa"/>
              <w:bottom w:w="90" w:type="dxa"/>
              <w:end w:w="130" w:type="dxa"/>
            </w:tcMar>
          </w:tcPr>
          <w:p>
            <w:r>
              <w:t>World loot -&gt; carried strip -&gt; deterministic storage -&gt; retrieval; zoning; hold-E zone auto-store; storage pose/Footprint workflow; deterministic support stacking; smart insertion/base promotion; visible-member retrieval and compression.</w:t>
            </w:r>
          </w:p>
        </w:tc>
      </w:tr>
      <w:tr>
        <w:tc>
          <w:tcPr>
            <w:tcW w:type="dxa" w:w="3264"/>
            <w:vAlign w:val="top"/>
            <w:shd w:fill="F4F6F9"/>
            <w:tcMar>
              <w:top w:w="90" w:type="dxa"/>
              <w:start w:w="130" w:type="dxa"/>
              <w:bottom w:w="90" w:type="dxa"/>
              <w:end w:w="130" w:type="dxa"/>
            </w:tcMar>
          </w:tcPr>
          <w:p>
            <w:pPr>
              <w:spacing w:before="0" w:after="0" w:line="259" w:lineRule="auto"/>
            </w:pPr>
            <w:r>
              <w:rPr>
                <w:rFonts w:ascii="Aptos" w:hAnsi="Aptos"/>
                <w:b/>
                <w:i w:val="0"/>
                <w:color w:val="0B2545"/>
                <w:sz w:val="18"/>
              </w:rPr>
              <w:t>Implemented</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Present in the prototype but not yet sufficiently stress-tested to claim validation.</w:t>
            </w:r>
          </w:p>
        </w:tc>
        <w:tc>
          <w:tcPr>
            <w:tcW w:type="dxa" w:w="3264"/>
            <w:vAlign w:val="center"/>
            <w:tcMar>
              <w:top w:w="90" w:type="dxa"/>
              <w:start w:w="130" w:type="dxa"/>
              <w:bottom w:w="90" w:type="dxa"/>
              <w:end w:w="130" w:type="dxa"/>
            </w:tcMar>
          </w:tcPr>
          <w:p>
            <w:r>
              <w:t>Persistent 42-item catalogue; schema-1.3 loot audit; authoring-review manifest; controlled stack-role authoring; Auto Group review pipeline in progress.</w:t>
            </w:r>
          </w:p>
        </w:tc>
      </w:tr>
      <w:tr>
        <w:tc>
          <w:tcPr>
            <w:tcW w:type="dxa" w:w="3264"/>
            <w:vAlign w:val="top"/>
            <w:shd w:fill="FFF0CC"/>
            <w:tcMar>
              <w:top w:w="90" w:type="dxa"/>
              <w:start w:w="130" w:type="dxa"/>
              <w:bottom w:w="90" w:type="dxa"/>
              <w:end w:w="130" w:type="dxa"/>
            </w:tcMar>
          </w:tcPr>
          <w:p>
            <w:pPr>
              <w:spacing w:before="0" w:after="0" w:line="259" w:lineRule="auto"/>
            </w:pPr>
            <w:r>
              <w:rPr>
                <w:rFonts w:ascii="Aptos" w:hAnsi="Aptos"/>
                <w:b/>
                <w:i w:val="0"/>
                <w:color w:val="0B2545"/>
                <w:sz w:val="18"/>
              </w:rPr>
              <w:t>Tentative</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Promising direction requiring a dedicated test before it changes the design baseline.</w:t>
            </w:r>
          </w:p>
        </w:tc>
        <w:tc>
          <w:tcPr>
            <w:tcW w:type="dxa" w:w="3264"/>
            <w:vAlign w:val="center"/>
            <w:tcMar>
              <w:top w:w="90" w:type="dxa"/>
              <w:start w:w="130" w:type="dxa"/>
              <w:bottom w:w="90" w:type="dxa"/>
              <w:end w:w="130" w:type="dxa"/>
            </w:tcMar>
          </w:tcPr>
          <w:p>
            <w:r>
              <w:t>Mixed-stack automatic behavior; manual under-base insertion; multi-column/top-surface packing; one-depth shelf default; exact held/HUD presentation.</w:t>
            </w:r>
          </w:p>
        </w:tc>
      </w:tr>
      <w:tr>
        <w:tc>
          <w:tcPr>
            <w:tcW w:type="dxa" w:w="3264"/>
            <w:vAlign w:val="top"/>
            <w:shd w:fill="FFF0CC"/>
            <w:tcMar>
              <w:top w:w="90" w:type="dxa"/>
              <w:start w:w="130" w:type="dxa"/>
              <w:bottom w:w="90" w:type="dxa"/>
              <w:end w:w="130" w:type="dxa"/>
            </w:tcMar>
          </w:tcPr>
          <w:p>
            <w:pPr>
              <w:spacing w:before="0" w:after="0" w:line="259" w:lineRule="auto"/>
            </w:pPr>
            <w:r>
              <w:rPr>
                <w:rFonts w:ascii="Aptos" w:hAnsi="Aptos"/>
                <w:b/>
                <w:i w:val="0"/>
                <w:color w:val="0B2545"/>
                <w:sz w:val="18"/>
              </w:rPr>
              <w:t>Deferred / pending</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Useful but intentionally not committed, or dependent on external confirmation.</w:t>
            </w:r>
          </w:p>
        </w:tc>
        <w:tc>
          <w:tcPr>
            <w:tcW w:type="dxa" w:w="3264"/>
            <w:vAlign w:val="center"/>
            <w:tcMar>
              <w:top w:w="90" w:type="dxa"/>
              <w:start w:w="130" w:type="dxa"/>
              <w:bottom w:w="90" w:type="dxa"/>
              <w:end w:w="130" w:type="dxa"/>
            </w:tcMar>
          </w:tcPr>
          <w:p>
            <w:r>
              <w:t>Crouch; specialized racks where content requires them; folded stored-clothing variants; release-quality held/HUD presentation; KitBash3D production adoption pending licensing clarity.</w:t>
            </w:r>
          </w:p>
        </w:tc>
      </w:tr>
    </w:tbl>
    <w:p>
      <w:pPr>
        <w:spacing w:after="40"/>
      </w:pPr>
    </w:p>
    <w:p>
      <w:pPr>
        <w:pStyle w:val="Heading2"/>
        <w:keepNext/>
        <w:spacing w:before="280" w:after="140" w:line="288" w:lineRule="auto"/>
      </w:pPr>
      <w:r>
        <w:rPr>
          <w:rFonts w:ascii="Aptos" w:hAnsi="Aptos"/>
          <w:b/>
          <w:i w:val="0"/>
          <w:color w:val="2E74B5"/>
          <w:sz w:val="26"/>
        </w:rPr>
        <w:t>What remains authoritative in the GDD</w:t>
      </w:r>
    </w:p>
    <w:p>
      <w:pPr>
        <w:pStyle w:val="ListBullet"/>
        <w:spacing w:before="0" w:after="80" w:line="276" w:lineRule="auto"/>
      </w:pPr>
      <w:r>
        <w:rPr>
          <w:rFonts w:ascii="Aptos" w:hAnsi="Aptos"/>
          <w:b w:val="0"/>
          <w:i w:val="0"/>
          <w:color w:val="0B2545"/>
          <w:sz w:val="21"/>
        </w:rPr>
        <w:t>Sorting is the survival operation, not a minigame attached to another management layer.</w:t>
      </w:r>
    </w:p>
    <w:p>
      <w:pPr>
        <w:pStyle w:val="ListBullet"/>
        <w:spacing w:before="0" w:after="80" w:line="276" w:lineRule="auto"/>
      </w:pPr>
      <w:r>
        <w:rPr>
          <w:rFonts w:ascii="Aptos" w:hAnsi="Aptos"/>
          <w:b w:val="0"/>
          <w:i w:val="0"/>
          <w:color w:val="0B2545"/>
          <w:sz w:val="21"/>
        </w:rPr>
        <w:t>Items are physical and stateful; unrestricted floor drops and general rigid-body item worlds are out of scope.</w:t>
      </w:r>
    </w:p>
    <w:p>
      <w:pPr>
        <w:pStyle w:val="ListBullet"/>
        <w:spacing w:before="0" w:after="80" w:line="276" w:lineRule="auto"/>
      </w:pPr>
      <w:r>
        <w:rPr>
          <w:rFonts w:ascii="Aptos" w:hAnsi="Aptos"/>
          <w:b w:val="0"/>
          <w:i w:val="0"/>
          <w:color w:val="0B2545"/>
          <w:sz w:val="21"/>
        </w:rPr>
        <w:t>Bulk governs handling throughput while Footprint governs shelf occupancy; neither substitutes for the other.</w:t>
      </w:r>
    </w:p>
    <w:p>
      <w:pPr>
        <w:pStyle w:val="ListBullet"/>
        <w:spacing w:before="0" w:after="80" w:line="276" w:lineRule="auto"/>
      </w:pPr>
      <w:r>
        <w:rPr>
          <w:rFonts w:ascii="Aptos" w:hAnsi="Aptos"/>
          <w:b w:val="0"/>
          <w:i w:val="0"/>
          <w:color w:val="0B2545"/>
          <w:sz w:val="21"/>
        </w:rPr>
        <w:t>Placement must feel tactile and assisted, with mistakes caused by logistics rather than finicky collision or targeting.</w:t>
      </w:r>
    </w:p>
    <w:p>
      <w:pPr>
        <w:pStyle w:val="ListBullet"/>
        <w:spacing w:before="0" w:after="80" w:line="276" w:lineRule="auto"/>
      </w:pPr>
      <w:r>
        <w:rPr>
          <w:rFonts w:ascii="Aptos" w:hAnsi="Aptos"/>
          <w:b w:val="0"/>
          <w:i w:val="0"/>
          <w:color w:val="0B2545"/>
          <w:sz w:val="21"/>
        </w:rPr>
        <w:t>The GDD’s interaction-prototype gate is specifically to prove deterministic, no-drop 3D handling before large-scale art production.</w:t>
      </w:r>
    </w:p>
    <w:p>
      <w:pPr>
        <w:pStyle w:val="Heading1"/>
        <w:keepNext/>
        <w:spacing w:before="360" w:after="200" w:line="288" w:lineRule="auto"/>
      </w:pPr>
      <w:r>
        <w:rPr>
          <w:rFonts w:ascii="Aptos" w:hAnsi="Aptos"/>
          <w:b/>
          <w:i w:val="0"/>
          <w:color w:val="2E74B5"/>
          <w:sz w:val="32"/>
        </w:rPr>
        <w:t>2. Art and asset-pipeline findings</w:t>
      </w:r>
    </w:p>
    <w:p>
      <w:pPr>
        <w:pStyle w:val="Heading2"/>
        <w:keepNext/>
        <w:spacing w:before="280" w:after="140" w:line="288" w:lineRule="auto"/>
      </w:pPr>
      <w:r>
        <w:rPr>
          <w:rFonts w:ascii="Aptos" w:hAnsi="Aptos"/>
          <w:b/>
          <w:i w:val="0"/>
          <w:color w:val="2E74B5"/>
          <w:sz w:val="26"/>
        </w:rPr>
        <w:t>2.1 Unreal Engine, GLB, and Godot</w:t>
      </w:r>
    </w:p>
    <w:p>
      <w:pPr>
        <w:spacing w:before="0" w:after="120" w:line="300" w:lineRule="auto"/>
      </w:pPr>
      <w:r>
        <w:rPr>
          <w:rFonts w:ascii="Aptos" w:hAnsi="Aptos"/>
          <w:b w:val="0"/>
          <w:i w:val="0"/>
          <w:color w:val="0B2545"/>
          <w:sz w:val="22"/>
        </w:rPr>
        <w:t>Direct export of shortlisted Unreal Engine static meshes to GLB imported into Godot with usable geometry, base materials, scale, and a coherent industrial-bunker read. The export naturally reduced some marketplace showcase richness, which was judged helpful rather than harmful: the result reads as low-complexity realistic rather than low-poly.</w:t>
      </w:r>
    </w:p>
    <w:tbl>
      <w:tblPr>
        <w:tblStyle w:val="TableGrid"/>
        <w:tblW w:type="auto" w:w="0"/>
        <w:jc w:val="left"/>
        <w:tblLayout w:type="fixed"/>
        <w:tblLook w:firstColumn="1" w:firstRow="1" w:lastColumn="0" w:lastRow="0" w:noHBand="0" w:noVBand="1" w:val="04A0"/>
      </w:tblPr>
      <w:tblGrid>
        <w:gridCol w:w="3264"/>
        <w:gridCol w:w="3264"/>
        <w:gridCol w:w="3264"/>
      </w:tblGrid>
      <w:tr>
        <w:trPr>
          <w:tblHeader w:val="true"/>
        </w:trPr>
        <w:tc>
          <w:tcPr>
            <w:tcW w:type="dxa" w:w="2520"/>
            <w:vAlign w:val="top"/>
            <w:shd w:fill="E8EEF5"/>
            <w:tcMar>
              <w:top w:w="90" w:type="dxa"/>
              <w:start w:w="130" w:type="dxa"/>
              <w:bottom w:w="90" w:type="dxa"/>
              <w:end w:w="130" w:type="dxa"/>
            </w:tcMar>
          </w:tcPr>
          <w:p>
            <w:pPr>
              <w:spacing w:before="0" w:after="0" w:line="259" w:lineRule="auto"/>
            </w:pPr>
            <w:r>
              <w:rPr>
                <w:rFonts w:ascii="Aptos" w:hAnsi="Aptos"/>
                <w:b/>
                <w:i w:val="0"/>
                <w:color w:val="0B2545"/>
                <w:sz w:val="19"/>
              </w:rPr>
              <w:t>Pipeline route</w:t>
            </w:r>
          </w:p>
        </w:tc>
        <w:tc>
          <w:tcPr>
            <w:tcW w:type="dxa" w:w="5112"/>
            <w:vAlign w:val="top"/>
            <w:shd w:fill="E8EEF5"/>
            <w:tcMar>
              <w:top w:w="90" w:type="dxa"/>
              <w:start w:w="130" w:type="dxa"/>
              <w:bottom w:w="90" w:type="dxa"/>
              <w:end w:w="130" w:type="dxa"/>
            </w:tcMar>
          </w:tcPr>
          <w:p>
            <w:pPr>
              <w:spacing w:before="0" w:after="0" w:line="259" w:lineRule="auto"/>
            </w:pPr>
            <w:r>
              <w:rPr>
                <w:rFonts w:ascii="Aptos" w:hAnsi="Aptos"/>
                <w:b/>
                <w:i w:val="0"/>
                <w:color w:val="0B2545"/>
                <w:sz w:val="19"/>
              </w:rPr>
              <w:t>Finding</w:t>
            </w:r>
          </w:p>
        </w:tc>
        <w:tc>
          <w:tcPr>
            <w:tcW w:type="dxa" w:w="3168"/>
            <w:vAlign w:val="top"/>
            <w:shd w:fill="E8EEF5"/>
            <w:tcMar>
              <w:top w:w="90" w:type="dxa"/>
              <w:start w:w="130" w:type="dxa"/>
              <w:bottom w:w="90" w:type="dxa"/>
              <w:end w:w="130" w:type="dxa"/>
            </w:tcMar>
          </w:tcPr>
          <w:p>
            <w:pPr>
              <w:spacing w:before="0" w:after="0" w:line="259" w:lineRule="auto"/>
            </w:pPr>
            <w:r>
              <w:rPr>
                <w:rFonts w:ascii="Aptos" w:hAnsi="Aptos"/>
                <w:b/>
                <w:i w:val="0"/>
                <w:color w:val="0B2545"/>
                <w:sz w:val="19"/>
              </w:rPr>
              <w:t>Disposition</w:t>
            </w:r>
          </w:p>
        </w:tc>
      </w:tr>
      <w:tr>
        <w:tc>
          <w:tcPr>
            <w:tcW w:type="dxa" w:w="3264"/>
            <w:vAlign w:val="top"/>
            <w:tcMar>
              <w:top w:w="90" w:type="dxa"/>
              <w:start w:w="130" w:type="dxa"/>
              <w:bottom w:w="90" w:type="dxa"/>
              <w:end w:w="130" w:type="dxa"/>
            </w:tcMar>
          </w:tcPr>
          <w:p>
            <w:pPr>
              <w:spacing w:before="0" w:after="0" w:line="259" w:lineRule="auto"/>
            </w:pPr>
            <w:r>
              <w:rPr>
                <w:rFonts w:ascii="Aptos" w:hAnsi="Aptos"/>
                <w:b/>
                <w:i w:val="0"/>
                <w:color w:val="0B2545"/>
                <w:sz w:val="18"/>
              </w:rPr>
              <w:t>UE -&gt; GLB -&gt; Godot</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Viable fast path for straightforward environment assets. Shelves, walls, crates, and lockers looked coherent in a first-person test room.</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Validated for this asset set</w:t>
            </w:r>
          </w:p>
        </w:tc>
      </w:tr>
      <w:tr>
        <w:tc>
          <w:tcPr>
            <w:tcW w:type="dxa" w:w="3264"/>
            <w:vAlign w:val="top"/>
            <w:tcMar>
              <w:top w:w="90" w:type="dxa"/>
              <w:start w:w="130" w:type="dxa"/>
              <w:bottom w:w="90" w:type="dxa"/>
              <w:end w:w="130" w:type="dxa"/>
            </w:tcMar>
          </w:tcPr>
          <w:p>
            <w:pPr>
              <w:spacing w:before="0" w:after="0" w:line="259" w:lineRule="auto"/>
            </w:pPr>
            <w:r>
              <w:rPr>
                <w:rFonts w:ascii="Aptos" w:hAnsi="Aptos"/>
                <w:b/>
                <w:i w:val="0"/>
                <w:color w:val="0B2545"/>
                <w:sz w:val="18"/>
              </w:rPr>
              <w:t>UE -&gt; FBX + source maps -&gt; Blender -&gt; GLB -&gt; Godot</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Deliberate cleanup/normalization route when an asset needs pivot, scale, component, geometry, normal, or material work.</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Supported fallback</w:t>
            </w:r>
          </w:p>
        </w:tc>
      </w:tr>
      <w:tr>
        <w:tc>
          <w:tcPr>
            <w:tcW w:type="dxa" w:w="3264"/>
            <w:vAlign w:val="top"/>
            <w:tcMar>
              <w:top w:w="90" w:type="dxa"/>
              <w:start w:w="130" w:type="dxa"/>
              <w:bottom w:w="90" w:type="dxa"/>
              <w:end w:w="130" w:type="dxa"/>
            </w:tcMar>
          </w:tcPr>
          <w:p>
            <w:pPr>
              <w:spacing w:before="0" w:after="0" w:line="259" w:lineRule="auto"/>
            </w:pPr>
            <w:r>
              <w:rPr>
                <w:rFonts w:ascii="Aptos" w:hAnsi="Aptos"/>
                <w:b/>
                <w:i w:val="0"/>
                <w:color w:val="0B2545"/>
                <w:sz w:val="18"/>
              </w:rPr>
              <w:t>Unreal source/render mesh comparison</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Useful content-import check for high-detail/Nanite-style assets; a broad final policy should not be inferred from one shelf.</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Recommended per asset family</w:t>
            </w:r>
          </w:p>
        </w:tc>
      </w:tr>
      <w:tr>
        <w:tc>
          <w:tcPr>
            <w:tcW w:type="dxa" w:w="3264"/>
            <w:vAlign w:val="top"/>
            <w:tcMar>
              <w:top w:w="90" w:type="dxa"/>
              <w:start w:w="130" w:type="dxa"/>
              <w:bottom w:w="90" w:type="dxa"/>
              <w:end w:w="130" w:type="dxa"/>
            </w:tcMar>
          </w:tcPr>
          <w:p>
            <w:pPr>
              <w:spacing w:before="0" w:after="0" w:line="259" w:lineRule="auto"/>
            </w:pPr>
            <w:r>
              <w:rPr>
                <w:rFonts w:ascii="Aptos" w:hAnsi="Aptos"/>
                <w:b/>
                <w:i w:val="0"/>
                <w:color w:val="0B2545"/>
                <w:sz w:val="18"/>
              </w:rPr>
              <w:t>Raw material maps</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BC/Normal/ORM-style maps are usable source material. Channel conventions must be checked, not inferred from names alone; DirectX-style normal Y inversion may be needed.</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Technical note; not standardized</w:t>
            </w:r>
          </w:p>
        </w:tc>
      </w:tr>
    </w:tbl>
    <w:p>
      <w:pPr>
        <w:spacing w:after="40"/>
      </w:pPr>
    </w:p>
    <w:p>
      <w:pPr>
        <w:pStyle w:val="Heading2"/>
        <w:keepNext/>
        <w:spacing w:before="280" w:after="140" w:line="288" w:lineRule="auto"/>
      </w:pPr>
      <w:r>
        <w:rPr>
          <w:rFonts w:ascii="Aptos" w:hAnsi="Aptos"/>
          <w:b/>
          <w:i w:val="0"/>
          <w:color w:val="2E74B5"/>
          <w:sz w:val="26"/>
        </w:rPr>
        <w:t>2.2 Blender’s role</w:t>
      </w:r>
    </w:p>
    <w:p>
      <w:pPr>
        <w:spacing w:before="0" w:after="120" w:line="300" w:lineRule="auto"/>
      </w:pPr>
      <w:r>
        <w:rPr>
          <w:rFonts w:ascii="Aptos" w:hAnsi="Aptos"/>
          <w:b w:val="0"/>
          <w:i w:val="0"/>
          <w:color w:val="0B2545"/>
          <w:sz w:val="22"/>
        </w:rPr>
        <w:t>Blender successfully generated five GLB proof props through scripting: a soda can, pill bottle, cereal box, hammer, and tennis racket. Their scale survived import to Godot, and they coexisted acceptably with the UE-derived room. This demonstrates a productive hybrid art strategy, not a mandate to procedurally model all loot.</w:t>
      </w:r>
    </w:p>
    <w:tbl>
      <w:tblPr>
        <w:tblStyle w:val="TableGrid"/>
        <w:tblW w:type="auto" w:w="0"/>
        <w:jc w:val="left"/>
        <w:tblLayout w:type="fixed"/>
        <w:tblLook w:firstColumn="1" w:firstRow="1" w:lastColumn="0" w:lastRow="0" w:noHBand="0" w:noVBand="1" w:val="04A0"/>
      </w:tblPr>
      <w:tblGrid>
        <w:gridCol w:w="4896"/>
        <w:gridCol w:w="4896"/>
      </w:tblGrid>
      <w:tr>
        <w:trPr>
          <w:tblHeader w:val="true"/>
        </w:trPr>
        <w:tc>
          <w:tcPr>
            <w:tcW w:type="dxa" w:w="2592"/>
            <w:vAlign w:val="top"/>
            <w:shd w:fill="E8EEF5"/>
            <w:tcMar>
              <w:top w:w="90" w:type="dxa"/>
              <w:start w:w="130" w:type="dxa"/>
              <w:bottom w:w="90" w:type="dxa"/>
              <w:end w:w="130" w:type="dxa"/>
            </w:tcMar>
          </w:tcPr>
          <w:p>
            <w:pPr>
              <w:spacing w:before="0" w:after="0" w:line="259" w:lineRule="auto"/>
            </w:pPr>
            <w:r>
              <w:rPr>
                <w:rFonts w:ascii="Aptos" w:hAnsi="Aptos"/>
                <w:b/>
                <w:i w:val="0"/>
                <w:color w:val="0B2545"/>
                <w:sz w:val="19"/>
              </w:rPr>
              <w:t>Best role</w:t>
            </w:r>
          </w:p>
        </w:tc>
        <w:tc>
          <w:tcPr>
            <w:tcW w:type="dxa" w:w="8208"/>
            <w:vAlign w:val="top"/>
            <w:shd w:fill="E8EEF5"/>
            <w:tcMar>
              <w:top w:w="90" w:type="dxa"/>
              <w:start w:w="130" w:type="dxa"/>
              <w:bottom w:w="90" w:type="dxa"/>
              <w:end w:w="130" w:type="dxa"/>
            </w:tcMar>
          </w:tcPr>
          <w:p>
            <w:pPr>
              <w:spacing w:before="0" w:after="0" w:line="259" w:lineRule="auto"/>
            </w:pPr>
            <w:r>
              <w:rPr>
                <w:rFonts w:ascii="Aptos" w:hAnsi="Aptos"/>
                <w:b/>
                <w:i w:val="0"/>
                <w:color w:val="0B2545"/>
                <w:sz w:val="19"/>
              </w:rPr>
              <w:t>Evidence / rationale</w:t>
            </w:r>
          </w:p>
        </w:tc>
      </w:tr>
      <w:tr>
        <w:tc>
          <w:tcPr>
            <w:tcW w:type="dxa" w:w="4896"/>
            <w:vAlign w:val="top"/>
            <w:tcMar>
              <w:top w:w="90" w:type="dxa"/>
              <w:start w:w="130" w:type="dxa"/>
              <w:bottom w:w="90" w:type="dxa"/>
              <w:end w:w="130" w:type="dxa"/>
            </w:tcMar>
          </w:tcPr>
          <w:p>
            <w:pPr>
              <w:spacing w:before="0" w:after="0" w:line="259" w:lineRule="auto"/>
            </w:pPr>
            <w:r>
              <w:rPr>
                <w:rFonts w:ascii="Aptos" w:hAnsi="Aptos"/>
                <w:b/>
                <w:i w:val="0"/>
                <w:color w:val="0B2545"/>
                <w:sz w:val="18"/>
              </w:rPr>
              <w:t>Procedural families</w:t>
            </w:r>
          </w:p>
        </w:tc>
        <w:tc>
          <w:tcPr>
            <w:tcW w:type="dxa" w:w="4896"/>
            <w:vAlign w:val="top"/>
            <w:tcMar>
              <w:top w:w="90" w:type="dxa"/>
              <w:start w:w="130" w:type="dxa"/>
              <w:bottom w:w="90" w:type="dxa"/>
              <w:end w:w="130" w:type="dxa"/>
            </w:tcMar>
          </w:tcPr>
          <w:p>
            <w:pPr>
              <w:spacing w:before="0" w:after="0" w:line="259" w:lineRule="auto"/>
            </w:pPr>
            <w:r>
              <w:rPr>
                <w:rFonts w:ascii="Aptos" w:hAnsi="Aptos"/>
                <w:b w:val="0"/>
                <w:i w:val="0"/>
                <w:color w:val="0B2545"/>
                <w:sz w:val="18"/>
              </w:rPr>
              <w:t>Cans, bottles, pill bottles, cartons, boxes, jars, packets, buckets, and standardized salvage can share geometry families and differ chiefly by dimensions, materials, and labels.</w:t>
            </w:r>
          </w:p>
        </w:tc>
      </w:tr>
      <w:tr>
        <w:tc>
          <w:tcPr>
            <w:tcW w:type="dxa" w:w="4896"/>
            <w:vAlign w:val="top"/>
            <w:tcMar>
              <w:top w:w="90" w:type="dxa"/>
              <w:start w:w="130" w:type="dxa"/>
              <w:bottom w:w="90" w:type="dxa"/>
              <w:end w:w="130" w:type="dxa"/>
            </w:tcMar>
          </w:tcPr>
          <w:p>
            <w:pPr>
              <w:spacing w:before="0" w:after="0" w:line="259" w:lineRule="auto"/>
            </w:pPr>
            <w:r>
              <w:rPr>
                <w:rFonts w:ascii="Aptos" w:hAnsi="Aptos"/>
                <w:b/>
                <w:i w:val="0"/>
                <w:color w:val="0B2545"/>
                <w:sz w:val="18"/>
              </w:rPr>
              <w:t>Sourced distinctive objects</w:t>
            </w:r>
          </w:p>
        </w:tc>
        <w:tc>
          <w:tcPr>
            <w:tcW w:type="dxa" w:w="4896"/>
            <w:vAlign w:val="top"/>
            <w:tcMar>
              <w:top w:w="90" w:type="dxa"/>
              <w:start w:w="130" w:type="dxa"/>
              <w:bottom w:w="90" w:type="dxa"/>
              <w:end w:w="130" w:type="dxa"/>
            </w:tcMar>
          </w:tcPr>
          <w:p>
            <w:pPr>
              <w:spacing w:before="0" w:after="0" w:line="259" w:lineRule="auto"/>
            </w:pPr>
            <w:r>
              <w:rPr>
                <w:rFonts w:ascii="Aptos" w:hAnsi="Aptos"/>
                <w:b w:val="0"/>
                <w:i w:val="0"/>
                <w:color w:val="0B2545"/>
                <w:sz w:val="18"/>
              </w:rPr>
              <w:t>Firearms, rackets, shoes, radios, power tools, intricate medical instruments, and identity-heavy hand tools benefit more from existing meshes than elaborate generators.</w:t>
            </w:r>
          </w:p>
        </w:tc>
      </w:tr>
      <w:tr>
        <w:tc>
          <w:tcPr>
            <w:tcW w:type="dxa" w:w="4896"/>
            <w:vAlign w:val="top"/>
            <w:tcMar>
              <w:top w:w="90" w:type="dxa"/>
              <w:start w:w="130" w:type="dxa"/>
              <w:bottom w:w="90" w:type="dxa"/>
              <w:end w:w="130" w:type="dxa"/>
            </w:tcMar>
          </w:tcPr>
          <w:p>
            <w:pPr>
              <w:spacing w:before="0" w:after="0" w:line="259" w:lineRule="auto"/>
            </w:pPr>
            <w:r>
              <w:rPr>
                <w:rFonts w:ascii="Aptos" w:hAnsi="Aptos"/>
                <w:b/>
                <w:i w:val="0"/>
                <w:color w:val="0B2545"/>
                <w:sz w:val="18"/>
              </w:rPr>
              <w:t>Variant production</w:t>
            </w:r>
          </w:p>
        </w:tc>
        <w:tc>
          <w:tcPr>
            <w:tcW w:type="dxa" w:w="4896"/>
            <w:vAlign w:val="top"/>
            <w:tcMar>
              <w:top w:w="90" w:type="dxa"/>
              <w:start w:w="130" w:type="dxa"/>
              <w:bottom w:w="90" w:type="dxa"/>
              <w:end w:w="130" w:type="dxa"/>
            </w:tcMar>
          </w:tcPr>
          <w:p>
            <w:pPr>
              <w:spacing w:before="0" w:after="0" w:line="259" w:lineRule="auto"/>
            </w:pPr>
            <w:r>
              <w:rPr>
                <w:rFonts w:ascii="Aptos" w:hAnsi="Aptos"/>
                <w:b w:val="0"/>
                <w:i w:val="0"/>
                <w:color w:val="0B2545"/>
                <w:sz w:val="18"/>
              </w:rPr>
              <w:t>A strong sourced base mesh can generate many game items through labels, material variants, and ItemDefinition data. One can or pill bottle can become many products.</w:t>
            </w:r>
          </w:p>
        </w:tc>
      </w:tr>
      <w:tr>
        <w:tc>
          <w:tcPr>
            <w:tcW w:type="dxa" w:w="4896"/>
            <w:vAlign w:val="top"/>
            <w:tcMar>
              <w:top w:w="90" w:type="dxa"/>
              <w:start w:w="130" w:type="dxa"/>
              <w:bottom w:w="90" w:type="dxa"/>
              <w:end w:w="130" w:type="dxa"/>
            </w:tcMar>
          </w:tcPr>
          <w:p>
            <w:pPr>
              <w:spacing w:before="0" w:after="0" w:line="259" w:lineRule="auto"/>
            </w:pPr>
            <w:r>
              <w:rPr>
                <w:rFonts w:ascii="Aptos" w:hAnsi="Aptos"/>
                <w:b/>
                <w:i w:val="0"/>
                <w:color w:val="0B2545"/>
                <w:sz w:val="18"/>
              </w:rPr>
              <w:t>Selective repair</w:t>
            </w:r>
          </w:p>
        </w:tc>
        <w:tc>
          <w:tcPr>
            <w:tcW w:type="dxa" w:w="4896"/>
            <w:vAlign w:val="top"/>
            <w:tcMar>
              <w:top w:w="90" w:type="dxa"/>
              <w:start w:w="130" w:type="dxa"/>
              <w:bottom w:w="90" w:type="dxa"/>
              <w:end w:w="130" w:type="dxa"/>
            </w:tcMar>
          </w:tcPr>
          <w:p>
            <w:pPr>
              <w:spacing w:before="0" w:after="0" w:line="259" w:lineRule="auto"/>
            </w:pPr>
            <w:r>
              <w:rPr>
                <w:rFonts w:ascii="Aptos" w:hAnsi="Aptos"/>
                <w:b w:val="0"/>
                <w:i w:val="0"/>
                <w:color w:val="0B2545"/>
                <w:sz w:val="18"/>
              </w:rPr>
              <w:t>Use Blender when direct GLB import has a genuine problem. It should not become compulsory friction in the environment-art pipeline.</w:t>
            </w:r>
          </w:p>
        </w:tc>
      </w:tr>
    </w:tbl>
    <w:p>
      <w:pPr>
        <w:spacing w:after="40"/>
      </w:pPr>
    </w:p>
    <w:tbl>
      <w:tblPr>
        <w:tblStyle w:val="TableGrid"/>
        <w:tblW w:type="auto" w:w="0"/>
        <w:jc w:val="left"/>
        <w:tblLook w:firstColumn="1" w:firstRow="1" w:lastColumn="0" w:lastRow="0" w:noHBand="0" w:noVBand="1" w:val="04A0"/>
      </w:tblPr>
      <w:tblGrid>
        <w:gridCol w:w="9792"/>
      </w:tblGrid>
      <w:tr>
        <w:tc>
          <w:tcPr>
            <w:tcW w:type="dxa" w:w="9792"/>
            <w:shd w:fill="DDEFE2"/>
            <w:tcMar>
              <w:top w:w="90" w:type="dxa"/>
              <w:start w:w="130" w:type="dxa"/>
              <w:bottom w:w="90" w:type="dxa"/>
              <w:end w:w="130" w:type="dxa"/>
            </w:tcMar>
          </w:tcPr>
          <w:p>
            <w:pPr>
              <w:spacing w:before="0" w:after="20" w:line="264" w:lineRule="auto"/>
            </w:pPr>
            <w:r>
              <w:rPr>
                <w:rFonts w:ascii="Aptos" w:hAnsi="Aptos"/>
                <w:b/>
                <w:i w:val="0"/>
                <w:color w:val="1F4D78"/>
                <w:sz w:val="19"/>
              </w:rPr>
              <w:t xml:space="preserve">PRACTICAL IMPLICATION  </w:t>
            </w:r>
            <w:r>
              <w:rPr>
                <w:rFonts w:ascii="Aptos" w:hAnsi="Aptos"/>
                <w:b w:val="0"/>
                <w:i w:val="0"/>
                <w:color w:val="0B2545"/>
                <w:sz w:val="21"/>
              </w:rPr>
              <w:t>For broad loot content, the scalable unit is likely a data record plus a texture/material variant, not a fresh modelling session. Canonical dimensions should be kept alongside the visual definition so a future Footprint suggestion tool has a reliable starting point.</w:t>
            </w:r>
          </w:p>
        </w:tc>
      </w:tr>
    </w:tbl>
    <w:p>
      <w:pPr>
        <w:spacing w:after="20"/>
      </w:pPr>
    </w:p>
    <w:p>
      <w:pPr>
        <w:pStyle w:val="Heading2"/>
        <w:keepNext/>
        <w:spacing w:before="280" w:after="140" w:line="288" w:lineRule="auto"/>
      </w:pPr>
      <w:r>
        <w:rPr>
          <w:rFonts w:ascii="Aptos" w:hAnsi="Aptos"/>
          <w:b/>
          <w:i w:val="0"/>
          <w:color w:val="2E74B5"/>
          <w:sz w:val="26"/>
        </w:rPr>
        <w:t>2.3 Asset-source experiment: KitBash3D</w:t>
      </w:r>
    </w:p>
    <w:p>
      <w:pPr>
        <w:spacing w:before="0" w:after="120" w:line="300" w:lineRule="auto"/>
      </w:pPr>
      <w:r>
        <w:rPr>
          <w:rFonts w:ascii="Aptos" w:hAnsi="Aptos"/>
          <w:b w:val="0"/>
          <w:i w:val="0"/>
          <w:color w:val="0B2545"/>
          <w:sz w:val="22"/>
        </w:rPr>
        <w:t>KitBash3D was identified as a potentially high-leverage source for production-quality environment and loot assets. Cargo-style selective export was considered useful because it avoids importing an entire pack merely to use small props. No licensing assumption has been accepted: continued use after a subscription ends, the required purchase/subscription state, and precise project-use terms must be confirmed in writing by KitBash3D before the pipeline is adopted.</w:t>
      </w:r>
    </w:p>
    <w:p>
      <w:pPr>
        <w:pStyle w:val="ListBullet"/>
        <w:spacing w:before="0" w:after="80" w:line="276" w:lineRule="auto"/>
      </w:pPr>
      <w:r>
        <w:rPr>
          <w:rFonts w:ascii="Aptos" w:hAnsi="Aptos"/>
          <w:b w:val="0"/>
          <w:i w:val="0"/>
          <w:color w:val="0B2545"/>
          <w:sz w:val="21"/>
        </w:rPr>
        <w:t>Do not subscribe or incorporate KitBash3D assets into a production inventory without written clarification.</w:t>
      </w:r>
    </w:p>
    <w:p>
      <w:pPr>
        <w:pStyle w:val="ListBullet"/>
        <w:spacing w:before="0" w:after="80" w:line="276" w:lineRule="auto"/>
      </w:pPr>
      <w:r>
        <w:rPr>
          <w:rFonts w:ascii="Aptos" w:hAnsi="Aptos"/>
          <w:b w:val="0"/>
          <w:i w:val="0"/>
          <w:color w:val="0B2545"/>
          <w:sz w:val="21"/>
        </w:rPr>
        <w:t>If confirmed, use one focused acquisition period to shortlist, export, normalize, catalog source/license, test in Godot, and author data for a curated library rather than importing everything.</w:t>
      </w:r>
    </w:p>
    <w:p>
      <w:pPr>
        <w:pStyle w:val="ListBullet"/>
        <w:spacing w:before="0" w:after="80" w:line="276" w:lineRule="auto"/>
      </w:pPr>
      <w:r>
        <w:rPr>
          <w:rFonts w:ascii="Aptos" w:hAnsi="Aptos"/>
          <w:b w:val="0"/>
          <w:i w:val="0"/>
          <w:color w:val="0B2545"/>
          <w:sz w:val="21"/>
        </w:rPr>
        <w:t>Until then, current packs, placeholders, and Blender-generated simple props are sufficient for prototype progress.</w:t>
      </w:r>
    </w:p>
    <w:p>
      <w:pPr>
        <w:pStyle w:val="Heading2"/>
      </w:pPr>
      <w:r>
        <w:t>2.4 Fab asset sourcing and license-record discipline</w:t>
      </w:r>
    </w:p>
    <w:p>
      <w:pPr/>
      <w:r>
        <w:t>Fab free and paid packs can materially reduce content-production cost when the acquired listing is available under a usable project license and actual source/Unreal content is accessible. A tested free goods-and-supplies pack was successfully added to the user's Fab library under the Standard License and then added to the Unreal test project through the Epic/UE launcher. This establishes Fab as a practical candidate source for loot families such as cans and packaged food; it does not remove the need to retain per-asset source/license records.</w:t>
      </w:r>
    </w:p>
    <w:p>
      <w:pPr>
        <w:pStyle w:val="ListBullet"/>
      </w:pPr>
      <w:r>
        <w:t>Production rule: record listing/source, publisher, acquisition date, and license state for every externally sourced production asset. Do not redistribute source assets independently from the game, and do not treat this report as legal advice or a substitute for current vendor terms.</w:t>
      </w:r>
    </w:p>
    <w:p>
      <w:pPr>
        <w:pStyle w:val="ListBullet"/>
      </w:pPr>
      <w:r>
        <w:t>KitBash3D remains a separate pending source. Its potential time/quality leverage is high, but the intended subscription-acquisition workflow still requires written confirmation from KitBash3D support before becoming a production dependency.</w:t>
      </w:r>
    </w:p>
    <w:p>
      <w:pPr>
        <w:pStyle w:val="Heading2"/>
      </w:pPr>
      <w:r>
        <w:t>2.5 Canonical loot scale and transform normalization</w:t>
      </w:r>
    </w:p>
    <w:p>
      <w:pPr/>
      <w:r>
        <w:t>A production loot asset should enter Godot at a plausible canonical world size with root scale approximately 1,1,1. Marketplace source scale is not gameplay data. When an imported object is obviously oversized or undersized, normalize it before production use: scale uniformly in Blender to a plausible real-world dimension, apply the scale, then export the normalized GLB.</w:t>
      </w:r>
    </w:p>
    <w:p>
      <w:pPr/>
      <w:r>
        <w:t>This rule keeps mesh bounds meaningful for Footprint suggestions, held-item presentation, placement ghosts, storage fit, future thumbnail tooling, and any collision/inspection logic. Furniture may intentionally use visual scale variants; ordinary loot should generally not.</w:t>
      </w:r>
    </w:p>
    <w:p>
      <w:pPr>
        <w:pStyle w:val="Heading2"/>
      </w:pPr>
      <w:r>
        <w:t>2.6 Skeletal clothing as static loot source</w:t>
      </w:r>
    </w:p>
    <w:p>
      <w:pPr/>
      <w:r>
        <w:t>Marketplace clothing frequently arrives as Skeletal Meshes intended for humanoid rigs. Runtime skeletal deformation is unnecessary for ordinary Quartermaster loot. The tested authoring route is to repose the source garment into a compact neutral/hanging pose, freeze or convert that pose to a Static Mesh, normalize scale, and export the resulting static asset to Godot.</w:t>
      </w:r>
    </w:p>
    <w:p>
      <w:pPr/>
      <w:r>
        <w:t>The source skeletal asset remains useful as an authoring source for alternate poses, but the shipped/storage representation can be static. Early tests with jackets, trousers, gloves, boots, protective vests, and similar gear showed that compact recognizable silhouettes are more valuable than realistic cloth simulation. Specialized clothing racks or mannequin-like containers remain possible future storage types, not a requirement for the current prototype.</w:t>
      </w:r>
    </w:p>
    <w:p>
      <w:pPr>
        <w:pStyle w:val="Heading1"/>
        <w:keepNext/>
        <w:spacing w:before="360" w:after="200" w:line="288" w:lineRule="auto"/>
      </w:pPr>
      <w:r>
        <w:t>3. Prototype Steps 1-6.3</w:t>
      </w:r>
    </w:p>
    <w:p>
      <w:pPr>
        <w:spacing w:before="0" w:after="120" w:line="300" w:lineRule="auto"/>
      </w:pPr>
      <w:r>
        <w:rPr>
          <w:rFonts w:ascii="Aptos" w:hAnsi="Aptos"/>
          <w:b w:val="0"/>
          <w:i w:val="0"/>
          <w:color w:val="0B2545"/>
          <w:sz w:val="22"/>
        </w:rPr>
        <w:t>The prototype was deliberately built as a sequence of small gates. Each step answered a narrower question before the next system was attached. The status below distinguishes observed conclusions from implementation presence.</w:t>
      </w:r>
    </w:p>
    <w:tbl>
      <w:tblPr>
        <w:tblStyle w:val="TableGrid"/>
        <w:tblW w:type="auto" w:w="0"/>
        <w:jc w:val="left"/>
        <w:tblLayout w:type="fixed"/>
        <w:tblLook w:firstColumn="1" w:firstRow="1" w:lastColumn="0" w:lastRow="0" w:noHBand="0" w:noVBand="1" w:val="04A0"/>
      </w:tblPr>
      <w:tblGrid>
        <w:gridCol w:w="2448"/>
        <w:gridCol w:w="2448"/>
        <w:gridCol w:w="2448"/>
        <w:gridCol w:w="2448"/>
      </w:tblGrid>
      <w:tr>
        <w:trPr>
          <w:tblHeader w:val="true"/>
        </w:trPr>
        <w:tc>
          <w:tcPr>
            <w:tcW w:type="dxa" w:w="1080"/>
            <w:vAlign w:val="top"/>
            <w:shd w:fill="E8EEF5"/>
            <w:tcMar>
              <w:top w:w="90" w:type="dxa"/>
              <w:start w:w="130" w:type="dxa"/>
              <w:bottom w:w="90" w:type="dxa"/>
              <w:end w:w="130" w:type="dxa"/>
            </w:tcMar>
          </w:tcPr>
          <w:p>
            <w:pPr>
              <w:spacing w:before="0" w:after="0" w:line="259" w:lineRule="auto"/>
            </w:pPr>
            <w:r>
              <w:rPr>
                <w:rFonts w:ascii="Aptos" w:hAnsi="Aptos"/>
                <w:b/>
                <w:i w:val="0"/>
                <w:color w:val="0B2545"/>
                <w:sz w:val="19"/>
              </w:rPr>
              <w:t>Step</w:t>
            </w:r>
          </w:p>
        </w:tc>
        <w:tc>
          <w:tcPr>
            <w:tcW w:type="dxa" w:w="2880"/>
            <w:vAlign w:val="top"/>
            <w:shd w:fill="E8EEF5"/>
            <w:tcMar>
              <w:top w:w="90" w:type="dxa"/>
              <w:start w:w="130" w:type="dxa"/>
              <w:bottom w:w="90" w:type="dxa"/>
              <w:end w:w="130" w:type="dxa"/>
            </w:tcMar>
          </w:tcPr>
          <w:p>
            <w:pPr>
              <w:spacing w:before="0" w:after="0" w:line="259" w:lineRule="auto"/>
            </w:pPr>
            <w:r>
              <w:rPr>
                <w:rFonts w:ascii="Aptos" w:hAnsi="Aptos"/>
                <w:b/>
                <w:i w:val="0"/>
                <w:color w:val="0B2545"/>
                <w:sz w:val="19"/>
              </w:rPr>
              <w:t>What was built</w:t>
            </w:r>
          </w:p>
        </w:tc>
        <w:tc>
          <w:tcPr>
            <w:tcW w:type="dxa" w:w="4032"/>
            <w:vAlign w:val="top"/>
            <w:shd w:fill="E8EEF5"/>
            <w:tcMar>
              <w:top w:w="90" w:type="dxa"/>
              <w:start w:w="130" w:type="dxa"/>
              <w:bottom w:w="90" w:type="dxa"/>
              <w:end w:w="130" w:type="dxa"/>
            </w:tcMar>
          </w:tcPr>
          <w:p>
            <w:pPr>
              <w:spacing w:before="0" w:after="0" w:line="259" w:lineRule="auto"/>
            </w:pPr>
            <w:r>
              <w:rPr>
                <w:rFonts w:ascii="Aptos" w:hAnsi="Aptos"/>
                <w:b/>
                <w:i w:val="0"/>
                <w:color w:val="0B2545"/>
                <w:sz w:val="19"/>
              </w:rPr>
              <w:t>What the result established</w:t>
            </w:r>
          </w:p>
        </w:tc>
        <w:tc>
          <w:tcPr>
            <w:tcW w:type="dxa" w:w="1728"/>
            <w:vAlign w:val="top"/>
            <w:shd w:fill="E8EEF5"/>
            <w:tcMar>
              <w:top w:w="90" w:type="dxa"/>
              <w:start w:w="130" w:type="dxa"/>
              <w:bottom w:w="90" w:type="dxa"/>
              <w:end w:w="130" w:type="dxa"/>
            </w:tcMar>
          </w:tcPr>
          <w:p>
            <w:pPr>
              <w:spacing w:before="0" w:after="0" w:line="259" w:lineRule="auto"/>
            </w:pPr>
            <w:r>
              <w:rPr>
                <w:rFonts w:ascii="Aptos" w:hAnsi="Aptos"/>
                <w:b/>
                <w:i w:val="0"/>
                <w:color w:val="0B2545"/>
                <w:sz w:val="19"/>
              </w:rPr>
              <w:t>Status</w:t>
            </w:r>
          </w:p>
        </w:tc>
      </w:tr>
      <w:tr>
        <w:tc>
          <w:tcPr>
            <w:tcW w:type="dxa" w:w="2448"/>
            <w:vAlign w:val="top"/>
            <w:tcMar>
              <w:top w:w="90" w:type="dxa"/>
              <w:start w:w="130" w:type="dxa"/>
              <w:bottom w:w="90" w:type="dxa"/>
              <w:end w:w="130" w:type="dxa"/>
            </w:tcMar>
          </w:tcPr>
          <w:p>
            <w:pPr>
              <w:spacing w:before="0" w:after="0" w:line="259" w:lineRule="auto"/>
            </w:pPr>
            <w:r>
              <w:rPr>
                <w:rFonts w:ascii="Aptos" w:hAnsi="Aptos"/>
                <w:b/>
                <w:i w:val="0"/>
                <w:color w:val="0B2545"/>
                <w:sz w:val="18"/>
              </w:rPr>
              <w:t>1. Physical room and prop test</w:t>
            </w:r>
          </w:p>
        </w:tc>
        <w:tc>
          <w:tcPr>
            <w:tcW w:type="dxa" w:w="2448"/>
            <w:vAlign w:val="top"/>
            <w:tcMar>
              <w:top w:w="90" w:type="dxa"/>
              <w:start w:w="130" w:type="dxa"/>
              <w:bottom w:w="90" w:type="dxa"/>
              <w:end w:w="130" w:type="dxa"/>
            </w:tcMar>
          </w:tcPr>
          <w:p>
            <w:pPr>
              <w:spacing w:before="0" w:after="0" w:line="259" w:lineRule="auto"/>
            </w:pPr>
            <w:r>
              <w:rPr>
                <w:rFonts w:ascii="Aptos" w:hAnsi="Aptos"/>
                <w:b w:val="0"/>
                <w:i w:val="0"/>
                <w:color w:val="0B2545"/>
                <w:sz w:val="18"/>
              </w:rPr>
              <w:t>Human-scale CharacterBody3D controller; coarse runtime collision for floor, walls, shelves, lockers, crates, barrels, and major props. Blender loot imported beside environment assets.</w:t>
            </w:r>
          </w:p>
        </w:tc>
        <w:tc>
          <w:tcPr>
            <w:tcW w:type="dxa" w:w="2448"/>
            <w:vAlign w:val="top"/>
            <w:tcMar>
              <w:top w:w="90" w:type="dxa"/>
              <w:start w:w="130" w:type="dxa"/>
              <w:bottom w:w="90" w:type="dxa"/>
              <w:end w:w="130" w:type="dxa"/>
            </w:tcMar>
          </w:tcPr>
          <w:p>
            <w:pPr>
              <w:spacing w:before="0" w:after="0" w:line="259" w:lineRule="auto"/>
            </w:pPr>
            <w:r>
              <w:rPr>
                <w:rFonts w:ascii="Aptos" w:hAnsi="Aptos"/>
                <w:b w:val="0"/>
                <w:i w:val="0"/>
                <w:color w:val="0B2545"/>
                <w:sz w:val="18"/>
              </w:rPr>
              <w:t>First-person scale felt credible; simplified collision felt natural; environment and simple loot can coexist. The room can use separate visual, collision, and storage representations.</w:t>
            </w:r>
          </w:p>
        </w:tc>
        <w:tc>
          <w:tcPr>
            <w:tcW w:type="dxa" w:w="2448"/>
            <w:vAlign w:val="top"/>
            <w:shd w:fill="DDEFE2"/>
            <w:tcMar>
              <w:top w:w="90" w:type="dxa"/>
              <w:start w:w="130" w:type="dxa"/>
              <w:bottom w:w="90" w:type="dxa"/>
              <w:end w:w="130" w:type="dxa"/>
            </w:tcMar>
          </w:tcPr>
          <w:p>
            <w:pPr>
              <w:spacing w:before="0" w:after="0" w:line="259" w:lineRule="auto"/>
            </w:pPr>
            <w:r>
              <w:rPr>
                <w:rFonts w:ascii="Aptos" w:hAnsi="Aptos"/>
                <w:b w:val="0"/>
                <w:i w:val="0"/>
                <w:color w:val="0B2545"/>
                <w:sz w:val="18"/>
              </w:rPr>
              <w:t>Validated</w:t>
            </w:r>
          </w:p>
        </w:tc>
      </w:tr>
      <w:tr>
        <w:tc>
          <w:tcPr>
            <w:tcW w:type="dxa" w:w="2448"/>
            <w:vAlign w:val="top"/>
            <w:tcMar>
              <w:top w:w="90" w:type="dxa"/>
              <w:start w:w="130" w:type="dxa"/>
              <w:bottom w:w="90" w:type="dxa"/>
              <w:end w:w="130" w:type="dxa"/>
            </w:tcMar>
          </w:tcPr>
          <w:p>
            <w:pPr>
              <w:spacing w:before="0" w:after="0" w:line="259" w:lineRule="auto"/>
            </w:pPr>
            <w:r>
              <w:rPr>
                <w:rFonts w:ascii="Aptos" w:hAnsi="Aptos"/>
                <w:b/>
                <w:i w:val="0"/>
                <w:color w:val="0B2545"/>
                <w:sz w:val="18"/>
              </w:rPr>
              <w:t>2. Carried-items representation</w:t>
            </w:r>
          </w:p>
        </w:tc>
        <w:tc>
          <w:tcPr>
            <w:tcW w:type="dxa" w:w="2448"/>
            <w:vAlign w:val="top"/>
            <w:tcMar>
              <w:top w:w="90" w:type="dxa"/>
              <w:start w:w="130" w:type="dxa"/>
              <w:bottom w:w="90" w:type="dxa"/>
              <w:end w:w="130" w:type="dxa"/>
            </w:tcMar>
          </w:tcPr>
          <w:p>
            <w:pPr>
              <w:spacing w:before="0" w:after="0" w:line="259" w:lineRule="auto"/>
            </w:pPr>
            <w:r>
              <w:rPr>
                <w:rFonts w:ascii="Aptos" w:hAnsi="Aptos"/>
                <w:b w:val="0"/>
                <w:i w:val="0"/>
                <w:color w:val="0B2545"/>
                <w:sz w:val="18"/>
              </w:rPr>
              <w:t>ItemDefinition, ItemInstance, Bulk-limited carried queue, selection controls, and bottom HUD strip. Initial debug set totalled 9/10 Bulk.</w:t>
            </w:r>
          </w:p>
        </w:tc>
        <w:tc>
          <w:tcPr>
            <w:tcW w:type="dxa" w:w="2448"/>
            <w:vAlign w:val="top"/>
            <w:tcMar>
              <w:top w:w="90" w:type="dxa"/>
              <w:start w:w="130" w:type="dxa"/>
              <w:bottom w:w="90" w:type="dxa"/>
              <w:end w:w="130" w:type="dxa"/>
            </w:tcMar>
          </w:tcPr>
          <w:p>
            <w:pPr>
              <w:spacing w:before="0" w:after="0" w:line="259" w:lineRule="auto"/>
            </w:pPr>
            <w:r>
              <w:rPr>
                <w:rFonts w:ascii="Aptos" w:hAnsi="Aptos"/>
                <w:b w:val="0"/>
                <w:i w:val="0"/>
                <w:color w:val="0B2545"/>
                <w:sz w:val="18"/>
              </w:rPr>
              <w:t>A carried bundle can be legible without becoming a conventional abstract inventory. Bulk is practical for throughput and selection.</w:t>
            </w:r>
          </w:p>
        </w:tc>
        <w:tc>
          <w:tcPr>
            <w:tcW w:type="dxa" w:w="2448"/>
            <w:vAlign w:val="top"/>
            <w:shd w:fill="DDEFE2"/>
            <w:tcMar>
              <w:top w:w="90" w:type="dxa"/>
              <w:start w:w="130" w:type="dxa"/>
              <w:bottom w:w="90" w:type="dxa"/>
              <w:end w:w="130" w:type="dxa"/>
            </w:tcMar>
          </w:tcPr>
          <w:p>
            <w:pPr>
              <w:spacing w:before="0" w:after="0" w:line="259" w:lineRule="auto"/>
            </w:pPr>
            <w:r>
              <w:rPr>
                <w:rFonts w:ascii="Aptos" w:hAnsi="Aptos"/>
                <w:b w:val="0"/>
                <w:i w:val="0"/>
                <w:color w:val="0B2545"/>
                <w:sz w:val="18"/>
              </w:rPr>
              <w:t>Validated</w:t>
            </w:r>
          </w:p>
        </w:tc>
      </w:tr>
      <w:tr>
        <w:tc>
          <w:tcPr>
            <w:tcW w:type="dxa" w:w="2448"/>
            <w:vAlign w:val="top"/>
            <w:tcMar>
              <w:top w:w="90" w:type="dxa"/>
              <w:start w:w="130" w:type="dxa"/>
              <w:bottom w:w="90" w:type="dxa"/>
              <w:end w:w="130" w:type="dxa"/>
            </w:tcMar>
          </w:tcPr>
          <w:p>
            <w:pPr>
              <w:spacing w:before="0" w:after="0" w:line="259" w:lineRule="auto"/>
            </w:pPr>
            <w:r>
              <w:rPr>
                <w:rFonts w:ascii="Aptos" w:hAnsi="Aptos"/>
                <w:b/>
                <w:i w:val="0"/>
                <w:color w:val="0B2545"/>
                <w:sz w:val="18"/>
              </w:rPr>
              <w:t>2B. Visual identity experiment</w:t>
            </w:r>
          </w:p>
        </w:tc>
        <w:tc>
          <w:tcPr>
            <w:tcW w:type="dxa" w:w="2448"/>
            <w:vAlign w:val="top"/>
            <w:tcMar>
              <w:top w:w="90" w:type="dxa"/>
              <w:start w:w="130" w:type="dxa"/>
              <w:bottom w:w="90" w:type="dxa"/>
              <w:end w:w="130" w:type="dxa"/>
            </w:tcMar>
          </w:tcPr>
          <w:p>
            <w:pPr>
              <w:spacing w:before="0" w:after="0" w:line="259" w:lineRule="auto"/>
            </w:pPr>
            <w:r>
              <w:rPr>
                <w:rFonts w:ascii="Aptos" w:hAnsi="Aptos"/>
                <w:b w:val="0"/>
                <w:i w:val="0"/>
                <w:color w:val="0B2545"/>
                <w:sz w:val="18"/>
              </w:rPr>
              <w:t>Live 3D HUD previews with bounds framing, orientation heuristics, per-item rotation/zoom data, and tuning hooks.</w:t>
            </w:r>
          </w:p>
        </w:tc>
        <w:tc>
          <w:tcPr>
            <w:tcW w:type="dxa" w:w="2448"/>
            <w:vAlign w:val="top"/>
            <w:tcMar>
              <w:top w:w="90" w:type="dxa"/>
              <w:start w:w="130" w:type="dxa"/>
              <w:bottom w:w="90" w:type="dxa"/>
              <w:end w:w="130" w:type="dxa"/>
            </w:tcMar>
          </w:tcPr>
          <w:p>
            <w:pPr>
              <w:spacing w:before="0" w:after="0" w:line="259" w:lineRule="auto"/>
            </w:pPr>
            <w:r>
              <w:rPr>
                <w:rFonts w:ascii="Aptos" w:hAnsi="Aptos"/>
                <w:b w:val="0"/>
                <w:i w:val="0"/>
                <w:color w:val="0B2545"/>
                <w:sz w:val="18"/>
              </w:rPr>
              <w:t>Arbitrary assets need presentation metadata. Visual clarity was acceptable for uniform shapes, but the runtime preview architecture failed for lighting isolation.</w:t>
            </w:r>
          </w:p>
        </w:tc>
        <w:tc>
          <w:tcPr>
            <w:tcW w:type="dxa" w:w="2448"/>
            <w:vAlign w:val="top"/>
            <w:shd w:fill="F7DEDE"/>
            <w:tcMar>
              <w:top w:w="90" w:type="dxa"/>
              <w:start w:w="130" w:type="dxa"/>
              <w:bottom w:w="90" w:type="dxa"/>
              <w:end w:w="130" w:type="dxa"/>
            </w:tcMar>
          </w:tcPr>
          <w:p>
            <w:pPr>
              <w:spacing w:before="0" w:after="0" w:line="259" w:lineRule="auto"/>
            </w:pPr>
            <w:r>
              <w:rPr>
                <w:rFonts w:ascii="Aptos" w:hAnsi="Aptos"/>
                <w:b w:val="0"/>
                <w:i w:val="0"/>
                <w:color w:val="0B2545"/>
                <w:sz w:val="18"/>
              </w:rPr>
              <w:t>Partially superseded</w:t>
            </w:r>
          </w:p>
        </w:tc>
      </w:tr>
      <w:tr>
        <w:tc>
          <w:tcPr>
            <w:tcW w:type="dxa" w:w="2448"/>
            <w:vAlign w:val="top"/>
            <w:tcMar>
              <w:top w:w="90" w:type="dxa"/>
              <w:start w:w="130" w:type="dxa"/>
              <w:bottom w:w="90" w:type="dxa"/>
              <w:end w:w="130" w:type="dxa"/>
            </w:tcMar>
          </w:tcPr>
          <w:p>
            <w:pPr>
              <w:spacing w:before="0" w:after="0" w:line="259" w:lineRule="auto"/>
            </w:pPr>
            <w:r>
              <w:rPr>
                <w:rFonts w:ascii="Aptos" w:hAnsi="Aptos"/>
                <w:b/>
                <w:i w:val="0"/>
                <w:color w:val="0B2545"/>
                <w:sz w:val="18"/>
              </w:rPr>
              <w:t>3. World loot and pickup</w:t>
            </w:r>
          </w:p>
        </w:tc>
        <w:tc>
          <w:tcPr>
            <w:tcW w:type="dxa" w:w="2448"/>
            <w:vAlign w:val="top"/>
            <w:tcMar>
              <w:top w:w="90" w:type="dxa"/>
              <w:start w:w="130" w:type="dxa"/>
              <w:bottom w:w="90" w:type="dxa"/>
              <w:end w:w="130" w:type="dxa"/>
            </w:tcMar>
          </w:tcPr>
          <w:p>
            <w:pPr>
              <w:spacing w:before="0" w:after="0" w:line="259" w:lineRule="auto"/>
            </w:pPr>
            <w:r>
              <w:rPr>
                <w:rFonts w:ascii="Aptos" w:hAnsi="Aptos"/>
                <w:b w:val="0"/>
                <w:i w:val="0"/>
                <w:color w:val="0B2545"/>
                <w:sz w:val="18"/>
              </w:rPr>
              <w:t>Aim dot, contextual item data, E/left-click pickup, carried-slot filling, selected held model, dedicated loot interaction layer, and provisional item catalogue.</w:t>
            </w:r>
          </w:p>
        </w:tc>
        <w:tc>
          <w:tcPr>
            <w:tcW w:type="dxa" w:w="2448"/>
            <w:vAlign w:val="top"/>
            <w:tcMar>
              <w:top w:w="90" w:type="dxa"/>
              <w:start w:w="130" w:type="dxa"/>
              <w:bottom w:w="90" w:type="dxa"/>
              <w:end w:w="130" w:type="dxa"/>
            </w:tcMar>
          </w:tcPr>
          <w:p>
            <w:pPr>
              <w:spacing w:before="0" w:after="0" w:line="259" w:lineRule="auto"/>
            </w:pPr>
            <w:r>
              <w:rPr>
                <w:rFonts w:ascii="Aptos" w:hAnsi="Aptos"/>
                <w:b w:val="0"/>
                <w:i w:val="0"/>
                <w:color w:val="0B2545"/>
                <w:sz w:val="18"/>
              </w:rPr>
              <w:t>Only designated loot needs to be pickupable; carried selection and world removal feel responsive. Shelf contents can be targeted independently of coarse movement collision.</w:t>
            </w:r>
          </w:p>
        </w:tc>
        <w:tc>
          <w:tcPr>
            <w:tcW w:type="dxa" w:w="2448"/>
            <w:vAlign w:val="top"/>
            <w:shd w:fill="DDEFE2"/>
            <w:tcMar>
              <w:top w:w="90" w:type="dxa"/>
              <w:start w:w="130" w:type="dxa"/>
              <w:bottom w:w="90" w:type="dxa"/>
              <w:end w:w="130" w:type="dxa"/>
            </w:tcMar>
          </w:tcPr>
          <w:p>
            <w:pPr>
              <w:spacing w:before="0" w:after="0" w:line="259" w:lineRule="auto"/>
            </w:pPr>
            <w:r>
              <w:rPr>
                <w:rFonts w:ascii="Aptos" w:hAnsi="Aptos"/>
                <w:b w:val="0"/>
                <w:i w:val="0"/>
                <w:color w:val="0B2545"/>
                <w:sz w:val="18"/>
              </w:rPr>
              <w:t>Validated</w:t>
            </w:r>
          </w:p>
        </w:tc>
      </w:tr>
      <w:tr>
        <w:tc>
          <w:tcPr>
            <w:tcW w:type="dxa" w:w="2448"/>
            <w:vAlign w:val="top"/>
            <w:tcMar>
              <w:top w:w="90" w:type="dxa"/>
              <w:start w:w="130" w:type="dxa"/>
              <w:bottom w:w="90" w:type="dxa"/>
              <w:end w:w="130" w:type="dxa"/>
            </w:tcMar>
          </w:tcPr>
          <w:p>
            <w:pPr>
              <w:spacing w:before="0" w:after="0" w:line="259" w:lineRule="auto"/>
            </w:pPr>
            <w:r>
              <w:rPr>
                <w:rFonts w:ascii="Aptos" w:hAnsi="Aptos"/>
                <w:b/>
                <w:i w:val="0"/>
                <w:color w:val="0B2545"/>
                <w:sz w:val="18"/>
              </w:rPr>
              <w:t>4. Deterministic storage surface</w:t>
            </w:r>
          </w:p>
        </w:tc>
        <w:tc>
          <w:tcPr>
            <w:tcW w:type="dxa" w:w="2448"/>
            <w:vAlign w:val="top"/>
            <w:tcMar>
              <w:top w:w="90" w:type="dxa"/>
              <w:start w:w="130" w:type="dxa"/>
              <w:bottom w:w="90" w:type="dxa"/>
              <w:end w:w="130" w:type="dxa"/>
            </w:tcMar>
          </w:tcPr>
          <w:p>
            <w:pPr>
              <w:spacing w:before="0" w:after="0" w:line="259" w:lineRule="auto"/>
            </w:pPr>
            <w:r>
              <w:rPr>
                <w:rFonts w:ascii="Aptos" w:hAnsi="Aptos"/>
                <w:b w:val="0"/>
                <w:i w:val="0"/>
                <w:color w:val="0B2545"/>
                <w:sz w:val="18"/>
              </w:rPr>
              <w:t>StorageSurface grid, per-level profiles, reservations by item ID, footprint rotation, release, debug visualization, and distinct shelf interaction areas.</w:t>
            </w:r>
          </w:p>
        </w:tc>
        <w:tc>
          <w:tcPr>
            <w:tcW w:type="dxa" w:w="2448"/>
            <w:vAlign w:val="top"/>
            <w:tcMar>
              <w:top w:w="90" w:type="dxa"/>
              <w:start w:w="130" w:type="dxa"/>
              <w:bottom w:w="90" w:type="dxa"/>
              <w:end w:w="130" w:type="dxa"/>
            </w:tcMar>
          </w:tcPr>
          <w:p>
            <w:pPr>
              <w:spacing w:before="0" w:after="0" w:line="259" w:lineRule="auto"/>
            </w:pPr>
            <w:r>
              <w:rPr>
                <w:rFonts w:ascii="Aptos" w:hAnsi="Aptos"/>
                <w:b w:val="0"/>
                <w:i w:val="0"/>
                <w:color w:val="0B2545"/>
                <w:sz w:val="18"/>
              </w:rPr>
              <w:t>A shelf can be an authored deterministic data surface rather than physics. Scale-aware capacity and per-level profiling avoid treating a shelf as one AABB.</w:t>
            </w:r>
          </w:p>
        </w:tc>
        <w:tc>
          <w:tcPr>
            <w:tcW w:type="dxa" w:w="2448"/>
            <w:vAlign w:val="top"/>
            <w:shd w:fill="DDEFE2"/>
            <w:tcMar>
              <w:top w:w="90" w:type="dxa"/>
              <w:start w:w="130" w:type="dxa"/>
              <w:bottom w:w="90" w:type="dxa"/>
              <w:end w:w="130" w:type="dxa"/>
            </w:tcMar>
          </w:tcPr>
          <w:p>
            <w:pPr>
              <w:spacing w:before="0" w:after="0" w:line="259" w:lineRule="auto"/>
            </w:pPr>
            <w:r>
              <w:rPr>
                <w:rFonts w:ascii="Aptos" w:hAnsi="Aptos"/>
                <w:b w:val="0"/>
                <w:i w:val="0"/>
                <w:color w:val="0B2545"/>
                <w:sz w:val="18"/>
              </w:rPr>
              <w:t>Implemented / validated in debug</w:t>
            </w:r>
          </w:p>
        </w:tc>
      </w:tr>
      <w:tr>
        <w:tc>
          <w:tcPr>
            <w:tcW w:type="dxa" w:w="2448"/>
            <w:vAlign w:val="top"/>
            <w:tcMar>
              <w:top w:w="90" w:type="dxa"/>
              <w:start w:w="130" w:type="dxa"/>
              <w:bottom w:w="90" w:type="dxa"/>
              <w:end w:w="130" w:type="dxa"/>
            </w:tcMar>
          </w:tcPr>
          <w:p>
            <w:pPr>
              <w:spacing w:before="0" w:after="0" w:line="259" w:lineRule="auto"/>
            </w:pPr>
            <w:r>
              <w:rPr>
                <w:rFonts w:ascii="Aptos" w:hAnsi="Aptos"/>
                <w:b/>
                <w:i w:val="0"/>
                <w:color w:val="0B2545"/>
                <w:sz w:val="18"/>
              </w:rPr>
              <w:t>5. Full placement loop</w:t>
            </w:r>
          </w:p>
        </w:tc>
        <w:tc>
          <w:tcPr>
            <w:tcW w:type="dxa" w:w="2448"/>
            <w:vAlign w:val="top"/>
            <w:tcMar>
              <w:top w:w="90" w:type="dxa"/>
              <w:start w:w="130" w:type="dxa"/>
              <w:bottom w:w="90" w:type="dxa"/>
              <w:end w:w="130" w:type="dxa"/>
            </w:tcMar>
          </w:tcPr>
          <w:p>
            <w:pPr>
              <w:spacing w:before="0" w:after="0" w:line="259" w:lineRule="auto"/>
            </w:pPr>
            <w:r>
              <w:rPr>
                <w:rFonts w:ascii="Aptos" w:hAnsi="Aptos"/>
                <w:b w:val="0"/>
                <w:i w:val="0"/>
                <w:color w:val="0B2545"/>
                <w:sz w:val="18"/>
              </w:rPr>
              <w:t>World loot -&gt; pickup -&gt; carried strip -&gt; selected model -&gt; placement ghost -&gt; exact reservation -&gt; stored world item -&gt; pickup/release.</w:t>
            </w:r>
          </w:p>
        </w:tc>
        <w:tc>
          <w:tcPr>
            <w:tcW w:type="dxa" w:w="2448"/>
            <w:vAlign w:val="top"/>
            <w:tcMar>
              <w:top w:w="90" w:type="dxa"/>
              <w:start w:w="130" w:type="dxa"/>
              <w:bottom w:w="90" w:type="dxa"/>
              <w:end w:w="130" w:type="dxa"/>
            </w:tcMar>
          </w:tcPr>
          <w:p>
            <w:pPr>
              <w:spacing w:before="0" w:after="0" w:line="259" w:lineRule="auto"/>
            </w:pPr>
            <w:r>
              <w:rPr>
                <w:rFonts w:ascii="Aptos" w:hAnsi="Aptos"/>
                <w:b w:val="0"/>
                <w:i w:val="0"/>
                <w:color w:val="0B2545"/>
                <w:sz w:val="18"/>
              </w:rPr>
              <w:t>The core no-rigidbody loop works and visually reads as objects arranged on a shelf. This is the most important confirmation so far.</w:t>
            </w:r>
          </w:p>
        </w:tc>
        <w:tc>
          <w:tcPr>
            <w:tcW w:type="dxa" w:w="2448"/>
            <w:vAlign w:val="top"/>
            <w:shd w:fill="DDEFE2"/>
            <w:tcMar>
              <w:top w:w="90" w:type="dxa"/>
              <w:start w:w="130" w:type="dxa"/>
              <w:bottom w:w="90" w:type="dxa"/>
              <w:end w:w="130" w:type="dxa"/>
            </w:tcMar>
          </w:tcPr>
          <w:p>
            <w:pPr>
              <w:spacing w:before="0" w:after="0" w:line="259" w:lineRule="auto"/>
            </w:pPr>
            <w:r>
              <w:rPr>
                <w:rFonts w:ascii="Aptos" w:hAnsi="Aptos"/>
                <w:b w:val="0"/>
                <w:i w:val="0"/>
                <w:color w:val="0B2545"/>
                <w:sz w:val="18"/>
              </w:rPr>
              <w:t>Validated</w:t>
            </w:r>
          </w:p>
        </w:tc>
      </w:tr>
      <w:tr>
        <w:tc>
          <w:tcPr>
            <w:tcW w:type="dxa" w:w="2448"/>
            <w:vAlign w:val="center"/>
          </w:tcPr>
          <w:p>
            <w:pPr/>
            <w:r/>
            <w:r>
              <w:t>5A. Interaction and storage refinements</w:t>
            </w:r>
          </w:p>
        </w:tc>
        <w:tc>
          <w:tcPr>
            <w:tcW w:type="dxa" w:w="2448"/>
            <w:vAlign w:val="center"/>
          </w:tcPr>
          <w:p>
            <w:pPr/>
            <w:r/>
            <w:r>
              <w:t>Separated pickup/retrieval from storage; stored-item reach uses storage interaction distance; actual placement ghost restored; shelf visual scale isolated from StorageSurface/placed items; manual placement retained as explicit precision mode.</w:t>
            </w:r>
          </w:p>
        </w:tc>
        <w:tc>
          <w:tcPr>
            <w:tcW w:type="dxa" w:w="2448"/>
            <w:vAlign w:val="center"/>
          </w:tcPr>
          <w:p>
            <w:pPr/>
            <w:r/>
            <w:r>
              <w:t>Visual shelf variants can be scaled without distorting loot. LMB and E now support distinct muscle memory. Manual placement works, but precision targeting is slower than policy-driven storage.</w:t>
            </w:r>
          </w:p>
        </w:tc>
        <w:tc>
          <w:tcPr>
            <w:tcW w:type="dxa" w:w="2448"/>
            <w:vAlign w:val="center"/>
          </w:tcPr>
          <w:p>
            <w:pPr/>
            <w:r/>
            <w:r>
              <w:t>Validated</w:t>
            </w:r>
          </w:p>
        </w:tc>
      </w:tr>
      <w:tr>
        <w:tc>
          <w:tcPr>
            <w:tcW w:type="dxa" w:w="2448"/>
            <w:vAlign w:val="center"/>
          </w:tcPr>
          <w:p>
            <w:pPr/>
            <w:r/>
            <w:r>
              <w:t>6.1-6.2 Storage-zone authoring</w:t>
            </w:r>
          </w:p>
        </w:tc>
        <w:tc>
          <w:tcPr>
            <w:tcW w:type="dxa" w:w="2448"/>
            <w:vAlign w:val="center"/>
          </w:tcPr>
          <w:p>
            <w:pPr/>
            <w:r/>
            <w:r>
              <w:t>Paused flat 2D editor for one StorageSurface at a time; hidden-cell rectangular painting; General/Food/Hydration/Medical/Weapons/Protection/Fuel/Morale/Electronics categories; erase/clear; percentage feedback; allocation summary; first-use General 100%; editable surface name.</w:t>
            </w:r>
          </w:p>
        </w:tc>
        <w:tc>
          <w:tcPr>
            <w:tcW w:type="dxa" w:w="2448"/>
            <w:vAlign w:val="center"/>
          </w:tcPr>
          <w:p>
            <w:pPr/>
            <w:r/>
            <w:r>
              <w:t>The player can author storage policy quickly without drawing directly on 3D shelf geometry. Rectangular zone editing is easy to understand, fast, and readable.</w:t>
            </w:r>
          </w:p>
        </w:tc>
        <w:tc>
          <w:tcPr>
            <w:tcW w:type="dxa" w:w="2448"/>
            <w:vAlign w:val="center"/>
          </w:tcPr>
          <w:p>
            <w:pPr/>
            <w:r/>
            <w:r>
              <w:t>Validated</w:t>
            </w:r>
          </w:p>
        </w:tc>
      </w:tr>
      <w:tr>
        <w:tc>
          <w:tcPr>
            <w:tcW w:type="dxa" w:w="2448"/>
            <w:vAlign w:val="center"/>
          </w:tcPr>
          <w:p>
            <w:pPr/>
            <w:r/>
            <w:r>
              <w:t>6.3 Zone-aware auto-store</w:t>
            </w:r>
          </w:p>
        </w:tc>
        <w:tc>
          <w:tcPr>
            <w:tcW w:type="dxa" w:w="2448"/>
            <w:vAlign w:val="center"/>
          </w:tcPr>
          <w:p>
            <w:r>
              <w:t>Primary Storage Category on ItemDefinition; E auto-stores into matching zone, then General. At the v0.2 checkpoint unassigned cells were also a fallback; later stabilization redefined blank/erased cells as disabled storage. M toggles manual placement; hold E repeats auto-store after a short delay.</w:t>
            </w:r>
          </w:p>
        </w:tc>
        <w:tc>
          <w:tcPr>
            <w:tcW w:type="dxa" w:w="2448"/>
            <w:vAlign w:val="center"/>
          </w:tcPr>
          <w:p>
            <w:r>
              <w:t>Auto-placement remains decisively faster than manual sorting, especially with mixed bundles and dense shelves. The placement-policy result remains validated; the old unassigned-cell fallback is superseded.</w:t>
            </w:r>
          </w:p>
        </w:tc>
        <w:tc>
          <w:tcPr>
            <w:tcW w:type="dxa" w:w="2448"/>
            <w:vAlign w:val="center"/>
          </w:tcPr>
          <w:p>
            <w:r>
              <w:t>Validated; fallback superseded</w:t>
            </w:r>
          </w:p>
        </w:tc>
      </w:tr>
    </w:tbl>
    <w:p>
      <w:pPr>
        <w:spacing w:after="40"/>
      </w:pPr>
    </w:p>
    <w:p>
      <w:pPr>
        <w:pStyle w:val="Heading2"/>
        <w:keepNext/>
        <w:spacing w:before="280" w:after="140" w:line="288" w:lineRule="auto"/>
      </w:pPr>
      <w:r>
        <w:rPr>
          <w:rFonts w:ascii="Aptos" w:hAnsi="Aptos"/>
          <w:b/>
          <w:i w:val="0"/>
          <w:color w:val="2E74B5"/>
          <w:sz w:val="26"/>
        </w:rPr>
        <w:t>Controls and current interaction grammar</w:t>
      </w:r>
    </w:p>
    <w:p>
      <w:pPr>
        <w:pStyle w:val="ListBullet"/>
        <w:spacing w:before="0" w:after="80" w:line="276" w:lineRule="auto"/>
      </w:pPr>
      <w:r>
        <w:t>Left Mouse Button: select / pick up / retrieve the loot item under the reticle. E: store / place / eventually submit the currently selected carried item.</w:t>
      </w:r>
    </w:p>
    <w:p>
      <w:pPr>
        <w:pStyle w:val="ListBullet"/>
        <w:spacing w:before="0" w:after="80" w:line="276" w:lineRule="auto"/>
      </w:pPr>
      <w:r>
        <w:t>Mouse wheel or number keys: select a carried item. Hold E in zone-auto mode for repeated storage. M toggles manual placement. R rotates only in manual mode. O opens/reopens zoning. F6/F7 remain prototype debug controls.</w:t>
      </w:r>
    </w:p>
    <w:p>
      <w:pPr>
        <w:pStyle w:val="ListBullet"/>
        <w:spacing w:before="0" w:after="80" w:line="276" w:lineRule="auto"/>
      </w:pPr>
      <w:r>
        <w:t>The former dual-purpose interaction was rejected after playtesting. Left-hand keyboard input now expresses PUT/SUBMIT while right-hand mouse input expresses TAKE/SELECT, reducing accidental place-then-pick-up reversals.</w:t>
      </w:r>
    </w:p>
    <w:p>
      <w:pPr>
        <w:pStyle w:val="Heading1"/>
        <w:keepNext/>
        <w:spacing w:before="360" w:after="200" w:line="288" w:lineRule="auto"/>
      </w:pPr>
      <w:r>
        <w:rPr>
          <w:rFonts w:ascii="Aptos" w:hAnsi="Aptos"/>
          <w:b/>
          <w:i w:val="0"/>
          <w:color w:val="2E74B5"/>
          <w:sz w:val="32"/>
        </w:rPr>
        <w:t>4. Failures, bugs, and fixes</w:t>
      </w:r>
    </w:p>
    <w:tbl>
      <w:tblPr>
        <w:tblStyle w:val="TableGrid"/>
        <w:tblW w:type="auto" w:w="0"/>
        <w:jc w:val="left"/>
        <w:tblLayout w:type="fixed"/>
        <w:tblLook w:firstColumn="1" w:firstRow="1" w:lastColumn="0" w:lastRow="0" w:noHBand="0" w:noVBand="1" w:val="04A0"/>
      </w:tblPr>
      <w:tblGrid>
        <w:gridCol w:w="3264"/>
        <w:gridCol w:w="3264"/>
        <w:gridCol w:w="3264"/>
      </w:tblGrid>
      <w:tr>
        <w:trPr>
          <w:tblHeader w:val="true"/>
        </w:trPr>
        <w:tc>
          <w:tcPr>
            <w:tcW w:type="dxa" w:w="2376"/>
            <w:vAlign w:val="top"/>
            <w:shd w:fill="E8EEF5"/>
            <w:tcMar>
              <w:top w:w="90" w:type="dxa"/>
              <w:start w:w="130" w:type="dxa"/>
              <w:bottom w:w="90" w:type="dxa"/>
              <w:end w:w="130" w:type="dxa"/>
            </w:tcMar>
          </w:tcPr>
          <w:p>
            <w:pPr>
              <w:spacing w:before="0" w:after="0" w:line="259" w:lineRule="auto"/>
            </w:pPr>
            <w:r>
              <w:rPr>
                <w:rFonts w:ascii="Aptos" w:hAnsi="Aptos"/>
                <w:b/>
                <w:i w:val="0"/>
                <w:color w:val="0B2545"/>
                <w:sz w:val="19"/>
              </w:rPr>
              <w:t>Issue</w:t>
            </w:r>
          </w:p>
        </w:tc>
        <w:tc>
          <w:tcPr>
            <w:tcW w:type="dxa" w:w="4032"/>
            <w:vAlign w:val="top"/>
            <w:shd w:fill="E8EEF5"/>
            <w:tcMar>
              <w:top w:w="90" w:type="dxa"/>
              <w:start w:w="130" w:type="dxa"/>
              <w:bottom w:w="90" w:type="dxa"/>
              <w:end w:w="130" w:type="dxa"/>
            </w:tcMar>
          </w:tcPr>
          <w:p>
            <w:pPr>
              <w:spacing w:before="0" w:after="0" w:line="259" w:lineRule="auto"/>
            </w:pPr>
            <w:r>
              <w:rPr>
                <w:rFonts w:ascii="Aptos" w:hAnsi="Aptos"/>
                <w:b/>
                <w:i w:val="0"/>
                <w:color w:val="0B2545"/>
                <w:sz w:val="19"/>
              </w:rPr>
              <w:t>Observed behavior</w:t>
            </w:r>
          </w:p>
        </w:tc>
        <w:tc>
          <w:tcPr>
            <w:tcW w:type="dxa" w:w="4752"/>
            <w:vAlign w:val="top"/>
            <w:shd w:fill="E8EEF5"/>
            <w:tcMar>
              <w:top w:w="90" w:type="dxa"/>
              <w:start w:w="130" w:type="dxa"/>
              <w:bottom w:w="90" w:type="dxa"/>
              <w:end w:w="130" w:type="dxa"/>
            </w:tcMar>
          </w:tcPr>
          <w:p>
            <w:pPr>
              <w:spacing w:before="0" w:after="0" w:line="259" w:lineRule="auto"/>
            </w:pPr>
            <w:r>
              <w:rPr>
                <w:rFonts w:ascii="Aptos" w:hAnsi="Aptos"/>
                <w:b/>
                <w:i w:val="0"/>
                <w:color w:val="0B2545"/>
                <w:sz w:val="19"/>
              </w:rPr>
              <w:t>Resolution / lesson</w:t>
            </w:r>
          </w:p>
        </w:tc>
      </w:tr>
      <w:tr>
        <w:tc>
          <w:tcPr>
            <w:tcW w:type="dxa" w:w="3264"/>
            <w:vAlign w:val="top"/>
            <w:tcMar>
              <w:top w:w="90" w:type="dxa"/>
              <w:start w:w="130" w:type="dxa"/>
              <w:bottom w:w="90" w:type="dxa"/>
              <w:end w:w="130" w:type="dxa"/>
            </w:tcMar>
          </w:tcPr>
          <w:p>
            <w:pPr>
              <w:spacing w:before="0" w:after="0" w:line="259" w:lineRule="auto"/>
            </w:pPr>
            <w:r>
              <w:rPr>
                <w:rFonts w:ascii="Aptos" w:hAnsi="Aptos"/>
                <w:b/>
                <w:i w:val="0"/>
                <w:color w:val="0B2545"/>
                <w:sz w:val="18"/>
              </w:rPr>
              <w:t>Runtime SubViewport lighting</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Picking up the first item visibly brightened the room. Isolation showed both live HUD previews and held-item previews contributed; the HUD effect was stronger.</w:t>
            </w:r>
          </w:p>
        </w:tc>
        <w:tc>
          <w:tcPr>
            <w:tcW w:type="dxa" w:w="3264"/>
            <w:vAlign w:val="top"/>
            <w:tcMar>
              <w:top w:w="90" w:type="dxa"/>
              <w:start w:w="130" w:type="dxa"/>
              <w:bottom w:w="90" w:type="dxa"/>
              <w:end w:w="130" w:type="dxa"/>
            </w:tcMar>
          </w:tcPr>
          <w:p>
            <w:r>
              <w:t>Reject the prototype implementation, not the technology categorically. The current game uses a camera-attached real mesh and temporary HUD presentation. A future release-quality pass may reconsider a fresh, rigorously isolated SubViewport approach alongside cached/offline thumbnails and authored held transforms.</w:t>
            </w:r>
          </w:p>
        </w:tc>
      </w:tr>
      <w:tr>
        <w:tc>
          <w:tcPr>
            <w:tcW w:type="dxa" w:w="3264"/>
            <w:vAlign w:val="top"/>
            <w:tcMar>
              <w:top w:w="90" w:type="dxa"/>
              <w:start w:w="130" w:type="dxa"/>
              <w:bottom w:w="90" w:type="dxa"/>
              <w:end w:w="130" w:type="dxa"/>
            </w:tcMar>
          </w:tcPr>
          <w:p>
            <w:pPr>
              <w:spacing w:before="0" w:after="0" w:line="259" w:lineRule="auto"/>
            </w:pPr>
            <w:r>
              <w:rPr>
                <w:rFonts w:ascii="Aptos" w:hAnsi="Aptos"/>
                <w:b/>
                <w:i w:val="0"/>
                <w:color w:val="0B2545"/>
                <w:sz w:val="18"/>
              </w:rPr>
              <w:t>Held-item clipping / overlap</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Early viewmodel variants clipped and the held object could be obstructed by a growing HUD strip.</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The final prototype uses a camera-attached visual with constrained screen layering. Per-item transform tuning remains a content task.</w:t>
            </w:r>
          </w:p>
        </w:tc>
      </w:tr>
      <w:tr>
        <w:tc>
          <w:tcPr>
            <w:tcW w:type="dxa" w:w="3264"/>
            <w:vAlign w:val="top"/>
            <w:tcMar>
              <w:top w:w="90" w:type="dxa"/>
              <w:start w:w="130" w:type="dxa"/>
              <w:bottom w:w="90" w:type="dxa"/>
              <w:end w:w="130" w:type="dxa"/>
            </w:tcMar>
          </w:tcPr>
          <w:p>
            <w:pPr>
              <w:spacing w:before="0" w:after="0" w:line="259" w:lineRule="auto"/>
            </w:pPr>
            <w:r>
              <w:rPr>
                <w:rFonts w:ascii="Aptos" w:hAnsi="Aptos"/>
                <w:b/>
                <w:i w:val="0"/>
                <w:color w:val="0B2545"/>
                <w:sz w:val="18"/>
              </w:rPr>
              <w:t>Shelf contents blocked by furniture collision</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The pickup ray hit the shelf’s coarse movement collider before the stored item, making shelf loot unselectable.</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Separate movement collision from dedicated loot-interaction collision. This validates visual mesh, coarse player collider, and storage/interactions as distinct layers.</w:t>
            </w:r>
          </w:p>
        </w:tc>
      </w:tr>
      <w:tr>
        <w:tc>
          <w:tcPr>
            <w:tcW w:type="dxa" w:w="3264"/>
            <w:vAlign w:val="top"/>
            <w:tcMar>
              <w:top w:w="90" w:type="dxa"/>
              <w:start w:w="130" w:type="dxa"/>
              <w:bottom w:w="90" w:type="dxa"/>
              <w:end w:w="130" w:type="dxa"/>
            </w:tcMar>
          </w:tcPr>
          <w:p>
            <w:pPr>
              <w:spacing w:before="0" w:after="0" w:line="259" w:lineRule="auto"/>
            </w:pPr>
            <w:r>
              <w:rPr>
                <w:rFonts w:ascii="Aptos" w:hAnsi="Aptos"/>
                <w:b/>
                <w:i w:val="0"/>
                <w:color w:val="0B2545"/>
                <w:sz w:val="18"/>
              </w:rPr>
              <w:t>Storage grids misaligned</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Unit-wide AABB profiling left unused width, floated grids off surfaces, and misrepresented locker depth.</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Profile each shelf level independently: width, depth, height, and front/back offset. Subsequent alignment is content tuning, not system surgery.</w:t>
            </w:r>
          </w:p>
        </w:tc>
      </w:tr>
      <w:tr>
        <w:tc>
          <w:tcPr>
            <w:tcW w:type="dxa" w:w="3264"/>
            <w:vAlign w:val="top"/>
            <w:tcMar>
              <w:top w:w="90" w:type="dxa"/>
              <w:start w:w="130" w:type="dxa"/>
              <w:bottom w:w="90" w:type="dxa"/>
              <w:end w:w="130" w:type="dxa"/>
            </w:tcMar>
          </w:tcPr>
          <w:p>
            <w:pPr>
              <w:spacing w:before="0" w:after="0" w:line="259" w:lineRule="auto"/>
            </w:pPr>
            <w:r>
              <w:rPr>
                <w:rFonts w:ascii="Aptos" w:hAnsi="Aptos"/>
                <w:b/>
                <w:i w:val="0"/>
                <w:color w:val="0B2545"/>
                <w:sz w:val="18"/>
              </w:rPr>
              <w:t>Rifle Footprint mismatch</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The grid accepted a provisional 1 x 5 Footprint even though the visual rifle was longer, producing overlap.</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Not a physics failure: Footprint must be authored to match intended occupancy. Future tooling can suggest a Footprint from mesh bounds, with override.</w:t>
            </w:r>
          </w:p>
        </w:tc>
      </w:tr>
      <w:tr>
        <w:tc>
          <w:tcPr>
            <w:tcW w:type="dxa" w:w="3264"/>
            <w:vAlign w:val="top"/>
            <w:tcMar>
              <w:top w:w="90" w:type="dxa"/>
              <w:start w:w="130" w:type="dxa"/>
              <w:bottom w:w="90" w:type="dxa"/>
              <w:end w:w="130" w:type="dxa"/>
            </w:tcMar>
          </w:tcPr>
          <w:p>
            <w:pPr>
              <w:spacing w:before="0" w:after="0" w:line="259" w:lineRule="auto"/>
            </w:pPr>
            <w:r>
              <w:rPr>
                <w:rFonts w:ascii="Aptos" w:hAnsi="Aptos"/>
                <w:b/>
                <w:i w:val="0"/>
                <w:color w:val="0B2545"/>
                <w:sz w:val="18"/>
              </w:rPr>
              <w:t>GDScript warnings-as-errors</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Variant inference and a missing shared collision-layer constant stopped the project at parse time.</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Use explicit types where required; maintain shared constants at the owning data class. These were implementation repairs, not design changes.</w:t>
            </w:r>
          </w:p>
        </w:tc>
      </w:tr>
      <w:tr>
        <w:tc>
          <w:tcPr>
            <w:tcW w:type="dxa" w:w="3264"/>
            <w:vAlign w:val="center"/>
          </w:tcPr>
          <w:p>
            <w:pPr/>
            <w:r/>
            <w:r>
              <w:t>Scaled shelf distorted placed loot</w:t>
            </w:r>
          </w:p>
        </w:tc>
        <w:tc>
          <w:tcPr>
            <w:tcW w:type="dxa" w:w="3264"/>
            <w:vAlign w:val="center"/>
          </w:tcPr>
          <w:p>
            <w:pPr/>
            <w:r/>
            <w:r>
              <w:t>Non-uniformly scaling a shelf also scaled child storage/loot, flattening or stretching item meshes.</w:t>
            </w:r>
          </w:p>
        </w:tc>
        <w:tc>
          <w:tcPr>
            <w:tcW w:type="dxa" w:w="3264"/>
            <w:vAlign w:val="center"/>
          </w:tcPr>
          <w:p>
            <w:pPr/>
            <w:r/>
            <w:r>
              <w:t>StorageSurface now captures the shelf-relative world pose but operates at unit scale; placed loot preserves its own geometry. This also makes shallow shelf variants cheap to prototype.</w:t>
            </w:r>
          </w:p>
        </w:tc>
      </w:tr>
      <w:tr>
        <w:tc>
          <w:tcPr>
            <w:tcW w:type="dxa" w:w="3264"/>
            <w:vAlign w:val="center"/>
          </w:tcPr>
          <w:p>
            <w:pPr/>
            <w:r/>
            <w:r>
              <w:t>Placement ghost lifecycle</w:t>
            </w:r>
          </w:p>
        </w:tc>
        <w:tc>
          <w:tcPr>
            <w:tcW w:type="dxa" w:w="3264"/>
            <w:vAlign w:val="center"/>
          </w:tcPr>
          <w:p>
            <w:pPr/>
            <w:r/>
            <w:r>
              <w:t>An early scale-isolation refactor made the ghost and stored item invisible; a later ghost reparent path generated repeated parentless-node errors.</w:t>
            </w:r>
          </w:p>
        </w:tc>
        <w:tc>
          <w:tcPr>
            <w:tcW w:type="dxa" w:w="3264"/>
            <w:vAlign w:val="center"/>
          </w:tcPr>
          <w:p>
            <w:pPr/>
            <w:r/>
            <w:r>
              <w:t>Restore the simple surface-local transform path, keep StorageSurface scale-isolated, and parent the ghost deterministically before reparenting. The green item silhouette now matches final placement.</w:t>
            </w:r>
          </w:p>
        </w:tc>
      </w:tr>
      <w:tr>
        <w:tc>
          <w:tcPr>
            <w:tcW w:type="dxa" w:w="3264"/>
            <w:vAlign w:val="center"/>
          </w:tcPr>
          <w:p>
            <w:pPr/>
            <w:r/>
            <w:r>
              <w:t>Manual placement throughput</w:t>
            </w:r>
          </w:p>
        </w:tc>
        <w:tc>
          <w:tcPr>
            <w:tcW w:type="dxa" w:w="3264"/>
            <w:vAlign w:val="center"/>
          </w:tcPr>
          <w:p>
            <w:pPr/>
            <w:r/>
            <w:r>
              <w:t>Rapidly storing mixed bundles required repeated visual category decisions and precise local placement; empty shelves lacked spatial category cues, while packed shelves made remaining gaps hard to judge.</w:t>
            </w:r>
          </w:p>
        </w:tc>
        <w:tc>
          <w:tcPr>
            <w:tcW w:type="dxa" w:w="3264"/>
            <w:vAlign w:val="center"/>
          </w:tcPr>
          <w:p>
            <w:pPr/>
            <w:r/>
            <w:r>
              <w:t>Do not solve with more aiming assistance. Make zone-aware auto-placement the default and retain manual placement as an optional override/organization tool.</w:t>
            </w:r>
          </w:p>
        </w:tc>
      </w:tr>
    </w:tbl>
    <w:p>
      <w:pPr>
        <w:spacing w:after="40"/>
      </w:pPr>
    </w:p>
    <w:p>
      <w:pPr>
        <w:pStyle w:val="Heading1"/>
        <w:keepNext/>
        <w:spacing w:before="360" w:after="200" w:line="288" w:lineRule="auto"/>
      </w:pPr>
      <w:r>
        <w:rPr>
          <w:rFonts w:ascii="Aptos" w:hAnsi="Aptos"/>
          <w:b/>
          <w:i w:val="0"/>
          <w:color w:val="2E74B5"/>
          <w:sz w:val="32"/>
        </w:rPr>
        <w:t>5. Playtesting observations and conclusions</w:t>
      </w:r>
    </w:p>
    <w:tbl>
      <w:tblPr>
        <w:tblStyle w:val="TableGrid"/>
        <w:tblW w:type="auto" w:w="0"/>
        <w:jc w:val="left"/>
        <w:tblLayout w:type="fixed"/>
        <w:tblLook w:firstColumn="1" w:firstRow="1" w:lastColumn="0" w:lastRow="0" w:noHBand="0" w:noVBand="1" w:val="04A0"/>
      </w:tblPr>
      <w:tblGrid>
        <w:gridCol w:w="3264"/>
        <w:gridCol w:w="3264"/>
        <w:gridCol w:w="3264"/>
      </w:tblGrid>
      <w:tr>
        <w:trPr>
          <w:tblHeader w:val="true"/>
        </w:trPr>
        <w:tc>
          <w:tcPr>
            <w:tcW w:type="dxa" w:w="2952"/>
            <w:vAlign w:val="top"/>
            <w:shd w:fill="E8EEF5"/>
            <w:tcMar>
              <w:top w:w="90" w:type="dxa"/>
              <w:start w:w="130" w:type="dxa"/>
              <w:bottom w:w="90" w:type="dxa"/>
              <w:end w:w="130" w:type="dxa"/>
            </w:tcMar>
          </w:tcPr>
          <w:p>
            <w:pPr>
              <w:spacing w:before="0" w:after="0" w:line="259" w:lineRule="auto"/>
            </w:pPr>
            <w:r>
              <w:rPr>
                <w:rFonts w:ascii="Aptos" w:hAnsi="Aptos"/>
                <w:b/>
                <w:i w:val="0"/>
                <w:color w:val="0B2545"/>
                <w:sz w:val="19"/>
              </w:rPr>
              <w:t>Observation</w:t>
            </w:r>
          </w:p>
        </w:tc>
        <w:tc>
          <w:tcPr>
            <w:tcW w:type="dxa" w:w="4032"/>
            <w:vAlign w:val="top"/>
            <w:shd w:fill="E8EEF5"/>
            <w:tcMar>
              <w:top w:w="90" w:type="dxa"/>
              <w:start w:w="130" w:type="dxa"/>
              <w:bottom w:w="90" w:type="dxa"/>
              <w:end w:w="130" w:type="dxa"/>
            </w:tcMar>
          </w:tcPr>
          <w:p>
            <w:pPr>
              <w:spacing w:before="0" w:after="0" w:line="259" w:lineRule="auto"/>
            </w:pPr>
            <w:r>
              <w:rPr>
                <w:rFonts w:ascii="Aptos" w:hAnsi="Aptos"/>
                <w:b/>
                <w:i w:val="0"/>
                <w:color w:val="0B2545"/>
                <w:sz w:val="19"/>
              </w:rPr>
              <w:t>Interpretation</w:t>
            </w:r>
          </w:p>
        </w:tc>
        <w:tc>
          <w:tcPr>
            <w:tcW w:type="dxa" w:w="4176"/>
            <w:vAlign w:val="top"/>
            <w:shd w:fill="E8EEF5"/>
            <w:tcMar>
              <w:top w:w="90" w:type="dxa"/>
              <w:start w:w="130" w:type="dxa"/>
              <w:bottom w:w="90" w:type="dxa"/>
              <w:end w:w="130" w:type="dxa"/>
            </w:tcMar>
          </w:tcPr>
          <w:p>
            <w:pPr>
              <w:spacing w:before="0" w:after="0" w:line="259" w:lineRule="auto"/>
            </w:pPr>
            <w:r>
              <w:rPr>
                <w:rFonts w:ascii="Aptos" w:hAnsi="Aptos"/>
                <w:b/>
                <w:i w:val="0"/>
                <w:color w:val="0B2545"/>
                <w:sz w:val="19"/>
              </w:rPr>
              <w:t>Design consequence</w:t>
            </w:r>
          </w:p>
        </w:tc>
      </w:tr>
      <w:tr>
        <w:tc>
          <w:tcPr>
            <w:tcW w:type="dxa" w:w="3264"/>
            <w:vAlign w:val="top"/>
            <w:tcMar>
              <w:top w:w="90" w:type="dxa"/>
              <w:start w:w="130" w:type="dxa"/>
              <w:bottom w:w="90" w:type="dxa"/>
              <w:end w:w="130" w:type="dxa"/>
            </w:tcMar>
          </w:tcPr>
          <w:p>
            <w:pPr>
              <w:spacing w:before="0" w:after="0" w:line="259" w:lineRule="auto"/>
            </w:pPr>
            <w:r>
              <w:rPr>
                <w:rFonts w:ascii="Aptos" w:hAnsi="Aptos"/>
                <w:b/>
                <w:i w:val="0"/>
                <w:color w:val="0B2545"/>
                <w:sz w:val="18"/>
              </w:rPr>
              <w:t>Coarse collision felt natural; plausible gaps remained passable.</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Players accept collision simpler than visual geometry when it respects perceived object footprint.</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Keep collision authored for movement ergonomics, not mesh literalism.</w:t>
            </w:r>
          </w:p>
        </w:tc>
      </w:tr>
      <w:tr>
        <w:tc>
          <w:tcPr>
            <w:tcW w:type="dxa" w:w="3264"/>
            <w:vAlign w:val="top"/>
            <w:tcMar>
              <w:top w:w="90" w:type="dxa"/>
              <w:start w:w="130" w:type="dxa"/>
              <w:bottom w:w="90" w:type="dxa"/>
              <w:end w:w="130" w:type="dxa"/>
            </w:tcMar>
          </w:tcPr>
          <w:p>
            <w:pPr>
              <w:spacing w:before="0" w:after="0" w:line="259" w:lineRule="auto"/>
            </w:pPr>
            <w:r>
              <w:rPr>
                <w:rFonts w:ascii="Aptos" w:hAnsi="Aptos"/>
                <w:b/>
                <w:i w:val="0"/>
                <w:color w:val="0B2545"/>
                <w:sz w:val="18"/>
              </w:rPr>
              <w:t>Selected held model, pickup feedback, and carried-slot changes read clearly with no noticeable performance issue in the small test.</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The item-state loop is readable in first person.</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Retain one source visual asset across world, held, and future thumbnail contexts.</w:t>
            </w:r>
          </w:p>
        </w:tc>
      </w:tr>
      <w:tr>
        <w:tc>
          <w:tcPr>
            <w:tcW w:type="dxa" w:w="3264"/>
            <w:vAlign w:val="top"/>
            <w:tcMar>
              <w:top w:w="90" w:type="dxa"/>
              <w:start w:w="130" w:type="dxa"/>
              <w:bottom w:w="90" w:type="dxa"/>
              <w:end w:w="130" w:type="dxa"/>
            </w:tcMar>
          </w:tcPr>
          <w:p>
            <w:pPr>
              <w:spacing w:before="0" w:after="0" w:line="259" w:lineRule="auto"/>
            </w:pPr>
            <w:r>
              <w:rPr>
                <w:rFonts w:ascii="Aptos" w:hAnsi="Aptos"/>
                <w:b/>
                <w:i w:val="0"/>
                <w:color w:val="0B2545"/>
                <w:sz w:val="18"/>
              </w:rPr>
              <w:t>Irregular objects were hard to identify in live thumbnails without a good angle.</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Presentation is an asset-authoring problem, not something to solve with endlessly rotating thumbnails.</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Keep optional per-item preview/held transforms and a future tuning tool.</w:t>
            </w:r>
          </w:p>
        </w:tc>
      </w:tr>
      <w:tr>
        <w:tc>
          <w:tcPr>
            <w:tcW w:type="dxa" w:w="3264"/>
            <w:vAlign w:val="top"/>
            <w:tcMar>
              <w:top w:w="90" w:type="dxa"/>
              <w:start w:w="130" w:type="dxa"/>
              <w:bottom w:w="90" w:type="dxa"/>
              <w:end w:w="130" w:type="dxa"/>
            </w:tcMar>
          </w:tcPr>
          <w:p>
            <w:pPr>
              <w:spacing w:before="0" w:after="0" w:line="259" w:lineRule="auto"/>
            </w:pPr>
            <w:r>
              <w:rPr>
                <w:rFonts w:ascii="Aptos" w:hAnsi="Aptos"/>
                <w:b/>
                <w:i w:val="0"/>
                <w:color w:val="0B2545"/>
                <w:sz w:val="18"/>
              </w:rPr>
              <w:t>High shelves and deep storage are awkward from a standing camera.</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Reachability is not only collision. A small object can be physically valid but visually occluded.</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Prefer accessible furniture geometry and test interaction proxies/range before traversal features.</w:t>
            </w:r>
          </w:p>
        </w:tc>
      </w:tr>
      <w:tr>
        <w:tc>
          <w:tcPr>
            <w:tcW w:type="dxa" w:w="3264"/>
            <w:vAlign w:val="top"/>
            <w:tcMar>
              <w:top w:w="90" w:type="dxa"/>
              <w:start w:w="130" w:type="dxa"/>
              <w:bottom w:w="90" w:type="dxa"/>
              <w:end w:w="130" w:type="dxa"/>
            </w:tcMar>
          </w:tcPr>
          <w:p>
            <w:pPr>
              <w:spacing w:before="0" w:after="0" w:line="259" w:lineRule="auto"/>
            </w:pPr>
            <w:r>
              <w:rPr>
                <w:rFonts w:ascii="Aptos" w:hAnsi="Aptos"/>
                <w:b/>
                <w:i w:val="0"/>
                <w:color w:val="0B2545"/>
                <w:sz w:val="18"/>
              </w:rPr>
              <w:t>Rapidly storing 5-6 items caused repeated place/pickup errors.</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Grid precision and shared interaction meaning become friction at actual sorting speed.</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Test assisted/automatic storage and a separate retrieve input.</w:t>
            </w:r>
          </w:p>
        </w:tc>
      </w:tr>
      <w:tr>
        <w:tc>
          <w:tcPr>
            <w:tcW w:type="dxa" w:w="3264"/>
            <w:vAlign w:val="top"/>
            <w:tcMar>
              <w:top w:w="90" w:type="dxa"/>
              <w:start w:w="130" w:type="dxa"/>
              <w:bottom w:w="90" w:type="dxa"/>
              <w:end w:w="130" w:type="dxa"/>
            </w:tcMar>
          </w:tcPr>
          <w:p>
            <w:pPr>
              <w:spacing w:before="0" w:after="0" w:line="259" w:lineRule="auto"/>
            </w:pPr>
            <w:r>
              <w:rPr>
                <w:rFonts w:ascii="Aptos" w:hAnsi="Aptos"/>
                <w:b/>
                <w:i w:val="0"/>
                <w:color w:val="0B2545"/>
                <w:sz w:val="18"/>
              </w:rPr>
              <w:t>Small items can be hidden behind tall or wide items on deep shelves.</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Aim forgiveness, crouching, or a stool cannot reveal a fully occluded item.</w:t>
            </w:r>
          </w:p>
        </w:tc>
        <w:tc>
          <w:tcPr>
            <w:tcW w:type="dxa" w:w="3264"/>
            <w:vAlign w:val="top"/>
            <w:tcMar>
              <w:top w:w="90" w:type="dxa"/>
              <w:start w:w="130" w:type="dxa"/>
              <w:bottom w:w="90" w:type="dxa"/>
              <w:end w:w="130" w:type="dxa"/>
            </w:tcMar>
          </w:tcPr>
          <w:p>
            <w:pPr>
              <w:spacing w:before="0" w:after="0" w:line="259" w:lineRule="auto"/>
            </w:pPr>
            <w:r>
              <w:rPr>
                <w:rFonts w:ascii="Aptos" w:hAnsi="Aptos"/>
                <w:b w:val="0"/>
                <w:i w:val="0"/>
                <w:color w:val="0B2545"/>
                <w:sz w:val="18"/>
              </w:rPr>
              <w:t>Treat deep open shelving as a structural readability risk; one-depth usable surfaces are the leading mitigation.</w:t>
            </w:r>
          </w:p>
        </w:tc>
      </w:tr>
      <w:tr>
        <w:tc>
          <w:tcPr>
            <w:tcW w:type="dxa" w:w="3264"/>
            <w:vAlign w:val="center"/>
          </w:tcPr>
          <w:p>
            <w:pPr/>
            <w:r/>
            <w:r>
              <w:t>Rectangular zone editing remained easy to use after repeated passes.</w:t>
            </w:r>
          </w:p>
        </w:tc>
        <w:tc>
          <w:tcPr>
            <w:tcW w:type="dxa" w:w="3264"/>
            <w:vAlign w:val="center"/>
          </w:tcPr>
          <w:p>
            <w:pPr/>
            <w:r/>
            <w:r>
              <w:t>A flat modal representation of one shelf surface avoids the precision and perspective problems of drawing directly on world geometry.</w:t>
            </w:r>
          </w:p>
        </w:tc>
        <w:tc>
          <w:tcPr>
            <w:tcW w:type="dxa" w:w="3264"/>
            <w:vAlign w:val="center"/>
          </w:tcPr>
          <w:p>
            <w:pPr/>
            <w:r/>
            <w:r>
              <w:t>Freeze the zoning authoring slice for prototype purposes; further visual polish is not a prototype priority.</w:t>
            </w:r>
          </w:p>
        </w:tc>
      </w:tr>
      <w:tr>
        <w:tc>
          <w:tcPr>
            <w:tcW w:type="dxa" w:w="3264"/>
            <w:vAlign w:val="center"/>
          </w:tcPr>
          <w:p>
            <w:pPr/>
            <w:r/>
            <w:r>
              <w:t>Auto-placement was much faster than manual placement for 10-item mixed baskets.</w:t>
            </w:r>
          </w:p>
        </w:tc>
        <w:tc>
          <w:tcPr>
            <w:tcW w:type="dxa" w:w="3264"/>
            <w:vAlign w:val="center"/>
          </w:tcPr>
          <w:p>
            <w:pPr/>
            <w:r/>
            <w:r>
              <w:t>The meaningful Quartermaster skill is deciding where categories belong, not remembering the exact local coordinates for each bean can, pill bottle, pistol, and drink.</w:t>
            </w:r>
          </w:p>
        </w:tc>
        <w:tc>
          <w:tcPr>
            <w:tcW w:type="dxa" w:w="3264"/>
            <w:vAlign w:val="center"/>
          </w:tcPr>
          <w:p>
            <w:pPr/>
            <w:r/>
            <w:r>
              <w:t>Zone-auto placement becomes the current default interaction direction; manual mode remains available for exceptions and exact arrangements.</w:t>
            </w:r>
          </w:p>
        </w:tc>
      </w:tr>
      <w:tr>
        <w:tc>
          <w:tcPr>
            <w:tcW w:type="dxa" w:w="3264"/>
            <w:vAlign w:val="center"/>
          </w:tcPr>
          <w:p>
            <w:pPr/>
            <w:r/>
            <w:r>
              <w:t>Holding E with a short repeat interval felt significantly better than repeated presses.</w:t>
            </w:r>
          </w:p>
        </w:tc>
        <w:tc>
          <w:tcPr>
            <w:tcW w:type="dxa" w:w="3264"/>
            <w:vAlign w:val="center"/>
          </w:tcPr>
          <w:p>
            <w:pPr/>
            <w:r/>
            <w:r>
              <w:t>A well-organized shelf should convert planning into visible operational throughput.</w:t>
            </w:r>
          </w:p>
        </w:tc>
        <w:tc>
          <w:tcPr>
            <w:tcW w:type="dxa" w:w="3264"/>
            <w:vAlign w:val="center"/>
          </w:tcPr>
          <w:p>
            <w:pPr/>
            <w:r/>
            <w:r>
              <w:t>Retain continuous E auto-store. Current 0.25 s initial delay / 0.12 s repeat are good prototype defaults and remain tuning handles.</w:t>
            </w:r>
          </w:p>
        </w:tc>
      </w:tr>
      <w:tr>
        <w:tc>
          <w:tcPr>
            <w:tcW w:type="dxa" w:w="3264"/>
            <w:vAlign w:val="center"/>
          </w:tcPr>
          <w:p>
            <w:pPr/>
            <w:r/>
            <w:r>
              <w:t>Shelves can be visually rescaled to create shallow variants while stored loot keeps correct proportions.</w:t>
            </w:r>
          </w:p>
        </w:tc>
        <w:tc>
          <w:tcPr>
            <w:tcW w:type="dxa" w:w="3264"/>
            <w:vAlign w:val="center"/>
          </w:tcPr>
          <w:p>
            <w:pPr/>
            <w:r/>
            <w:r>
              <w:t>Visual furniture geometry and gameplay storage geometry should remain separable.</w:t>
            </w:r>
          </w:p>
        </w:tc>
        <w:tc>
          <w:tcPr>
            <w:tcW w:type="dxa" w:w="3264"/>
            <w:vAlign w:val="center"/>
          </w:tcPr>
          <w:p>
            <w:pPr/>
            <w:r/>
            <w:r>
              <w:t>Use cheap visual variants for prototype depth tests; make dedicated Blender variants only when visual deformation itself becomes objectionable.</w:t>
            </w:r>
          </w:p>
        </w:tc>
      </w:tr>
    </w:tbl>
    <w:p>
      <w:pPr>
        <w:spacing w:after="40"/>
      </w:pPr>
    </w:p>
    <w:p>
      <w:pPr>
        <w:pStyle w:val="Heading1"/>
        <w:keepNext/>
        <w:spacing w:before="360" w:after="200" w:line="288" w:lineRule="auto"/>
      </w:pPr>
      <w:r>
        <w:t>6. Storage-zone direction: validated prototype result</w:t>
      </w:r>
    </w:p>
    <w:tbl>
      <w:tblPr>
        <w:tblStyle w:val="TableGrid"/>
        <w:tblW w:type="auto" w:w="0"/>
        <w:jc w:val="left"/>
        <w:tblLook w:firstColumn="1" w:firstRow="1" w:lastColumn="0" w:lastRow="0" w:noHBand="0" w:noVBand="1" w:val="04A0"/>
      </w:tblPr>
      <w:tblGrid>
        <w:gridCol w:w="9792"/>
      </w:tblGrid>
      <w:tr>
        <w:tc>
          <w:tcPr>
            <w:tcW w:type="dxa" w:w="9792"/>
            <w:shd w:fill="FFF0CC"/>
            <w:tcMar>
              <w:top w:w="90" w:type="dxa"/>
              <w:start w:w="130" w:type="dxa"/>
              <w:bottom w:w="90" w:type="dxa"/>
              <w:end w:w="130" w:type="dxa"/>
            </w:tcMar>
            <w:vAlign w:val="center"/>
          </w:tcPr>
          <w:p>
            <w:pPr/>
            <w:r/>
            <w:r>
              <w:t>VALIDATED DIRECTION  The player should author storage policy rather than manually target every ordinary item. Category zones plus automatic placement preserve the Quartermaster fantasy while removing precision friction. Manual placement remains an explicit override, not the default burden.</w:t>
            </w:r>
          </w:p>
        </w:tc>
      </w:tr>
    </w:tbl>
    <w:p>
      <w:pPr>
        <w:spacing w:after="20"/>
      </w:pPr>
    </w:p>
    <w:p>
      <w:pPr>
        <w:spacing w:before="0" w:after="120" w:line="300" w:lineRule="auto"/>
      </w:pPr>
      <w:r>
        <w:t>A zone is implemented as category metadata over hidden deterministic cells on one StorageSurface. The player edits zones through a paused flat UI rather than directly on shelf geometry. Each item has one primary Storage Category for storage policy even if it can provide different Utility at different destinations. Existing physical items do not teleport when zones are redrawn; zones steer future automatic placement.</w:t>
      </w:r>
    </w:p>
    <w:tbl>
      <w:tblPr>
        <w:tblStyle w:val="TableGrid"/>
        <w:tblW w:type="auto" w:w="0"/>
        <w:jc w:val="left"/>
        <w:tblLayout w:type="fixed"/>
        <w:tblLook w:firstColumn="1" w:firstRow="1" w:lastColumn="0" w:lastRow="0" w:noHBand="0" w:noVBand="1" w:val="04A0"/>
      </w:tblPr>
      <w:tblGrid>
        <w:gridCol w:w="3264"/>
        <w:gridCol w:w="3264"/>
        <w:gridCol w:w="3264"/>
      </w:tblGrid>
      <w:tr>
        <w:trPr>
          <w:tblHeader w:val="true"/>
        </w:trPr>
        <w:tc>
          <w:tcPr>
            <w:tcW w:type="dxa" w:w="3168"/>
            <w:vAlign w:val="top"/>
            <w:shd w:fill="E8EEF5"/>
            <w:tcMar>
              <w:top w:w="90" w:type="dxa"/>
              <w:start w:w="130" w:type="dxa"/>
              <w:bottom w:w="90" w:type="dxa"/>
              <w:end w:w="130" w:type="dxa"/>
            </w:tcMar>
          </w:tcPr>
          <w:p>
            <w:pPr>
              <w:spacing w:before="0" w:after="0" w:line="259" w:lineRule="auto"/>
            </w:pPr>
            <w:r>
              <w:rPr>
                <w:rFonts w:ascii="Aptos" w:hAnsi="Aptos"/>
                <w:b/>
                <w:i w:val="0"/>
                <w:color w:val="0B2545"/>
                <w:sz w:val="19"/>
              </w:rPr>
              <w:t>Candidate rule</w:t>
            </w:r>
          </w:p>
        </w:tc>
        <w:tc>
          <w:tcPr>
            <w:tcW w:type="dxa" w:w="5256"/>
            <w:vAlign w:val="top"/>
            <w:shd w:fill="E8EEF5"/>
            <w:tcMar>
              <w:top w:w="90" w:type="dxa"/>
              <w:start w:w="130" w:type="dxa"/>
              <w:bottom w:w="90" w:type="dxa"/>
              <w:end w:w="130" w:type="dxa"/>
            </w:tcMar>
          </w:tcPr>
          <w:p>
            <w:pPr>
              <w:spacing w:before="0" w:after="0" w:line="259" w:lineRule="auto"/>
            </w:pPr>
            <w:r>
              <w:rPr>
                <w:rFonts w:ascii="Aptos" w:hAnsi="Aptos"/>
                <w:b/>
                <w:i w:val="0"/>
                <w:color w:val="0B2545"/>
                <w:sz w:val="19"/>
              </w:rPr>
              <w:t>Rationale</w:t>
            </w:r>
          </w:p>
        </w:tc>
        <w:tc>
          <w:tcPr>
            <w:tcW w:type="dxa" w:w="2736"/>
            <w:vAlign w:val="top"/>
            <w:shd w:fill="E8EEF5"/>
            <w:tcMar>
              <w:top w:w="90" w:type="dxa"/>
              <w:start w:w="130" w:type="dxa"/>
              <w:bottom w:w="90" w:type="dxa"/>
              <w:end w:w="130" w:type="dxa"/>
            </w:tcMar>
          </w:tcPr>
          <w:p>
            <w:pPr>
              <w:spacing w:before="0" w:after="0" w:line="259" w:lineRule="auto"/>
            </w:pPr>
            <w:r>
              <w:rPr>
                <w:rFonts w:ascii="Aptos" w:hAnsi="Aptos"/>
                <w:b/>
                <w:i w:val="0"/>
                <w:color w:val="0B2545"/>
                <w:sz w:val="19"/>
              </w:rPr>
              <w:t>Evidence status</w:t>
            </w:r>
          </w:p>
        </w:tc>
      </w:tr>
      <w:tr>
        <w:tc>
          <w:tcPr>
            <w:tcW w:type="dxa" w:w="3264"/>
            <w:vAlign w:val="center"/>
            <w:tcMar>
              <w:top w:w="90" w:type="dxa"/>
              <w:start w:w="130" w:type="dxa"/>
              <w:bottom w:w="90" w:type="dxa"/>
              <w:end w:w="130" w:type="dxa"/>
            </w:tcMar>
          </w:tcPr>
          <w:p>
            <w:pPr/>
            <w:r/>
            <w:r>
              <w:t>Zones are snapped rectangles on one storage surface.</w:t>
            </w:r>
          </w:p>
        </w:tc>
        <w:tc>
          <w:tcPr>
            <w:tcW w:type="dxa" w:w="3264"/>
            <w:vAlign w:val="center"/>
            <w:tcMar>
              <w:top w:w="90" w:type="dxa"/>
              <w:start w:w="130" w:type="dxa"/>
              <w:bottom w:w="90" w:type="dxa"/>
              <w:end w:w="130" w:type="dxa"/>
            </w:tcMar>
          </w:tcPr>
          <w:p>
            <w:pPr/>
            <w:r/>
            <w:r>
              <w:t>Matches the existing deterministic grid while keeping cell boundaries hidden from the player.</w:t>
            </w:r>
          </w:p>
        </w:tc>
        <w:tc>
          <w:tcPr>
            <w:tcW w:type="dxa" w:w="3264"/>
            <w:vAlign w:val="center"/>
            <w:shd w:fill="FFF0CC"/>
            <w:tcMar>
              <w:top w:w="90" w:type="dxa"/>
              <w:start w:w="130" w:type="dxa"/>
              <w:bottom w:w="90" w:type="dxa"/>
              <w:end w:w="130" w:type="dxa"/>
            </w:tcMar>
          </w:tcPr>
          <w:p>
            <w:pPr/>
            <w:r/>
            <w:r>
              <w:t>Validated</w:t>
            </w:r>
          </w:p>
        </w:tc>
      </w:tr>
      <w:tr>
        <w:tc>
          <w:tcPr>
            <w:tcW w:type="dxa" w:w="3264"/>
            <w:vAlign w:val="center"/>
            <w:tcMar>
              <w:top w:w="90" w:type="dxa"/>
              <w:start w:w="130" w:type="dxa"/>
              <w:bottom w:w="90" w:type="dxa"/>
              <w:end w:w="130" w:type="dxa"/>
            </w:tcMar>
          </w:tcPr>
          <w:p>
            <w:r>
              <w:t>Auto-placement searches matching category -&gt; General and stops; it never uses a different specific category or a blank/erased cell.</w:t>
            </w:r>
          </w:p>
        </w:tc>
        <w:tc>
          <w:tcPr>
            <w:tcW w:type="dxa" w:w="3264"/>
            <w:vAlign w:val="center"/>
            <w:tcMar>
              <w:top w:w="90" w:type="dxa"/>
              <w:start w:w="130" w:type="dxa"/>
              <w:bottom w:w="90" w:type="dxa"/>
              <w:end w:w="130" w:type="dxa"/>
            </w:tcMar>
          </w:tcPr>
          <w:p>
            <w:r>
              <w:t>The v0.2 unassigned-cell fallback was superseded after stacking stabilization. General is the forgiving universal zone; blank/erased means deliberately disabled storage.</w:t>
            </w:r>
          </w:p>
        </w:tc>
        <w:tc>
          <w:tcPr>
            <w:tcW w:type="dxa" w:w="3264"/>
            <w:vAlign w:val="center"/>
            <w:shd w:fill="FFF0CC"/>
            <w:tcMar>
              <w:top w:w="90" w:type="dxa"/>
              <w:start w:w="130" w:type="dxa"/>
              <w:bottom w:w="90" w:type="dxa"/>
              <w:end w:w="130" w:type="dxa"/>
            </w:tcMar>
          </w:tcPr>
          <w:p>
            <w:r>
              <w:t>Validated; supersedes v0.2 fallback</w:t>
            </w:r>
          </w:p>
        </w:tc>
      </w:tr>
      <w:tr>
        <w:tc>
          <w:tcPr>
            <w:tcW w:type="dxa" w:w="3264"/>
            <w:vAlign w:val="center"/>
            <w:tcMar>
              <w:top w:w="90" w:type="dxa"/>
              <w:start w:w="130" w:type="dxa"/>
              <w:bottom w:w="90" w:type="dxa"/>
              <w:end w:w="130" w:type="dxa"/>
            </w:tcMar>
          </w:tcPr>
          <w:p>
            <w:r>
              <w:t>Manual placement may ignore category zoning but cannot use disabled/erased cells.</w:t>
            </w:r>
          </w:p>
        </w:tc>
        <w:tc>
          <w:tcPr>
            <w:tcW w:type="dxa" w:w="3264"/>
            <w:vAlign w:val="center"/>
            <w:tcMar>
              <w:top w:w="90" w:type="dxa"/>
              <w:start w:w="130" w:type="dxa"/>
              <w:bottom w:w="90" w:type="dxa"/>
              <w:end w:w="130" w:type="dxa"/>
            </w:tcMar>
          </w:tcPr>
          <w:p>
            <w:r>
              <w:t>Manual mode remains the Quartermaster's deliberate exception path without making No Zone synonymous with General.</w:t>
            </w:r>
          </w:p>
        </w:tc>
        <w:tc>
          <w:tcPr>
            <w:tcW w:type="dxa" w:w="3264"/>
            <w:vAlign w:val="center"/>
            <w:shd w:fill="FFF0CC"/>
            <w:tcMar>
              <w:top w:w="90" w:type="dxa"/>
              <w:start w:w="130" w:type="dxa"/>
              <w:bottom w:w="90" w:type="dxa"/>
              <w:end w:w="130" w:type="dxa"/>
            </w:tcMar>
          </w:tcPr>
          <w:p>
            <w:r>
              <w:t>Validated; refined after stacking stabilization</w:t>
            </w:r>
          </w:p>
        </w:tc>
      </w:tr>
      <w:tr>
        <w:tc>
          <w:tcPr>
            <w:tcW w:type="dxa" w:w="3264"/>
            <w:vAlign w:val="center"/>
            <w:tcMar>
              <w:top w:w="90" w:type="dxa"/>
              <w:start w:w="130" w:type="dxa"/>
              <w:bottom w:w="90" w:type="dxa"/>
              <w:end w:w="130" w:type="dxa"/>
            </w:tcMar>
          </w:tcPr>
          <w:p>
            <w:pPr/>
            <w:r/>
            <w:r>
              <w:t>One cell belongs to zero or one zone.</w:t>
            </w:r>
          </w:p>
        </w:tc>
        <w:tc>
          <w:tcPr>
            <w:tcW w:type="dxa" w:w="3264"/>
            <w:vAlign w:val="center"/>
            <w:tcMar>
              <w:top w:w="90" w:type="dxa"/>
              <w:start w:w="130" w:type="dxa"/>
              <w:bottom w:w="90" w:type="dxa"/>
              <w:end w:w="130" w:type="dxa"/>
            </w:tcMar>
          </w:tcPr>
          <w:p>
            <w:pPr/>
            <w:r/>
            <w:r>
              <w:t>Avoids priority ambiguity and makes rectangle repainting predictable.</w:t>
            </w:r>
          </w:p>
        </w:tc>
        <w:tc>
          <w:tcPr>
            <w:tcW w:type="dxa" w:w="3264"/>
            <w:vAlign w:val="center"/>
            <w:shd w:fill="FFF0CC"/>
            <w:tcMar>
              <w:top w:w="90" w:type="dxa"/>
              <w:start w:w="130" w:type="dxa"/>
              <w:bottom w:w="90" w:type="dxa"/>
              <w:end w:w="130" w:type="dxa"/>
            </w:tcMar>
          </w:tcPr>
          <w:p>
            <w:pPr/>
            <w:r/>
            <w:r>
              <w:t>Validated</w:t>
            </w:r>
          </w:p>
        </w:tc>
      </w:tr>
      <w:tr>
        <w:tc>
          <w:tcPr>
            <w:tcW w:type="dxa" w:w="3264"/>
            <w:vAlign w:val="center"/>
            <w:tcMar>
              <w:top w:w="90" w:type="dxa"/>
              <w:start w:w="130" w:type="dxa"/>
              <w:bottom w:w="90" w:type="dxa"/>
              <w:end w:w="130" w:type="dxa"/>
            </w:tcMar>
          </w:tcPr>
          <w:p>
            <w:pPr/>
            <w:r/>
            <w:r>
              <w:t>Resizing, clearing, or recategorizing zones does not move existing items.</w:t>
            </w:r>
          </w:p>
        </w:tc>
        <w:tc>
          <w:tcPr>
            <w:tcW w:type="dxa" w:w="3264"/>
            <w:vAlign w:val="center"/>
            <w:tcMar>
              <w:top w:w="90" w:type="dxa"/>
              <w:start w:w="130" w:type="dxa"/>
              <w:bottom w:w="90" w:type="dxa"/>
              <w:end w:w="130" w:type="dxa"/>
            </w:tcMar>
          </w:tcPr>
          <w:p>
            <w:pPr/>
            <w:r/>
            <w:r>
              <w:t>Zones guide future placement rather than performing magical cleanup.</w:t>
            </w:r>
          </w:p>
        </w:tc>
        <w:tc>
          <w:tcPr>
            <w:tcW w:type="dxa" w:w="3264"/>
            <w:vAlign w:val="center"/>
            <w:shd w:fill="FFF0CC"/>
            <w:tcMar>
              <w:top w:w="90" w:type="dxa"/>
              <w:start w:w="130" w:type="dxa"/>
              <w:bottom w:w="90" w:type="dxa"/>
              <w:end w:w="130" w:type="dxa"/>
            </w:tcMar>
          </w:tcPr>
          <w:p>
            <w:pPr/>
            <w:r/>
            <w:r>
              <w:t>Validated</w:t>
            </w:r>
          </w:p>
        </w:tc>
      </w:tr>
      <w:tr>
        <w:tc>
          <w:tcPr>
            <w:tcW w:type="dxa" w:w="3264"/>
            <w:vAlign w:val="center"/>
            <w:tcMar>
              <w:top w:w="90" w:type="dxa"/>
              <w:start w:w="130" w:type="dxa"/>
              <w:bottom w:w="90" w:type="dxa"/>
              <w:end w:w="130" w:type="dxa"/>
            </w:tcMar>
          </w:tcPr>
          <w:p>
            <w:r>
              <w:t>Deterministic single-column support stacking provides vertical density; whether ordinary open shelves should also default to one shallow usable depth remains a separate furniture/readability question.</w:t>
            </w:r>
          </w:p>
        </w:tc>
        <w:tc>
          <w:tcPr>
            <w:tcW w:type="dxa" w:w="3264"/>
            <w:vAlign w:val="center"/>
            <w:tcMar>
              <w:top w:w="90" w:type="dxa"/>
              <w:start w:w="130" w:type="dxa"/>
              <w:bottom w:w="90" w:type="dxa"/>
              <w:end w:w="130" w:type="dxa"/>
            </w:tcMar>
          </w:tcPr>
          <w:p>
            <w:r>
              <w:t>Representative content showed that vertical stacking solves much of the apparent wasted-height problem without a volumetric grid. Deep-shelf occlusion remains a distinct world-design risk.</w:t>
            </w:r>
          </w:p>
        </w:tc>
        <w:tc>
          <w:tcPr>
            <w:tcW w:type="dxa" w:w="3264"/>
            <w:vAlign w:val="center"/>
            <w:shd w:fill="FFF0CC"/>
            <w:tcMar>
              <w:top w:w="90" w:type="dxa"/>
              <w:start w:w="130" w:type="dxa"/>
              <w:bottom w:w="90" w:type="dxa"/>
              <w:end w:w="130" w:type="dxa"/>
            </w:tcMar>
          </w:tcPr>
          <w:p>
            <w:r>
              <w:t>Stacking validated; one-depth default still tentative</w:t>
            </w:r>
          </w:p>
        </w:tc>
      </w:tr>
      <w:tr>
        <w:tc>
          <w:tcPr>
            <w:tcW w:type="dxa" w:w="3264"/>
            <w:vAlign w:val="center"/>
          </w:tcPr>
          <w:p>
            <w:pPr/>
            <w:r/>
            <w:r>
              <w:t>Untouched shelf surfaces initialize to General 100% on their first zoning interaction.</w:t>
            </w:r>
          </w:p>
        </w:tc>
        <w:tc>
          <w:tcPr>
            <w:tcW w:type="dxa" w:w="3264"/>
            <w:vAlign w:val="center"/>
          </w:tcPr>
          <w:p>
            <w:pPr/>
            <w:r/>
            <w:r>
              <w:t>Players are introduced to zoning instead of receiving invisible automatic behavior they never authored. Clearing zones later does not re-trigger first-use initialization.</w:t>
            </w:r>
          </w:p>
        </w:tc>
        <w:tc>
          <w:tcPr>
            <w:tcW w:type="dxa" w:w="3264"/>
            <w:vAlign w:val="center"/>
          </w:tcPr>
          <w:p>
            <w:pPr/>
            <w:r/>
            <w:r>
              <w:t>Validated</w:t>
            </w:r>
          </w:p>
        </w:tc>
      </w:tr>
      <w:tr>
        <w:tc>
          <w:tcPr>
            <w:tcW w:type="dxa" w:w="3264"/>
            <w:vAlign w:val="center"/>
          </w:tcPr>
          <w:p>
            <w:pPr/>
            <w:r/>
            <w:r>
              <w:t>Default zone-auto mode shows no placement grid or green ghost; manual mode carries precision/debug presentation.</w:t>
            </w:r>
          </w:p>
        </w:tc>
        <w:tc>
          <w:tcPr>
            <w:tcW w:type="dxa" w:w="3264"/>
            <w:vAlign w:val="center"/>
          </w:tcPr>
          <w:p>
            <w:pPr/>
            <w:r/>
            <w:r>
              <w:t>Trying to serve both workflows simultaneously created visual clutter and worse ergonomics.</w:t>
            </w:r>
          </w:p>
        </w:tc>
        <w:tc>
          <w:tcPr>
            <w:tcW w:type="dxa" w:w="3264"/>
            <w:vAlign w:val="center"/>
          </w:tcPr>
          <w:p>
            <w:pPr/>
            <w:r/>
            <w:r>
              <w:t>Validated</w:t>
            </w:r>
          </w:p>
        </w:tc>
      </w:tr>
      <w:tr>
        <w:tc>
          <w:tcPr>
            <w:tcW w:type="dxa" w:w="3264"/>
            <w:vAlign w:val="center"/>
          </w:tcPr>
          <w:p>
            <w:pPr/>
            <w:r/>
            <w:r>
              <w:t>Holding E repeatedly stores the current/next carried items using zoning policy.</w:t>
            </w:r>
          </w:p>
        </w:tc>
        <w:tc>
          <w:tcPr>
            <w:tcW w:type="dxa" w:w="3264"/>
            <w:vAlign w:val="center"/>
          </w:tcPr>
          <w:p>
            <w:pPr/>
            <w:r/>
            <w:r>
              <w:t>Turns good organization into tactile throughput and reduces repetitive keypresses.</w:t>
            </w:r>
          </w:p>
        </w:tc>
        <w:tc>
          <w:tcPr>
            <w:tcW w:type="dxa" w:w="3264"/>
            <w:vAlign w:val="center"/>
          </w:tcPr>
          <w:p>
            <w:pPr/>
            <w:r/>
            <w:r>
              <w:t>Validated</w:t>
            </w:r>
          </w:p>
        </w:tc>
      </w:tr>
    </w:tbl>
    <w:p>
      <w:pPr>
        <w:spacing w:after="40"/>
      </w:pPr>
    </w:p>
    <w:p>
      <w:pPr>
        <w:pStyle w:val="Heading2"/>
        <w:keepNext/>
        <w:spacing w:before="280" w:after="140" w:line="288" w:lineRule="auto"/>
      </w:pPr>
      <w:r>
        <w:rPr>
          <w:rFonts w:ascii="Aptos" w:hAnsi="Aptos"/>
          <w:b/>
          <w:i w:val="0"/>
          <w:color w:val="2E74B5"/>
          <w:sz w:val="26"/>
        </w:rPr>
        <w:t>Why this remains compatible with the GDD</w:t>
      </w:r>
    </w:p>
    <w:p>
      <w:pPr>
        <w:spacing w:before="0" w:after="120" w:line="300" w:lineRule="auto"/>
      </w:pPr>
      <w:r>
        <w:t>GDD v0.3 already requires assisted placement, player-authored organization, readable capacity, and mistakes arising from logistics rather than finicky targeting. Prototype evidence now strongly supports zones and automatic placement as the preferred implementation of those goals. This is nevertheless a deliberate extension beyond GDD v0.3's mechanically meaningless labels: a future GDD revision should explicitly distinguish decorative/player-authored labels from mechanical Storage Zones rather than silently conflating them.</w:t>
      </w:r>
    </w:p>
    <w:p>
      <w:pPr>
        <w:pStyle w:val="Heading1"/>
        <w:keepNext/>
        <w:spacing w:before="360" w:after="200" w:line="288" w:lineRule="auto"/>
      </w:pPr>
      <w:r>
        <w:rPr>
          <w:rFonts w:ascii="Aptos" w:hAnsi="Aptos"/>
          <w:b/>
          <w:i w:val="0"/>
          <w:color w:val="2E74B5"/>
          <w:sz w:val="32"/>
        </w:rPr>
        <w:t>7. Validated assumptions and unresolved questions</w:t>
      </w:r>
    </w:p>
    <w:tbl>
      <w:tblPr>
        <w:tblStyle w:val="TableGrid"/>
        <w:tblW w:type="auto" w:w="0"/>
        <w:jc w:val="left"/>
        <w:tblLayout w:type="fixed"/>
        <w:tblLook w:firstColumn="1" w:firstRow="1" w:lastColumn="0" w:lastRow="0" w:noHBand="0" w:noVBand="1" w:val="04A0"/>
      </w:tblPr>
      <w:tblGrid>
        <w:gridCol w:w="3264"/>
        <w:gridCol w:w="3264"/>
        <w:gridCol w:w="3264"/>
      </w:tblGrid>
      <w:tr>
        <w:trPr>
          <w:tblHeader w:val="true"/>
        </w:trPr>
        <w:tc>
          <w:tcPr>
            <w:tcW w:type="dxa" w:w="2232"/>
            <w:vAlign w:val="top"/>
            <w:shd w:fill="E8EEF5"/>
            <w:tcMar>
              <w:top w:w="90" w:type="dxa"/>
              <w:start w:w="130" w:type="dxa"/>
              <w:bottom w:w="90" w:type="dxa"/>
              <w:end w:w="130" w:type="dxa"/>
            </w:tcMar>
          </w:tcPr>
          <w:p>
            <w:pPr>
              <w:spacing w:before="0" w:after="0" w:line="259" w:lineRule="auto"/>
            </w:pPr>
            <w:r>
              <w:rPr>
                <w:rFonts w:ascii="Aptos" w:hAnsi="Aptos"/>
                <w:b/>
                <w:i w:val="0"/>
                <w:color w:val="0B2545"/>
                <w:sz w:val="19"/>
              </w:rPr>
              <w:t>Area</w:t>
            </w:r>
          </w:p>
        </w:tc>
        <w:tc>
          <w:tcPr>
            <w:tcW w:type="dxa" w:w="4896"/>
            <w:vAlign w:val="top"/>
            <w:shd w:fill="E8EEF5"/>
            <w:tcMar>
              <w:top w:w="90" w:type="dxa"/>
              <w:start w:w="130" w:type="dxa"/>
              <w:bottom w:w="90" w:type="dxa"/>
              <w:end w:w="130" w:type="dxa"/>
            </w:tcMar>
          </w:tcPr>
          <w:p>
            <w:pPr>
              <w:spacing w:before="0" w:after="0" w:line="259" w:lineRule="auto"/>
            </w:pPr>
            <w:r>
              <w:rPr>
                <w:rFonts w:ascii="Aptos" w:hAnsi="Aptos"/>
                <w:b/>
                <w:i w:val="0"/>
                <w:color w:val="0B2545"/>
                <w:sz w:val="19"/>
              </w:rPr>
              <w:t>Current conclusion</w:t>
            </w:r>
          </w:p>
        </w:tc>
        <w:tc>
          <w:tcPr>
            <w:tcW w:type="dxa" w:w="4032"/>
            <w:vAlign w:val="top"/>
            <w:shd w:fill="E8EEF5"/>
            <w:tcMar>
              <w:top w:w="90" w:type="dxa"/>
              <w:start w:w="130" w:type="dxa"/>
              <w:bottom w:w="90" w:type="dxa"/>
              <w:end w:w="130" w:type="dxa"/>
            </w:tcMar>
          </w:tcPr>
          <w:p>
            <w:pPr>
              <w:spacing w:before="0" w:after="0" w:line="259" w:lineRule="auto"/>
            </w:pPr>
            <w:r>
              <w:rPr>
                <w:rFonts w:ascii="Aptos" w:hAnsi="Aptos"/>
                <w:b/>
                <w:i w:val="0"/>
                <w:color w:val="0B2545"/>
                <w:sz w:val="19"/>
              </w:rPr>
              <w:t>Required next evidence</w:t>
            </w:r>
          </w:p>
        </w:tc>
      </w:tr>
      <w:tr>
        <w:tc>
          <w:tcPr>
            <w:tcW w:type="dxa" w:w="3264"/>
            <w:vAlign w:val="top"/>
            <w:tcMar>
              <w:top w:w="90" w:type="dxa"/>
              <w:start w:w="130" w:type="dxa"/>
              <w:bottom w:w="90" w:type="dxa"/>
              <w:end w:w="130" w:type="dxa"/>
            </w:tcMar>
          </w:tcPr>
          <w:p>
            <w:pPr>
              <w:spacing w:before="0" w:after="0" w:line="259" w:lineRule="auto"/>
            </w:pPr>
            <w:r>
              <w:rPr>
                <w:rFonts w:ascii="Aptos" w:hAnsi="Aptos"/>
                <w:b/>
                <w:i w:val="0"/>
                <w:color w:val="0B2545"/>
                <w:sz w:val="18"/>
              </w:rPr>
              <w:t>Deterministic no-drop handling</w:t>
            </w:r>
          </w:p>
        </w:tc>
        <w:tc>
          <w:tcPr>
            <w:tcW w:type="dxa" w:w="3264"/>
            <w:vAlign w:val="center"/>
            <w:tcMar>
              <w:top w:w="90" w:type="dxa"/>
              <w:start w:w="130" w:type="dxa"/>
              <w:bottom w:w="90" w:type="dxa"/>
              <w:end w:w="130" w:type="dxa"/>
            </w:tcMar>
          </w:tcPr>
          <w:p>
            <w:r>
              <w:t>Validated across a representative 42-item catalogue. Physical world -&gt; carried data -&gt; zone-auto/manual storage -&gt; deterministic stacking -&gt; physical retrieval remains stable and readable.</w:t>
            </w:r>
          </w:p>
        </w:tc>
        <w:tc>
          <w:tcPr>
            <w:tcW w:type="dxa" w:w="3264"/>
            <w:vAlign w:val="center"/>
            <w:tcMar>
              <w:top w:w="90" w:type="dxa"/>
              <w:start w:w="130" w:type="dxa"/>
              <w:bottom w:w="90" w:type="dxa"/>
              <w:end w:w="130" w:type="dxa"/>
            </w:tcMar>
          </w:tcPr>
          <w:p>
            <w:r>
              <w:t>Complete Auto Group authoring, fix the known loot_000010 pickup defect, then run catalogue-scale stress testing across all approved stack roles/groups and shelf contexts.</w:t>
            </w:r>
          </w:p>
        </w:tc>
      </w:tr>
      <w:tr>
        <w:tc>
          <w:tcPr>
            <w:tcW w:type="dxa" w:w="3264"/>
            <w:vAlign w:val="top"/>
            <w:tcMar>
              <w:top w:w="90" w:type="dxa"/>
              <w:start w:w="130" w:type="dxa"/>
              <w:bottom w:w="90" w:type="dxa"/>
              <w:end w:w="130" w:type="dxa"/>
            </w:tcMar>
          </w:tcPr>
          <w:p>
            <w:pPr>
              <w:spacing w:before="0" w:after="0" w:line="259" w:lineRule="auto"/>
            </w:pPr>
            <w:r>
              <w:rPr>
                <w:rFonts w:ascii="Aptos" w:hAnsi="Aptos"/>
                <w:b/>
                <w:i w:val="0"/>
                <w:color w:val="0B2545"/>
                <w:sz w:val="18"/>
              </w:rPr>
              <w:t>Shelf geometry</w:t>
            </w:r>
          </w:p>
        </w:tc>
        <w:tc>
          <w:tcPr>
            <w:tcW w:type="dxa" w:w="3264"/>
            <w:vAlign w:val="center"/>
            <w:tcMar>
              <w:top w:w="90" w:type="dxa"/>
              <w:start w:w="130" w:type="dxa"/>
              <w:bottom w:w="90" w:type="dxa"/>
              <w:end w:w="130" w:type="dxa"/>
            </w:tcMar>
          </w:tcPr>
          <w:p>
            <w:r>
              <w:t>Per-level profiles and scale-isolated StorageSurfaces are workable. Closed-level stack clearance is derived from adjacent authored shelf planes and Y scale; open-top clearance is explicitly authored per placed instance.</w:t>
            </w:r>
          </w:p>
        </w:tc>
        <w:tc>
          <w:tcPr>
            <w:tcW w:type="dxa" w:w="3264"/>
            <w:vAlign w:val="center"/>
            <w:tcMar>
              <w:top w:w="90" w:type="dxa"/>
              <w:start w:w="130" w:type="dxa"/>
              <w:bottom w:w="90" w:type="dxa"/>
              <w:end w:w="130" w:type="dxa"/>
            </w:tcMar>
          </w:tcPr>
          <w:p>
            <w:r>
              <w:t>Stress-test world-layout variations and retrieval under dense mixed content. One-depth ordinary shelves remain a separate furniture decision rather than a stacking prerequisite.</w:t>
            </w:r>
          </w:p>
        </w:tc>
      </w:tr>
      <w:tr>
        <w:tc>
          <w:tcPr>
            <w:tcW w:type="dxa" w:w="3264"/>
            <w:vAlign w:val="top"/>
            <w:tcMar>
              <w:top w:w="90" w:type="dxa"/>
              <w:start w:w="130" w:type="dxa"/>
              <w:bottom w:w="90" w:type="dxa"/>
              <w:end w:w="130" w:type="dxa"/>
            </w:tcMar>
          </w:tcPr>
          <w:p>
            <w:pPr>
              <w:spacing w:before="0" w:after="0" w:line="259" w:lineRule="auto"/>
            </w:pPr>
            <w:r>
              <w:rPr>
                <w:rFonts w:ascii="Aptos" w:hAnsi="Aptos"/>
                <w:b/>
                <w:i w:val="0"/>
                <w:color w:val="0B2545"/>
                <w:sz w:val="18"/>
              </w:rPr>
              <w:t>Crouch / ladders</w:t>
            </w:r>
          </w:p>
        </w:tc>
        <w:tc>
          <w:tcPr>
            <w:tcW w:type="dxa" w:w="3264"/>
            <w:vAlign w:val="center"/>
            <w:tcMar>
              <w:top w:w="90" w:type="dxa"/>
              <w:start w:w="130" w:type="dxa"/>
              <w:bottom w:w="90" w:type="dxa"/>
              <w:end w:w="130" w:type="dxa"/>
            </w:tcMar>
          </w:tcPr>
          <w:p>
            <w:pPr/>
            <w:r/>
            <w:r>
              <w:t>Crouch remains plausible and moderately scoped. Ladders are rejected for now because they add a separate movement state and multiple edge cases.</w:t>
            </w:r>
          </w:p>
        </w:tc>
        <w:tc>
          <w:tcPr>
            <w:tcW w:type="dxa" w:w="3264"/>
            <w:vAlign w:val="center"/>
            <w:tcMar>
              <w:top w:w="90" w:type="dxa"/>
              <w:start w:w="130" w:type="dxa"/>
              <w:bottom w:w="90" w:type="dxa"/>
              <w:end w:w="130" w:type="dxa"/>
            </w:tcMar>
          </w:tcPr>
          <w:p>
            <w:pPr/>
            <w:r/>
            <w:r>
              <w:t>Do not implement during the current content stress test. Reassess crouch only if low-shelf inspection remains poor after storage-policy and furniture-layout changes.</w:t>
            </w:r>
          </w:p>
        </w:tc>
      </w:tr>
      <w:tr>
        <w:tc>
          <w:tcPr>
            <w:tcW w:type="dxa" w:w="3264"/>
            <w:vAlign w:val="top"/>
            <w:tcMar>
              <w:top w:w="90" w:type="dxa"/>
              <w:start w:w="130" w:type="dxa"/>
              <w:bottom w:w="90" w:type="dxa"/>
              <w:end w:w="130" w:type="dxa"/>
            </w:tcMar>
          </w:tcPr>
          <w:p>
            <w:pPr>
              <w:spacing w:before="0" w:after="0" w:line="259" w:lineRule="auto"/>
            </w:pPr>
            <w:r>
              <w:rPr>
                <w:rFonts w:ascii="Aptos" w:hAnsi="Aptos"/>
                <w:b/>
                <w:i w:val="0"/>
                <w:color w:val="0B2545"/>
                <w:sz w:val="18"/>
              </w:rPr>
              <w:t>Auto-placement / zones</w:t>
            </w:r>
          </w:p>
        </w:tc>
        <w:tc>
          <w:tcPr>
            <w:tcW w:type="dxa" w:w="3264"/>
            <w:vAlign w:val="center"/>
            <w:tcMar>
              <w:top w:w="90" w:type="dxa"/>
              <w:start w:w="130" w:type="dxa"/>
              <w:bottom w:w="90" w:type="dxa"/>
              <w:end w:w="130" w:type="dxa"/>
            </w:tcMar>
          </w:tcPr>
          <w:p>
            <w:r>
              <w:t>Validated as the current direction. Exact item Storage Categories are Food, Hydration, Medical, Weapons, Protection, Fuel, Morale, and Electronics. General is a universal zone, not an item category; erased cells are disabled.</w:t>
            </w:r>
          </w:p>
        </w:tc>
        <w:tc>
          <w:tcPr>
            <w:tcW w:type="dxa" w:w="3264"/>
            <w:vAlign w:val="center"/>
            <w:tcMar>
              <w:top w:w="90" w:type="dxa"/>
              <w:start w:w="130" w:type="dxa"/>
              <w:bottom w:w="90" w:type="dxa"/>
              <w:end w:w="130" w:type="dxa"/>
            </w:tcMar>
          </w:tcPr>
          <w:p>
            <w:r>
              <w:t>Catalogue-scale test: all categories, larger carried bundles, hold-E unloading, zone saturation, automatic stacking/base promotion, and failure/full-zone feedback.</w:t>
            </w:r>
          </w:p>
        </w:tc>
      </w:tr>
      <w:tr>
        <w:tc>
          <w:tcPr>
            <w:tcW w:type="dxa" w:w="3264"/>
            <w:vAlign w:val="top"/>
            <w:tcMar>
              <w:top w:w="90" w:type="dxa"/>
              <w:start w:w="130" w:type="dxa"/>
              <w:bottom w:w="90" w:type="dxa"/>
              <w:end w:w="130" w:type="dxa"/>
            </w:tcMar>
          </w:tcPr>
          <w:p>
            <w:pPr>
              <w:spacing w:before="0" w:after="0" w:line="259" w:lineRule="auto"/>
            </w:pPr>
            <w:r>
              <w:rPr>
                <w:rFonts w:ascii="Aptos" w:hAnsi="Aptos"/>
                <w:b/>
                <w:i w:val="0"/>
                <w:color w:val="0B2545"/>
                <w:sz w:val="18"/>
              </w:rPr>
              <w:t>Asset authoring scale</w:t>
            </w:r>
          </w:p>
        </w:tc>
        <w:tc>
          <w:tcPr>
            <w:tcW w:type="dxa" w:w="3264"/>
            <w:vAlign w:val="center"/>
            <w:tcMar>
              <w:top w:w="90" w:type="dxa"/>
              <w:start w:w="130" w:type="dxa"/>
              <w:bottom w:w="90" w:type="dxa"/>
              <w:end w:w="130" w:type="dxa"/>
            </w:tcMar>
          </w:tcPr>
          <w:p>
            <w:pPr/>
            <w:r/>
            <w:r>
              <w:t>Hybrid sourcing plus procedural/simple Blender families is viable. Fab Standard-Licensed content is now an active candidate source; Blender normalization and static-clothing conversion have been incorporated into the workflow.</w:t>
            </w:r>
          </w:p>
        </w:tc>
        <w:tc>
          <w:tcPr>
            <w:tcW w:type="dxa" w:w="3264"/>
            <w:vAlign w:val="center"/>
            <w:tcMar>
              <w:top w:w="90" w:type="dxa"/>
              <w:start w:w="130" w:type="dxa"/>
              <w:bottom w:w="90" w:type="dxa"/>
              <w:end w:w="130" w:type="dxa"/>
            </w:tcMar>
          </w:tcPr>
          <w:p>
            <w:pPr/>
            <w:r/>
            <w:r>
              <w:t>Establish production-style catalogue records: source/license, canonical dimensions, normalized GLB, Storage Category, Utility, Bulk, Footprint, and authoring notes.</w:t>
            </w:r>
          </w:p>
        </w:tc>
      </w:tr>
      <w:tr>
        <w:tc>
          <w:tcPr>
            <w:tcW w:type="dxa" w:w="3264"/>
            <w:vAlign w:val="top"/>
            <w:tcMar>
              <w:top w:w="90" w:type="dxa"/>
              <w:start w:w="130" w:type="dxa"/>
              <w:bottom w:w="90" w:type="dxa"/>
              <w:end w:w="130" w:type="dxa"/>
            </w:tcMar>
          </w:tcPr>
          <w:p>
            <w:pPr>
              <w:spacing w:before="0" w:after="0" w:line="259" w:lineRule="auto"/>
            </w:pPr>
            <w:r>
              <w:rPr>
                <w:rFonts w:ascii="Aptos" w:hAnsi="Aptos"/>
                <w:b/>
                <w:i w:val="0"/>
                <w:color w:val="0B2545"/>
                <w:sz w:val="18"/>
              </w:rPr>
              <w:t>Thumbnail presentation</w:t>
            </w:r>
          </w:p>
        </w:tc>
        <w:tc>
          <w:tcPr>
            <w:tcW w:type="dxa" w:w="3264"/>
            <w:vAlign w:val="center"/>
            <w:tcMar>
              <w:top w:w="90" w:type="dxa"/>
              <w:start w:w="130" w:type="dxa"/>
              <w:bottom w:w="90" w:type="dxa"/>
              <w:end w:w="130" w:type="dxa"/>
            </w:tcMar>
          </w:tcPr>
          <w:p>
            <w:pPr/>
            <w:r/>
            <w:r>
              <w:t>Runtime live preview is rejected. Camera-attached held meshes are acceptable for prototype use; HUD placeholders remain temporary.</w:t>
            </w:r>
          </w:p>
        </w:tc>
        <w:tc>
          <w:tcPr>
            <w:tcW w:type="dxa" w:w="3264"/>
            <w:vAlign w:val="center"/>
            <w:tcMar>
              <w:top w:w="90" w:type="dxa"/>
              <w:start w:w="130" w:type="dxa"/>
              <w:bottom w:w="90" w:type="dxa"/>
              <w:end w:w="130" w:type="dxa"/>
            </w:tcMar>
          </w:tcPr>
          <w:p>
            <w:pPr/>
            <w:r/>
            <w:r>
              <w:t>Defer offline/editor thumbnail baking until it blocks content readability or a later production-art pass.</w:t>
            </w:r>
          </w:p>
        </w:tc>
      </w:tr>
      <w:tr>
        <w:tc>
          <w:tcPr>
            <w:tcW w:type="dxa" w:w="3264"/>
            <w:vAlign w:val="top"/>
            <w:tcMar>
              <w:top w:w="90" w:type="dxa"/>
              <w:start w:w="130" w:type="dxa"/>
              <w:bottom w:w="90" w:type="dxa"/>
              <w:end w:w="130" w:type="dxa"/>
            </w:tcMar>
          </w:tcPr>
          <w:p>
            <w:pPr>
              <w:spacing w:before="0" w:after="0" w:line="259" w:lineRule="auto"/>
            </w:pPr>
            <w:r>
              <w:rPr>
                <w:rFonts w:ascii="Aptos" w:hAnsi="Aptos"/>
                <w:b/>
                <w:i w:val="0"/>
                <w:color w:val="0B2545"/>
                <w:sz w:val="18"/>
              </w:rPr>
              <w:t>Footprint authoring</w:t>
            </w:r>
          </w:p>
        </w:tc>
        <w:tc>
          <w:tcPr>
            <w:tcW w:type="dxa" w:w="3264"/>
            <w:vAlign w:val="center"/>
            <w:tcMar>
              <w:top w:w="90" w:type="dxa"/>
              <w:start w:w="130" w:type="dxa"/>
              <w:bottom w:w="90" w:type="dxa"/>
              <w:end w:w="130" w:type="dxa"/>
            </w:tcMar>
          </w:tcPr>
          <w:p>
            <w:r>
              <w:t>Completed for the representative catalogue: 42/42 canonical scale approved, 40/42 storage pose approved, 40/42 Footprints approved/current. Gloves and Pants remain deliberately blocked.</w:t>
            </w:r>
          </w:p>
        </w:tc>
        <w:tc>
          <w:tcPr>
            <w:tcW w:type="dxa" w:w="3264"/>
            <w:vAlign w:val="center"/>
            <w:tcMar>
              <w:top w:w="90" w:type="dxa"/>
              <w:start w:w="130" w:type="dxa"/>
              <w:bottom w:w="90" w:type="dxa"/>
              <w:end w:w="130" w:type="dxa"/>
            </w:tcMar>
          </w:tcPr>
          <w:p>
            <w:r>
              <w:t>Maintain the dependency chain Scale -&gt; Storage Pose -&gt; Footprint -&gt; Stack Role -&gt; Auto Group as content expands.</w:t>
            </w:r>
          </w:p>
        </w:tc>
      </w:tr>
      <w:tr>
        <w:tc>
          <w:tcPr>
            <w:tcW w:type="dxa" w:w="3264"/>
            <w:vAlign w:val="top"/>
            <w:tcMar>
              <w:top w:w="90" w:type="dxa"/>
              <w:start w:w="130" w:type="dxa"/>
              <w:bottom w:w="90" w:type="dxa"/>
              <w:end w:w="130" w:type="dxa"/>
            </w:tcMar>
          </w:tcPr>
          <w:p>
            <w:pPr>
              <w:spacing w:before="0" w:after="0" w:line="259" w:lineRule="auto"/>
            </w:pPr>
            <w:r>
              <w:rPr>
                <w:rFonts w:ascii="Aptos" w:hAnsi="Aptos"/>
                <w:b/>
                <w:i w:val="0"/>
                <w:color w:val="0B2545"/>
                <w:sz w:val="18"/>
              </w:rPr>
              <w:t>Full game systems</w:t>
            </w:r>
          </w:p>
        </w:tc>
        <w:tc>
          <w:tcPr>
            <w:tcW w:type="dxa" w:w="3264"/>
            <w:vAlign w:val="center"/>
            <w:tcMar>
              <w:top w:w="90" w:type="dxa"/>
              <w:start w:w="130" w:type="dxa"/>
              <w:bottom w:w="90" w:type="dxa"/>
              <w:end w:w="130" w:type="dxa"/>
            </w:tcMar>
          </w:tcPr>
          <w:p>
            <w:pPr/>
            <w:r/>
            <w:r>
              <w:t>Request cadence, Medical, Bunker Ops, contamination, save integrity, and expedition balance remain GDD-level validation domains.</w:t>
            </w:r>
          </w:p>
        </w:tc>
        <w:tc>
          <w:tcPr>
            <w:tcW w:type="dxa" w:w="3264"/>
            <w:vAlign w:val="center"/>
            <w:tcMar>
              <w:top w:w="90" w:type="dxa"/>
              <w:start w:w="130" w:type="dxa"/>
              <w:bottom w:w="90" w:type="dxa"/>
              <w:end w:w="130" w:type="dxa"/>
            </w:tcMar>
          </w:tcPr>
          <w:p>
            <w:pPr/>
            <w:r/>
            <w:r>
              <w:t>Do not infer their readiness from storage work; introduce them only after the representative interaction/content stress slice is complete.</w:t>
            </w:r>
          </w:p>
        </w:tc>
      </w:tr>
      <w:tr>
        <w:tc>
          <w:tcPr>
            <w:tcW w:type="dxa" w:w="3264"/>
            <w:vAlign w:val="center"/>
          </w:tcPr>
          <w:p>
            <w:pPr/>
            <w:r/>
            <w:r>
              <w:t>Local AI / Godot integration</w:t>
            </w:r>
          </w:p>
        </w:tc>
        <w:tc>
          <w:tcPr>
            <w:tcW w:type="dxa" w:w="3264"/>
            <w:vAlign w:val="center"/>
          </w:tcPr>
          <w:p>
            <w:pPr/>
            <w:r/>
            <w:r>
              <w:t>Remote repo-only workflows cannot inspect ignored binary assets under assets/ or Godot import state reliably.</w:t>
            </w:r>
          </w:p>
        </w:tc>
        <w:tc>
          <w:tcPr>
            <w:tcW w:type="dxa" w:w="3264"/>
            <w:vAlign w:val="center"/>
          </w:tcPr>
          <w:p>
            <w:pPr/>
            <w:r/>
            <w:r>
              <w:t>Bootstrap a local ChatGPT/Codex session with the GDD + Prototype v0.2, then establish direct repo/Godot access (filesystem/CLI/MCP as appropriate) before building mesh-bounds and catalogue tooling.</w:t>
            </w:r>
          </w:p>
        </w:tc>
      </w:tr>
      <w:tr>
        <w:tc>
          <w:tcPr>
            <w:tcW w:type="dxa" w:w="3264"/>
          </w:tcPr>
          <w:p>
            <w:r>
              <w:t>Deterministic support stacking</w:t>
            </w:r>
          </w:p>
        </w:tc>
        <w:tc>
          <w:tcPr>
            <w:tcW w:type="dxa" w:w="3264"/>
          </w:tcPr>
          <w:p>
            <w:r>
              <w:t>Validated in the representative slice: authored support roles, strict auto groups, stack-first placement, smart insertion, auto-only base promotion, 95% headroom, visible-member retrieval, deterministic compression, and reservation shrink/expand.</w:t>
            </w:r>
          </w:p>
        </w:tc>
        <w:tc>
          <w:tcPr>
            <w:tcW w:type="dxa" w:w="3264"/>
          </w:tcPr>
          <w:p>
            <w:r>
              <w:t>Broader catalogue testing must challenge group predictability, mixed-stack behavior, thin-item targeting, extreme footprints, clearance boundaries, and visually awkward combinations.</w:t>
            </w:r>
          </w:p>
        </w:tc>
      </w:tr>
      <w:tr>
        <w:tc>
          <w:tcPr>
            <w:tcW w:type="dxa" w:w="3264"/>
          </w:tcPr>
          <w:p>
            <w:r>
              <w:t>Human validation handoffs</w:t>
            </w:r>
          </w:p>
        </w:tc>
        <w:tc>
          <w:tcPr>
            <w:tcW w:type="dxa" w:w="3264"/>
          </w:tcPr>
          <w:p>
            <w:r>
              <w:t>A repo-local /docs/testing playtest handoff is now the standard delivery whenever player-facing evidence is required. Evidence burden scales with the scope/impact of the change.</w:t>
            </w:r>
          </w:p>
        </w:tc>
        <w:tc>
          <w:tcPr>
            <w:tcW w:type="dxa" w:w="3264"/>
          </w:tcPr>
          <w:p>
            <w:r>
              <w:t>Continue distinguishing automated correctness from human visual/UX evidence; architectural gates require explicit promote/revise/reject questions.</w:t>
            </w:r>
          </w:p>
        </w:tc>
      </w:tr>
    </w:tbl>
    <w:p>
      <w:pPr>
        <w:spacing w:after="40"/>
      </w:pPr>
    </w:p>
    <w:p>
      <w:pPr>
        <w:pStyle w:val="Heading1"/>
        <w:keepNext/>
        <w:spacing w:before="360" w:after="200" w:line="288" w:lineRule="auto"/>
      </w:pPr>
      <w:r>
        <w:rPr>
          <w:b w:val="0"/>
          <w:i w:val="0"/>
        </w:rPr>
        <w:t>8. v0.2 recommended next prototype slice (historical checkpoint)</w:t>
      </w:r>
    </w:p>
    <w:p>
      <w:pPr/>
      <w:r>
        <w:rPr>
          <w:b w:val="0"/>
          <w:i w:val="0"/>
        </w:rPr>
        <w:t>This slice has now been substantially completed or superseded. The mesh-bounds audit, persistent catalogue, pose/Footprint review, representative-content test, and stacking gate all progressed after v0.2. Section 13 records the current next slice.</w:t>
      </w:r>
    </w:p>
    <w:p>
      <w:pPr>
        <w:pStyle w:val="ListNumber"/>
        <w:spacing w:before="0" w:after="80" w:line="276" w:lineRule="auto"/>
      </w:pPr>
      <w:r>
        <w:t>Establish a local ChatGPT/Codex development session with direct access to the working repository and Godot project, using GDD v0.3 and Prototype Findings v0.2 as the context bootstrap. Prefer local filesystem/CLI access and add MCP-style Godot integration only where it materially improves inspection or execution.</w:t>
      </w:r>
    </w:p>
    <w:p>
      <w:pPr>
        <w:pStyle w:val="ListNumber"/>
        <w:spacing w:before="0" w:after="80" w:line="276" w:lineRule="auto"/>
      </w:pPr>
      <w:r>
        <w:t>Build a temporary bounds/catalogue utility that enumerates loot assets actually used in main.tscn, measures aggregate imported mesh bounds in Godot, records source path/category, and produces raw Footprint suggestions from the current storage-cell scale.</w:t>
      </w:r>
    </w:p>
    <w:p>
      <w:pPr>
        <w:pStyle w:val="ListNumber"/>
        <w:spacing w:before="0" w:after="80" w:line="276" w:lineRule="auto"/>
      </w:pPr>
      <w:r>
        <w:t>Review the suggestions rather than accepting them blindly. Apply storage-oriented rotation, safety padding, and authored overrides for long or irregular items such as rifles, paired boots, clothing, firewood, fuel containers, helmets, electronics, and the pig carcass.</w:t>
      </w:r>
    </w:p>
    <w:p>
      <w:pPr>
        <w:pStyle w:val="ListNumber"/>
        <w:spacing w:before="0" w:after="80" w:line="276" w:lineRule="auto"/>
      </w:pPr>
      <w:r>
        <w:t>Bring the representative prototype catalogue to at least two items in every Storage Category and roughly 20-30+ meaningful unique assets. Normalize source scale before Footprint authoring and preserve license/source metadata for externally sourced production candidates.</w:t>
      </w:r>
    </w:p>
    <w:p>
      <w:pPr>
        <w:pStyle w:val="ListNumber"/>
        <w:spacing w:before="0" w:after="80" w:line="276" w:lineRule="auto"/>
      </w:pPr>
      <w:r>
        <w:t>Run repeated mixed-basket and dense-shelf stress tests using zone-auto placement and hold-E throughput. Observe packing fragmentation, automatic 90-degree rotation, General/unassigned fallback, zone saturation, retrieval visibility, category recognition, and whether auto-placement remains trustworthy with all categories represented.</w:t>
      </w:r>
    </w:p>
    <w:p>
      <w:pPr>
        <w:pStyle w:val="ListNumber"/>
        <w:spacing w:before="0" w:after="80" w:line="276" w:lineRule="auto"/>
      </w:pPr>
      <w:r>
        <w:t>Only after representative-content testing, decide whether ordinary open shelving should default to shallow/one-depth usable surfaces with vertical stacking, whether retrieval needs shelf-cell assistance, and whether crouch adds enough value to justify implementation. Do not spend prototype time on further zone-editor polish unless it blocks testing.</w:t>
      </w:r>
    </w:p>
    <w:tbl>
      <w:tblPr>
        <w:tblStyle w:val="TableGrid"/>
        <w:tblW w:type="auto" w:w="0"/>
        <w:jc w:val="left"/>
        <w:tblLook w:firstColumn="1" w:firstRow="1" w:lastColumn="0" w:lastRow="0" w:noHBand="0" w:noVBand="1" w:val="04A0"/>
      </w:tblPr>
      <w:tblGrid>
        <w:gridCol w:w="9792"/>
      </w:tblGrid>
      <w:tr>
        <w:tc>
          <w:tcPr>
            <w:tcW w:type="dxa" w:w="9792"/>
            <w:shd w:fill="DDEFE2"/>
            <w:tcMar>
              <w:top w:w="90" w:type="dxa"/>
              <w:start w:w="130" w:type="dxa"/>
              <w:bottom w:w="90" w:type="dxa"/>
              <w:end w:w="130" w:type="dxa"/>
            </w:tcMar>
            <w:vAlign w:val="center"/>
          </w:tcPr>
          <w:p>
            <w:pPr/>
            <w:r/>
            <w:r>
              <w:t>DECISION CHECKPOINT  The storage-policy hypothesis has now passed its first dedicated test: category zones plus automatic placement are materially faster and more legible than precision manual placement, while manual mode preserves direct control. The next question is whether that result survives representative content: dozens of categories/shapes, geometry-informed Footprints, dense shelves, mixed baskets, and retrieval under clutter.</w:t>
            </w:r>
          </w:p>
        </w:tc>
      </w:tr>
    </w:tbl>
    <w:p>
      <w:pPr>
        <w:spacing w:after="20"/>
      </w:pPr>
    </w:p>
    <w:p>
      <w:pPr>
        <w:pStyle w:val="Heading1"/>
      </w:pPr>
      <w:r>
        <w:rPr>
          <w:b w:val="0"/>
          <w:i w:val="0"/>
        </w:rPr>
        <w:t>9. v0.2 implementation snapshot (historical)</w:t>
      </w:r>
    </w:p>
    <w:p>
      <w:pPr>
        <w:pStyle w:val="Heading2"/>
      </w:pPr>
      <w:r>
        <w:t>Current interaction grammar</w:t>
      </w:r>
    </w:p>
    <w:p>
      <w:pPr>
        <w:pStyle w:val="ListBullet"/>
      </w:pPr>
      <w:r>
        <w:t>Left Mouse Button = TAKE: select / pick up / retrieve the item under the reticle.</w:t>
      </w:r>
    </w:p>
    <w:p>
      <w:pPr>
        <w:pStyle w:val="ListBullet"/>
      </w:pPr>
      <w:r>
        <w:t>E = PUT: store / place and, by design direction, submit to facilities. In zone-auto mode E uses storage policy; holding E repeats after a short delay.</w:t>
      </w:r>
    </w:p>
    <w:p>
      <w:pPr>
        <w:pStyle w:val="ListBullet"/>
      </w:pPr>
      <w:r>
        <w:rPr>
          <w:b w:val="0"/>
          <w:i w:val="0"/>
        </w:rPr>
        <w:t>M toggles manual placement. At the v0.2 checkpoint manual mode ignored category zones; later evidence refined this so manual mode may ignore category restrictions but cannot use deliberately disabled/erased cells.</w:t>
      </w:r>
    </w:p>
    <w:p>
      <w:pPr>
        <w:pStyle w:val="ListBullet"/>
      </w:pPr>
      <w:r>
        <w:t>O opens the zoning editor explicitly. First E on an untouched auto-mode shelf opens zoning once and initializes that surface to General 100%.</w:t>
      </w:r>
    </w:p>
    <w:p>
      <w:pPr>
        <w:pStyle w:val="ListBullet"/>
      </w:pPr>
      <w:r>
        <w:t>Zoning edits one shelf surface at a time through a paused flat UI. Rectangles are snapped to hidden cells; the player sees category colors and percentages, not cell counts.</w:t>
      </w:r>
    </w:p>
    <w:p>
      <w:pPr>
        <w:pStyle w:val="Heading2"/>
      </w:pPr>
      <w:r>
        <w:t>Current production/content snapshot</w:t>
      </w:r>
    </w:p>
    <w:p>
      <w:pPr>
        <w:pStyle w:val="ListBullet"/>
      </w:pPr>
      <w:r>
        <w:rPr>
          <w:b w:val="0"/>
          <w:i w:val="0"/>
        </w:rPr>
        <w:t>The v0.2 scene contained dozens of candidate loot props across Food, Hydration, Medical, Weapons, Protection, Fuel, Morale, and Electronics. General/miscellaneous was used informally at that checkpoint; later authoring clarified that General is a zone type only, never an item Storage Category.</w:t>
      </w:r>
    </w:p>
    <w:p>
      <w:pPr>
        <w:pStyle w:val="ListBullet"/>
      </w:pPr>
      <w:r>
        <w:t>The repository intentionally ignores the binary assets/ folder and .godot data. This makes remote repository inspection insufficient for mesh-bound and import-state tooling, motivating a local ChatGPT/Codex session with direct project access.</w:t>
      </w:r>
    </w:p>
    <w:p>
      <w:pPr>
        <w:pStyle w:val="ListBullet"/>
      </w:pPr>
      <w:r>
        <w:t>Source assets should be normalized before production use: plausible real-world dimensions, root scale near 1,1,1, stable orientation, and a retained source/license record. Skeletal clothing should normally be reposed/frozen into static loot unless runtime deformation is genuinely required.</w:t>
      </w:r>
    </w:p>
    <w:p>
      <w:pPr>
        <w:pStyle w:val="Heading2"/>
      </w:pPr>
      <w:r>
        <w:t>Frozen prototype decisions for the next slice</w:t>
      </w:r>
    </w:p>
    <w:p>
      <w:pPr>
        <w:pStyle w:val="ListBullet"/>
      </w:pPr>
      <w:r>
        <w:t>Do not add new storage interaction mechanics while footprint/content stress testing is underway.</w:t>
      </w:r>
    </w:p>
    <w:p>
      <w:pPr>
        <w:pStyle w:val="ListBullet"/>
      </w:pPr>
      <w:r>
        <w:t>Do not spend prototype time polishing the zoning editor, held-item presentation, or HUD thumbnails unless a defect blocks the stress test.</w:t>
      </w:r>
    </w:p>
    <w:p>
      <w:pPr>
        <w:pStyle w:val="ListBullet"/>
      </w:pPr>
      <w:r>
        <w:t>Zone-auto placement is the default test condition. Manual placement is a comparison/override mode, not the baseline throughput workflow.</w:t>
      </w:r>
    </w:p>
    <w:p>
      <w:pPr>
        <w:pStyle w:val="ListBullet"/>
      </w:pPr>
      <w:r>
        <w:rPr>
          <w:b w:val="0"/>
          <w:i w:val="0"/>
        </w:rPr>
        <w:t>One-depth shelving, crouch, specialized racks, and retrieval proxies remained later validation items at v0.2. Vertical stacking has since passed its dedicated prototype gate.</w:t>
      </w:r>
    </w:p>
    <w:p>
      <w:pPr>
        <w:pStyle w:val="Heading1"/>
      </w:pPr>
      <w:r>
        <w:rPr>
          <w:b w:val="0"/>
          <w:i w:val="0"/>
        </w:rPr>
        <w:t>10. Representative-content and scalable authoring findings</w:t>
      </w:r>
    </w:p>
    <w:p>
      <w:pPr>
        <w:pStyle w:val="Heading2"/>
      </w:pPr>
      <w:r>
        <w:rPr>
          <w:b w:val="0"/>
          <w:i w:val="0"/>
        </w:rPr>
        <w:t>10.1 Persistent catalogue and audit pipeline</w:t>
      </w:r>
    </w:p>
    <w:p>
      <w:pPr/>
      <w:r>
        <w:rPr>
          <w:b w:val="0"/>
          <w:i w:val="0"/>
        </w:rPr>
        <w:t>The prototype now uses a persistent Godot-native item catalogue rather than hard-coded prototype path branches. Forty-two unique loot definitions use opaque stable item IDs independent of filename and display name. A reusable schema-1.3 loot audit measures imported contributor bounds, canonical and posed geometry, raw Footprint suggestions, transform health, category-folder hints, and authoring anomalies without treating folder placement as gameplay authority.</w:t>
      </w:r>
    </w:p>
    <w:p>
      <w:pPr/>
      <w:r>
        <w:rPr>
          <w:b w:val="0"/>
          <w:i w:val="0"/>
        </w:rPr>
        <w:t>A durable item-authoring review manifest tracks scale, storage pose, Footprint, Stack Role, and Auto Group decisions separately from gameplay data. Normal audits remain read-only; explicit seed/sync/apply tools change durable review state. This separation proved scalable and prevents tooling from silently turning suggestions into design authority.</w:t>
      </w:r>
    </w:p>
    <w:p>
      <w:pPr>
        <w:pStyle w:val="Heading2"/>
      </w:pPr>
      <w:r>
        <w:rPr>
          <w:b w:val="0"/>
          <w:i w:val="0"/>
        </w:rPr>
        <w:t>10.2 Scale, storage pose, and Footprint review</w:t>
      </w:r>
    </w:p>
    <w:p>
      <w:pPr>
        <w:pStyle w:val="ListBullet"/>
      </w:pPr>
      <w:r>
        <w:rPr>
          <w:b w:val="0"/>
          <w:i w:val="0"/>
        </w:rPr>
        <w:t>Canonical scale review is complete: 42/42 items are approved/current. Marketplace/source scale is not gameplay data.</w:t>
      </w:r>
    </w:p>
    <w:p>
      <w:pPr>
        <w:pStyle w:val="ListBullet"/>
      </w:pPr>
      <w:r>
        <w:rPr>
          <w:b w:val="0"/>
          <w:i w:val="0"/>
        </w:rPr>
        <w:t>Storage pose is approved for 40/42 items. Gloves and Pants remain blocked because their current source meshes do not yet provide acceptable ordinary-shelf poses.</w:t>
      </w:r>
    </w:p>
    <w:p>
      <w:pPr>
        <w:pStyle w:val="ListBullet"/>
      </w:pPr>
      <w:r>
        <w:rPr>
          <w:b w:val="0"/>
          <w:i w:val="0"/>
        </w:rPr>
        <w:t>Footprint is approved/current for the same 40/42 items: 28 geometry-approved and 12 deliberate overrides at the close of the Footprint gate.</w:t>
      </w:r>
    </w:p>
    <w:p>
      <w:pPr>
        <w:pStyle w:val="ListBullet"/>
      </w:pPr>
      <w:r>
        <w:rPr>
          <w:b w:val="0"/>
          <w:i w:val="0"/>
        </w:rPr>
        <w:t>The storage model is a 2D surface reservation pretending to be 3D, not volumetric voxel packing. Bulk, Footprint, posed height, and stack support are separate authored concerns.</w:t>
      </w:r>
    </w:p>
    <w:p>
      <w:pPr/>
      <w:r>
        <w:rPr>
          <w:b w:val="0"/>
          <w:i w:val="0"/>
        </w:rPr>
        <w:t>The successful dependency order is now explicit: Scale -&gt; Storage Pose -&gt; Footprint -&gt; Stack Role -&gt; Auto Group. A downstream approval becomes stale when a geometry-dependent upstream decision changes.</w:t>
      </w:r>
    </w:p>
    <w:p>
      <w:pPr>
        <w:pStyle w:val="Heading2"/>
      </w:pPr>
      <w:r>
        <w:rPr>
          <w:b w:val="0"/>
          <w:i w:val="0"/>
        </w:rPr>
        <w:t>10.3 Stack Role authoring progress</w:t>
      </w:r>
    </w:p>
    <w:p>
      <w:pPr/>
      <w:r>
        <w:rPr>
          <w:b w:val="0"/>
          <w:i w:val="0"/>
        </w:rPr>
        <w:t>Stack Role is judged against the current approved stored pose and centered runtime model, not against abstract real-world possibility. The authoring rubric asks separately whether an item can plausibly rest on a sufficiently large support and whether it can plausibly support a smaller centered item. The representative eligible catalogue is complete: 40/40 Stack Roles are approved/current; Gloves and Pants remain blocked.</w:t>
      </w:r>
    </w:p>
    <w:p>
      <w:pPr/>
      <w:r>
        <w:rPr>
          <w:b w:val="0"/>
          <w:i w:val="0"/>
        </w:rPr>
        <w:t>Pose choices may intentionally consider downstream stack usefulness, visual clarity, and physical credibility, but pose is still approved before Stack Role. The hammer/rifle review demonstrated why: a different pose can materially change whether stacking reads as physically plausible.</w:t>
      </w:r>
    </w:p>
    <w:p>
      <w:pPr>
        <w:pStyle w:val="Heading1"/>
      </w:pPr>
      <w:r>
        <w:rPr>
          <w:b w:val="0"/>
          <w:i w:val="0"/>
        </w:rPr>
        <w:t>11. Storage-zone semantic revision</w:t>
      </w:r>
    </w:p>
    <w:p>
      <w:pPr/>
      <w:r>
        <w:rPr>
          <w:b w:val="0"/>
          <w:i w:val="0"/>
        </w:rPr>
        <w:t>The zoning model was refined after v0.2. Item Storage Category is separate from Utility and has exactly eight values: Food, Hydration, Medical, Weapons, Protection, Fuel, Morale, and Electronics. General is not an item category; it is a universal storage-zone type.</w:t>
      </w:r>
    </w:p>
    <w:p>
      <w:pPr>
        <w:pStyle w:val="ListBullet"/>
      </w:pPr>
      <w:r>
        <w:rPr>
          <w:b w:val="0"/>
          <w:i w:val="0"/>
        </w:rPr>
        <w:t>A zoned cell is either one specific category, General, or blank/erased. Blank/erased means disabled storage and accepts no item.</w:t>
      </w:r>
    </w:p>
    <w:p>
      <w:pPr>
        <w:pStyle w:val="ListBullet"/>
      </w:pPr>
      <w:r>
        <w:rPr>
          <w:b w:val="0"/>
          <w:i w:val="0"/>
        </w:rPr>
        <w:t>Automatic placement searches the matching specific category, then General, and stops. It never uses a mismatched specific zone or disabled cell.</w:t>
      </w:r>
    </w:p>
    <w:p>
      <w:pPr>
        <w:pStyle w:val="ListBullet"/>
      </w:pPr>
      <w:r>
        <w:rPr>
          <w:b w:val="0"/>
          <w:i w:val="0"/>
        </w:rPr>
        <w:t>Within an automatic tier, compatible stacks are preferred before empty placement.</w:t>
      </w:r>
    </w:p>
    <w:p>
      <w:pPr>
        <w:pStyle w:val="ListBullet"/>
      </w:pPr>
      <w:r>
        <w:rPr>
          <w:b w:val="0"/>
          <w:i w:val="0"/>
        </w:rPr>
        <w:t>Manual placement may ignore category mismatch, but deliberately disabled/erased cells remain unavailable.</w:t>
      </w:r>
    </w:p>
    <w:p>
      <w:pPr>
        <w:pStyle w:val="ListBullet"/>
      </w:pPr>
      <w:r>
        <w:rPr>
          <w:b w:val="0"/>
          <w:i w:val="0"/>
        </w:rPr>
        <w:t>Untouched surfaces initialize to General 100% only when the player first enters zoning. Later clearing does not restore General implicitly.</w:t>
      </w:r>
    </w:p>
    <w:p>
      <w:pPr>
        <w:pStyle w:val="ListBullet"/>
      </w:pPr>
      <w:r>
        <w:rPr>
          <w:b w:val="0"/>
          <w:i w:val="0"/>
        </w:rPr>
        <w:t>Player-authored labels/surface names remain identification aids; Storage Zones are separate mechanical placement policy.</w:t>
      </w:r>
    </w:p>
    <w:p>
      <w:pPr>
        <w:pStyle w:val="ListBullet"/>
      </w:pPr>
      <w:r>
        <w:rPr>
          <w:b w:val="0"/>
          <w:i w:val="0"/>
        </w:rPr>
        <w:t>The paused zoning editor is an intentional exception to the ordinary no-pause interface rule because it is modal and cannot advance world state or create a timing exploit.</w:t>
      </w:r>
    </w:p>
    <w:p>
      <w:pPr>
        <w:pStyle w:val="Heading1"/>
      </w:pPr>
      <w:r>
        <w:rPr>
          <w:b w:val="0"/>
          <w:i w:val="0"/>
        </w:rPr>
        <w:t>12. Deterministic support-stacking findings</w:t>
      </w:r>
    </w:p>
    <w:p>
      <w:pPr>
        <w:pStyle w:val="Heading2"/>
      </w:pPr>
      <w:r>
        <w:rPr>
          <w:b w:val="0"/>
          <w:i w:val="0"/>
        </w:rPr>
        <w:t>12.1 Validated stack model</w:t>
      </w:r>
    </w:p>
    <w:p>
      <w:pPr/>
      <w:r>
        <w:rPr>
          <w:b w:val="0"/>
          <w:i w:val="0"/>
        </w:rPr>
        <w:t>The dedicated stacking gate validated a deterministic single-column support model without rigid-body physics. A stack is one base 2D reservation plus an ordered vertical list of physical WorldItems. Each item authors whether it may sit on another support, whether it may support another item, and one optional strict automatic compatibility group.</w:t>
      </w:r>
    </w:p>
    <w:p>
      <w:pPr>
        <w:pStyle w:val="ListBullet"/>
      </w:pPr>
      <w:r>
        <w:rPr>
          <w:b w:val="0"/>
          <w:i w:val="0"/>
        </w:rPr>
        <w:t>Automatic placement is stack-first within the active zone tier. Compatible group members may smart-insert at the highest valid position without reordering or rotating existing members.</w:t>
      </w:r>
    </w:p>
    <w:p>
      <w:pPr>
        <w:pStyle w:val="ListBullet"/>
      </w:pPr>
      <w:r>
        <w:rPr>
          <w:b w:val="0"/>
          <w:i w:val="0"/>
        </w:rPr>
        <w:t>Automatic base promotion is validated: a larger compatible incoming item may become the new base if the expanded reservation is valid. Manual under-base insertion remains deferred.</w:t>
      </w:r>
    </w:p>
    <w:p>
      <w:pPr>
        <w:pStyle w:val="ListBullet"/>
      </w:pPr>
      <w:r>
        <w:rPr>
          <w:b w:val="0"/>
          <w:i w:val="0"/>
        </w:rPr>
        <w:t>Manual placement can create broader mixed stacks on the current top when support role, Footprint, orientation, and clearance permit; this is an intentional min-maxing tool rather than the default workflow.</w:t>
      </w:r>
    </w:p>
    <w:p>
      <w:pPr>
        <w:pStyle w:val="ListBullet"/>
      </w:pPr>
      <w:r>
        <w:rPr>
          <w:b w:val="0"/>
          <w:i w:val="0"/>
        </w:rPr>
        <w:t>Any visible member may be retrieved. Top removal leaves lower items untouched; middle/base removal recompresses deterministically without falling physics, and base removal shrinks the reservation.</w:t>
      </w:r>
    </w:p>
    <w:p>
      <w:pPr>
        <w:pStyle w:val="ListBullet"/>
      </w:pPr>
      <w:r>
        <w:rPr>
          <w:b w:val="0"/>
          <w:i w:val="0"/>
        </w:rPr>
        <w:t>Stack height uses a centralized 95% usable-height rule. Closed shelf levels derive physical clearance from adjacent authored shelf planes and Y scale; open-top levels use explicit per-instance world-context caps.</w:t>
      </w:r>
    </w:p>
    <w:p>
      <w:pPr>
        <w:pStyle w:val="Heading2"/>
      </w:pPr>
      <w:r>
        <w:rPr>
          <w:b w:val="0"/>
          <w:i w:val="0"/>
        </w:rPr>
        <w:t>12.2 Human playtest conclusions</w:t>
      </w:r>
    </w:p>
    <w:p>
      <w:pPr/>
      <w:r>
        <w:rPr>
          <w:b w:val="0"/>
          <w:i w:val="0"/>
        </w:rPr>
        <w:t>Playtesting found vertical stacks visually convincing rather than glued, floating, or chaotic. Book/CD and can stacks read naturally; stack-first auto-placement did not feel heavy-handed; smart insertion felt helpful; specific-member retrieval and compression felt smooth; and the system materially improved storage density while preserving visibility and item variation.</w:t>
      </w:r>
    </w:p>
    <w:p>
      <w:pPr/>
      <w:r>
        <w:rPr>
          <w:b w:val="0"/>
          <w:i w:val="0"/>
        </w:rPr>
        <w:t>Manual mixed stacking created a useful effort-for-density tradeoff. Players can exploit spare headroom or unusual shapes for deliberate combinations without making mixed stacks the expected default. This adds a storage-efficiency lever: neat stackable forms can become valuable because of space ROI, while high-Utility irregular items may remain intentionally awkward.</w:t>
      </w:r>
    </w:p>
    <w:p>
      <w:pPr>
        <w:pStyle w:val="Heading2"/>
      </w:pPr>
      <w:r>
        <w:rPr>
          <w:b w:val="0"/>
          <w:i w:val="0"/>
        </w:rPr>
        <w:t>12.3 Stabilization findings and open questions</w:t>
      </w:r>
    </w:p>
    <w:p>
      <w:pPr/>
      <w:r>
        <w:rPr>
          <w:b w:val="0"/>
          <w:i w:val="0"/>
        </w:rPr>
        <w:t>A base-removal defect exposed a critical ownership invariant: when stack ownership changes, stack key, reservation owner, occupied-cell owner, lookup mappings, and surviving WorldItem metadata must transition atomically. The shared root cause was fixed and manually revalidated. Manual targeted-stack orientation now tries the player's preferred orientation and then the allowed 90-degree alternative without mutating persistent R preference.</w:t>
      </w:r>
    </w:p>
    <w:p>
      <w:pPr>
        <w:pStyle w:val="ListBullet"/>
      </w:pPr>
      <w:r>
        <w:rPr>
          <w:b w:val="0"/>
          <w:i w:val="0"/>
        </w:rPr>
        <w:t>Mixed/non-auto-coherent stacks currently reject automatic placement and smart insertion. The behavior is internally consistent but requires broader catalogue playtesting for player expectation.</w:t>
      </w:r>
    </w:p>
    <w:p>
      <w:pPr>
        <w:pStyle w:val="ListBullet"/>
      </w:pPr>
      <w:r>
        <w:rPr>
          <w:b w:val="0"/>
          <w:i w:val="0"/>
        </w:rPr>
        <w:t>Manual under-base insertion remains deferred pending larger-scale playtesting.</w:t>
      </w:r>
    </w:p>
    <w:p>
      <w:pPr>
        <w:pStyle w:val="ListBullet"/>
      </w:pPr>
      <w:r>
        <w:rPr>
          <w:b w:val="0"/>
          <w:i w:val="0"/>
        </w:rPr>
        <w:t>Multi-column/top-surface packing (for example many 1x1 items on one 5x5 support) is a separate architecture and is not implied by the validated linear-stack model.</w:t>
      </w:r>
    </w:p>
    <w:p>
      <w:pPr>
        <w:pStyle w:val="ListBullet"/>
      </w:pPr>
      <w:r>
        <w:rPr>
          <w:b w:val="0"/>
          <w:i w:val="0"/>
        </w:rPr>
        <w:t>Very thin items may create targeting/occlusion problems; this is primarily a content/model selection issue and must be tested when such items enter the catalogue.</w:t>
      </w:r>
    </w:p>
    <w:p>
      <w:pPr>
        <w:pStyle w:val="Heading1"/>
      </w:pPr>
      <w:r>
        <w:rPr>
          <w:b w:val="0"/>
          <w:i w:val="0"/>
        </w:rPr>
        <w:t>13. Validation delivery standard and current next gate</w:t>
      </w:r>
    </w:p>
    <w:p>
      <w:pPr>
        <w:pStyle w:val="Heading2"/>
      </w:pPr>
      <w:r>
        <w:rPr>
          <w:b w:val="0"/>
          <w:i w:val="0"/>
        </w:rPr>
        <w:t>13.1 Human validation handoff as a delivery artifact</w:t>
      </w:r>
    </w:p>
    <w:p>
      <w:pPr/>
      <w:r>
        <w:rPr>
          <w:b w:val="0"/>
          <w:i w:val="0"/>
        </w:rPr>
        <w:t>The deterministic-support-stacking playtest document established a useful standard: when an update needs player-facing evidence, implementation delivery should include a reproducible /docs/testing handoff. The evidence burden scales with scope: narrow bug fixes need a short reproduction/fixed-path/regression check, while architectural gameplay gates require setup, isolated scenarios, expected observations, negative cases, regressions, and explicit promote/revise/reject questions.</w:t>
      </w:r>
    </w:p>
    <w:p>
      <w:pPr/>
      <w:r>
        <w:rPr>
          <w:b w:val="0"/>
          <w:i w:val="0"/>
        </w:rPr>
        <w:t>Automated correctness and human playability evidence must remain distinct. The architecture/planning pass defines high-level evidence goals; Codex translates them into repo-specific steps and may add implementation-specific cases.</w:t>
      </w:r>
    </w:p>
    <w:p>
      <w:pPr>
        <w:pStyle w:val="Heading2"/>
      </w:pPr>
      <w:r>
        <w:rPr>
          <w:b w:val="0"/>
          <w:i w:val="0"/>
        </w:rPr>
        <w:t>13.2 Current readiness and next slice</w:t>
      </w:r>
    </w:p>
    <w:p>
      <w:pPr>
        <w:pStyle w:val="ListBullet"/>
      </w:pPr>
      <w:r>
        <w:rPr>
          <w:b w:val="0"/>
          <w:i w:val="0"/>
        </w:rPr>
        <w:t>Scale: 42/42 approved/current.</w:t>
      </w:r>
    </w:p>
    <w:p>
      <w:pPr>
        <w:pStyle w:val="ListBullet"/>
      </w:pPr>
      <w:r>
        <w:rPr>
          <w:b w:val="0"/>
          <w:i w:val="0"/>
        </w:rPr>
        <w:t>Storage Pose: 40/42 approved/current; Gloves and Pants blocked.</w:t>
      </w:r>
    </w:p>
    <w:p>
      <w:pPr>
        <w:pStyle w:val="ListBullet"/>
      </w:pPr>
      <w:r>
        <w:rPr>
          <w:b w:val="0"/>
          <w:i w:val="0"/>
        </w:rPr>
        <w:t>Footprint: 40/42 approved/current; Gloves and Pants blocked.</w:t>
      </w:r>
    </w:p>
    <w:p>
      <w:pPr>
        <w:pStyle w:val="ListBullet"/>
      </w:pPr>
      <w:r>
        <w:rPr>
          <w:b w:val="0"/>
          <w:i w:val="0"/>
        </w:rPr>
        <w:t>Stack Role: 40/40 eligible approved/current; Gloves and Pants blocked.</w:t>
      </w:r>
    </w:p>
    <w:p>
      <w:pPr>
        <w:pStyle w:val="ListBullet"/>
      </w:pPr>
      <w:r>
        <w:rPr>
          <w:b w:val="0"/>
          <w:i w:val="0"/>
        </w:rPr>
        <w:t>Auto Group: 9/40 eligible approved/current at the close of Stack Role authoring; 31 await review. Four automatic compatibility classes are currently approved.</w:t>
      </w:r>
    </w:p>
    <w:p>
      <w:pPr>
        <w:pStyle w:val="ListBullet"/>
      </w:pPr>
      <w:r>
        <w:rPr>
          <w:b w:val="0"/>
          <w:i w:val="0"/>
        </w:rPr>
        <w:t>A known loot_000010 pickup defect must be fixed before formal catalogue-scale gameplay stress testing, though it does not block the Auto Group authoring pass unless that item requires an in-game escalation.</w:t>
      </w:r>
    </w:p>
    <w:p>
      <w:pPr/>
      <w:r>
        <w:rPr>
          <w:b w:val="0"/>
          <w:i w:val="0"/>
        </w:rPr>
        <w:t>Next gate: complete Auto Group authoring using a controlled registry and human-approved compatibility classes, then run a stratified boundary-focused catalogue stress test rather than exhaustive pairwise combinations. The stress test should challenge every approved group, extreme Footprints/heights, native versus rotated packing, specific zones versus General, smart insertion/base promotion, mixed manual stacks, retrieval, near-clearance limits, and visually dense cases.</w:t>
      </w:r>
    </w:p>
    <w:p>
      <w:pPr>
        <w:pStyle w:val="Heading1"/>
        <w:keepNext/>
        <w:spacing w:before="360" w:after="200" w:line="288" w:lineRule="auto"/>
      </w:pPr>
      <w:r>
        <w:rPr>
          <w:rFonts w:ascii="Aptos" w:hAnsi="Aptos"/>
          <w:b/>
          <w:i w:val="0"/>
          <w:color w:val="2E74B5"/>
          <w:sz w:val="32"/>
        </w:rPr>
        <w:t>Appendix: source boundary</w:t>
      </w:r>
    </w:p>
    <w:p>
      <w:pPr>
        <w:spacing w:before="0" w:after="120" w:line="300" w:lineRule="auto"/>
      </w:pPr>
      <w:r>
        <w:rPr>
          <w:b w:val="0"/>
          <w:i w:val="0"/>
        </w:rPr>
        <w:t>This report updates Prototype Findings v0.2 with implementation, authoring-pipeline, and playtesting work through 11 September 2026 and accompanies Sorting Apocalypse Preliminary GDD v0.4. Historical v0.2 checkpoints are retained where useful, but superseded rules are explicitly marked.</w:t>
      </w:r>
    </w:p>
    <w:p>
      <w:pPr>
        <w:spacing w:before="0" w:after="120" w:line="300" w:lineRule="auto"/>
      </w:pPr>
      <w:r>
        <w:rPr>
          <w:rFonts w:ascii="Aptos" w:hAnsi="Aptos"/>
          <w:b w:val="0"/>
          <w:i w:val="0"/>
          <w:color w:val="0B2545"/>
          <w:sz w:val="22"/>
        </w:rPr>
        <w:t>No external licensing, asset-store, engine, or support claim in this report should be read as a substitute for the relevant vendor terms or written confirmation.</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Aptos" w:hAnsi="Aptos"/>
        <w:color w:val="5C6670"/>
        <w:sz w:val="17"/>
      </w:rPr>
      <w:t xml:space="preserve">Preliminary report  |  11 September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b w:val="0"/>
        <w:i w:val="0"/>
      </w:rPr>
      <w:t>SORTING APOCALYPSE  |  PROTOTYPE FINDINGS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tos" w:hAnsi="Aptos"/>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Apocalypse - Prototype Findings v0.3</dc:title>
  <dc:subject>Technical, interaction, asset-pipeline, and playtest synthesis</dc:subject>
  <dc:creator>Sorting Apocalypse prototype documentation</dc:creator>
  <cp:keywords/>
  <dc:description>Updated through 11 September 2026</dc:description>
  <cp:lastModifiedBy/>
  <cp:revision>1</cp:revision>
  <dcterms:created xsi:type="dcterms:W3CDTF">2013-12-23T23:15:00Z</dcterms:created>
  <dcterms:modified xsi:type="dcterms:W3CDTF">2013-12-23T23:15:00Z</dcterms:modified>
  <cp:category/>
</cp:coreProperties>
</file>