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0.9 | 10 October 2026</w:t>
      </w:r>
    </w:p>
    <w:p>
      <w:pPr>
        <w:jc w:val="center"/>
      </w:pPr>
      <w:r>
        <w:t>Design basis: GDD v0.12; Prototype Findings v0.12; accepted current compact wing/Receiving geometry; promoted storage/ladder and Receiving Stage A/B; EAF1–EAF5; individually accepted C1 slices and initial manual wear.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0.9 preserves the accepted world history, spatial relationships, images and governing design principles while reconciling current Receiving construction and completed EAF4 editor authoring. GDD v0.12 owns gameplay/design/scope; Findings v0.12 records evidence. C1 remains IN PROGRESS with its initial manual wear pass human-reviewed and merged; Stage C remains future.</w:t>
      </w:r>
    </w:p>
    <w:p>
      <w:r>
        <w:t>This document governs world-building, environment architecture, composition, material/surface grammar, lighting direction and production protocol. Gameplay, storage, progression and interaction remain with the GDD and accepted records. Technical validity, approved source/use and specific human art acceptance are distinct; this revision does not promote new mechanics.</w:t>
      </w:r>
    </w:p>
    <w:p>
      <w:r>
        <w:t>Sections 29 and 31 retain the original schematics and accepted September overview unchanged as design-history/relationship references. Current accepted builder and saved geometry, including the compact October retrofit, govern working dimensions over older pixels. EAF5 remains historical proof evidence, superseded for the Receiving production wall role by P05_C02.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t>1.  Structural substrate / structural surface - concrete, cement, block, masonry, occasional brick, and exposed slabs, beams or columns with their chosen visible material. This is the room's base visual identity.</w:t>
      </w:r>
    </w:p>
    <w:p>
      <w:pPr>
        <w:spacing w:after="30"/>
        <w:ind w:left="317" w:hanging="317"/>
      </w:pPr>
      <w:r>
        <w:t>2.  Applied finish - optional, historically caused paint, tile, render, patch cement, repair field or survivor infill. It is not a mandatory extra visible coating.</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p>
      <w:pPr/>
      <w:r>
        <w:t>Choose a coherent mineral structural palette before adding finish. A room may pass its base material review with exposed structural material alone. Do not add paint, plaster, tile or contrasting rectangles simply to manufacture variation or rescue a weak structural palette.</w:t>
      </w:r>
    </w:p>
    <w:p>
      <w:pPr/>
      <w:r>
        <w:t>An applied finish needs a plausible construction, service or repair cause: an old institutional paint field, cement/render, tile at a wet or service condition, a repair field, overpainted signage or localized later construction. Receiving's accepted NO_FINISH base is a room-specific example, not a bunker-wide prohibition.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r>
        <w:t>Broad restrained tinted-opacity scalar layers can vary a repeated base material without choosing a new concrete texture for every room. They remain flat editable overlays; changes in underlying pours, joints or construction still need their own plausible history. This technique does not establish seamless mask tileability or alter substrate roughness/normal response.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p>
      <w:pPr/>
      <w:r>
        <w:t>APPROVED SOURCE/USE ≠ ACCEPTED SCENE COMPOSITION. Local dust, rust, leakage or damage needs a plausible cause, surface and orientation. Broad subtle scalar variation can also break repeated concrete/material patterns and support consistent material reuse across rooms. Its distribution can express construction and accumulated use without requiring every mark to be a tiny crack/chip or an exact microscopic placement. Keep both broad variation and local wear restrained, readable and editable.</w:t>
      </w:r>
    </w:p>
    <w:p>
      <w:pPr/>
      <w:r>
        <w:t>The completed human-accepted EAF4 workflow provides eleven standalone conventional presets with live independent dimensions, transforms and appearance, duplication and safe save/reopen. The separate sixteen-source scalar library supports flat tinted-opacity layers and approved opacity modulation; normal authoring does not require gameplay. Infrastructure, furnishings and representative lighting provide the context for localized wear, and later tuning remains ordinary room authoring.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r>
        <w:t>Neutral Calibration is the standard material and architecture review context; Receiving Target Preview is a target-context comparison. Neither defines the final fixture schedule. Review the structural/material composition in neutral light before using atmosphere, and do not turn the EAF1 WallGrazing diagnostic into production lighting direction.</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r>
        <w:t>Physical storage installation is also authored world state. The developer selects furniture, placement, dimensions, level distribution, per-instance Front and ladder availability/placement. The player changes zones, labels and daily organization within those installations; no free-build mode is implied.</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later services, furniture, dressing or final lighting carry the composition. Layer 2 may pass with coherent exposed structural materials and no added finish.</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pPr>
      <w:r>
        <w:t>Assign credible construction ownership at joins. Prefer clean face ownership, avoid visible coplanar overlap, and use through/butt joints where the build logic supports them. Faces completely concealed by adjacent opaque construction may be omitted; standalone pieces remain closed solids by default.</w:t>
      </w:r>
    </w:p>
    <w:p>
      <w:pPr>
        <w:pStyle w:val="ListBullet"/>
      </w:pPr>
      <w:r>
        <w:t>An accepted gameplay topology may receive a production visual-shell substitution without spatially rebuilding the room. Preserve openings, circulation and sightlines unless later focused evidence calls for change.</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Choose the visible structural wall, floor and ceiling materials as one coherent room palette, at plausible physical metres-per-repeat.</w:t>
      </w:r>
    </w:p>
    <w:p>
      <w:pPr>
        <w:pStyle w:val="ListBullet"/>
        <w:spacing w:after="30"/>
      </w:pPr>
      <w:r>
        <w:t>Add paint, tile, render or repair fields only where history or function causes them; no extra applied coating is required.</w:t>
      </w:r>
    </w:p>
    <w:p>
      <w:pPr>
        <w:pStyle w:val="ListBullet"/>
        <w:spacing w:after="30"/>
      </w:pPr>
      <w:r>
        <w:t>Review baseline surface character and construction-phase transitions without relying on later contextual wear to make the palette work.</w:t>
      </w:r>
    </w:p>
    <w:p>
      <w:pPr>
        <w:pStyle w:val="ListBullet"/>
        <w:spacing w:after="30"/>
      </w:pPr>
      <w:r>
        <w:t>Review on standardized geometry under Neutral Calibration and relevant target-preview lighting before relying on final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Functional storage and the Stage B Receiving presenter were promoted in neutral geometry before final room materials; that interaction success did not promote the art layers. Receiving C1 has now installed its accepted P05_C02 envelope and compact geometry, with further individually accepted lighting, furnishings and initial manual wear. EAF5 remains historical proof evidence. Human visual review governs later room changes; C1 remains IN PROGRESS.</w:t>
      </w:r>
    </w:p>
    <w:p>
      <w:pPr/>
      <w:r>
        <w:t>EAF5 confirms that the gate separates structural shape, structural surface material, optional applied finish, localized wear and lighting. These owners can be revised independently. Human visual approval remains the gate; a technically valid material or mesh is not automatically right for a room.</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r>
        <w:t>Current compact Receiving nominal dimensions are 8.00 × 7.50 m / 60 m²; Dispatch is 6.50 × 3.50 m with a 2.40 m doorway. The centred Backlog opening is 2.84 × 3.40 m. Current saved geometry governs these proportions and working lanes (§34.7).</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r>
        <w:t>The promoted Stage B TAKE-only presenter arranges front crates, rear pallets and loose deck cargo within a shallow permanent freight bay. Keep a clear player-side work apron and preserve the accepted presentation and interaction geometry as production fixtures are developed. Fixture-integrated Receiving-only TAKE reach is 3.4 m; it is a spatial/interaction constraint, not a visual invitation to enlarge or clutter the bay.</w:t>
      </w:r>
    </w:p>
    <w:p>
      <w:pPr/>
      <w:r>
        <w:t>Receiving production uses P05_C02: the approved constructed/panel wall, Worn Concrete Floor and shuttered/formwork ceiling. Base applied finish, structural secondary and fixed base wear preset remain NONE; these base choices do not exclude independently authored wear layers. The EAF5 P01_C02 primary/P05_C03 alternate remain historical proof selections (§34).</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Stage B has now established deterministic cargo identification and fixture-integrated physical TAKE reach in its promoted scope; production freight equipment, cargo and lighting must retain legible player-side views without treating the earlier pile experiment as a live gate.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t>Spatial relationship: retain the accepted desk stance and turns toward Receiving and Storage. Stage B proves item identification and fixture-integrated unloading in the accepted Receiving presentation; later furniture and lighting must preserve that useful view or trigger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pPr>
      <w:r>
        <w:t>Facing: Front is semantic metadata authored per installation, not inferred from which open side appears to be the front. Different instances of the same furniture family may use different Front states.</w:t>
      </w:r>
    </w:p>
    <w:p>
      <w:pPr>
        <w:pStyle w:val="ListBullet"/>
      </w:pPr>
      <w:r>
        <w:t>Stored presentation: Default labels and presentational faces should read toward unit Front when their canonical item pose is authored that way. A 90-degree packing choice may intentionally turn them sideways.</w:t>
      </w:r>
    </w:p>
    <w:p>
      <w:pPr>
        <w:pStyle w:val="ListBullet"/>
      </w:pPr>
      <w:r>
        <w:t>Do not author per-item shelf-family rotation hacks or mutate imported source orientation to repair one installation's presentation.</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still needs reliable visibility, targeting and retrieval from supported standing approaches. Selected authored taller installations may use the human-promoted fixed-ladder architecture where a deliberately installed ladder serves the shelves. This does not make every high shelf, rack or route ladder-accessible.</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pPr/>
      <w:r>
        <w:t>Each installed unit also carries an authored semantic Front. Progression may install another instance of the same furniture family with a different Front state when the architecture requires it; the state belongs to the installation, not the mesh family.</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r>
        <w:t>A storage upgrade must preserve the authored installation contract for its new unit, including dimensions, level distribution, usable-area insets and semantic Front. These are deliberate persistent states, not ambient prop behavior.</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Retain Godot 4.7 Compatibility. EAF1 supplies material review, EAF2 metre-authored structure, EAF3 curated PBR sources and completed EAF4 live wear/scalar authoring. UV remains default. Simple native mineral structure and suitable sourced irregular equipment remain useful; separate geometry, surface and editable overlays.</w:t>
      </w:r>
    </w:p>
    <w:p>
      <w:pPr/>
      <w:r>
        <w:t>Blender remains available for asset repair, specialized geometry and specific content work; routine structural substrate generation does not require it. Sourced shutters, barriers, rails, gratings, pipes, vents, machinery, infrastructure, furniture and dressing should serve their intended roles without forcing their mesh or material coupling to dictate room architecture.</w:t>
      </w:r>
    </w:p>
    <w:p>
      <w:pPr/>
      <w:r>
        <w:t>Reusable ModularRack supplies a production-authoring grammar for functional rack installations, not one universal furniture design. Shelf wrappers remain ordinary local scene elements, per-edge insets remain installation-specific, and source GLB/FBX transforms must not be changed merely to make stored presentation face correctly.</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r>
        <w:trPr>
          <w:cantSplit/>
        </w:trPr>
        <w:tc>
          <w:tcPr>
            <w:tcW w:type="dxa" w:w="5083"/>
            <w:tcMar>
              <w:top w:w="90" w:type="dxa"/>
              <w:start w:w="90" w:type="dxa"/>
              <w:bottom w:w="90" w:type="dxa"/>
              <w:end w:w="90" w:type="dxa"/>
            </w:tcMar>
          </w:tcPr>
          <w:p>
            <w:r>
              <w:rPr>
                <w:rFonts w:ascii="Arial" w:hAnsi="Arial"/>
                <w:sz w:val="18"/>
              </w:rPr>
              <w:t>Build coherent mineral structural palettes with quiet, low-noise surfaces.</w:t>
            </w:r>
          </w:p>
        </w:tc>
        <w:tc>
          <w:tcPr>
            <w:tcW w:type="dxa" w:w="5083"/>
            <w:tcMar>
              <w:top w:w="90" w:type="dxa"/>
              <w:start w:w="90" w:type="dxa"/>
              <w:bottom w:w="90" w:type="dxa"/>
              <w:end w:w="90" w:type="dxa"/>
            </w:tcMar>
          </w:tcPr>
          <w:p>
            <w:r>
              <w:rPr>
                <w:rFonts w:ascii="Arial" w:hAnsi="Arial"/>
                <w:sz w:val="18"/>
              </w:rPr>
              <w:t>Treat an approved material catalog entry as automatic approval for a room role.</w:t>
            </w:r>
          </w:p>
        </w:tc>
      </w:tr>
      <w:tr>
        <w:trPr>
          <w:cantSplit/>
        </w:trPr>
        <w:tc>
          <w:tcPr>
            <w:tcW w:type="dxa" w:w="5083"/>
            <w:tcMar>
              <w:top w:w="90" w:type="dxa"/>
              <w:start w:w="90" w:type="dxa"/>
              <w:bottom w:w="90" w:type="dxa"/>
              <w:end w:w="90" w:type="dxa"/>
            </w:tcMar>
          </w:tcPr>
          <w:p>
            <w:r>
              <w:rPr>
                <w:rFonts w:ascii="Arial" w:hAnsi="Arial"/>
                <w:sz w:val="18"/>
              </w:rPr>
              <w:t>Use clean construction ownership and omit fully concealed construction faces where appropriate.</w:t>
            </w:r>
          </w:p>
        </w:tc>
        <w:tc>
          <w:tcPr>
            <w:tcW w:type="dxa" w:w="5083"/>
            <w:tcMar>
              <w:top w:w="90" w:type="dxa"/>
              <w:start w:w="90" w:type="dxa"/>
              <w:bottom w:w="90" w:type="dxa"/>
              <w:end w:w="90" w:type="dxa"/>
            </w:tcMar>
          </w:tcPr>
          <w:p>
            <w:r>
              <w:rPr>
                <w:rFonts w:ascii="Arial" w:hAnsi="Arial"/>
                <w:sz w:val="18"/>
              </w:rPr>
              <w:t>Force irregular metal or material-coupled prefabs to define the permanent building envelope.</w:t>
            </w:r>
          </w:p>
        </w:tc>
      </w:tr>
      <w:tr>
        <w:trPr>
          <w:cantSplit/>
        </w:trPr>
        <w:tc>
          <w:tcPr>
            <w:tcW w:type="dxa" w:w="5083"/>
            <w:tcMar>
              <w:top w:w="90" w:type="dxa"/>
              <w:start w:w="90" w:type="dxa"/>
              <w:bottom w:w="90" w:type="dxa"/>
              <w:end w:w="90" w:type="dxa"/>
            </w:tcMar>
          </w:tcPr>
          <w:p>
            <w:r>
              <w:rPr>
                <w:rFonts w:ascii="Arial" w:hAnsi="Arial"/>
                <w:sz w:val="18"/>
              </w:rPr>
              <w:t>Give localized applied finish a historical, functional or repair cause.</w:t>
            </w:r>
          </w:p>
        </w:tc>
        <w:tc>
          <w:tcPr>
            <w:tcW w:type="dxa" w:w="5083"/>
            <w:tcMar>
              <w:top w:w="90" w:type="dxa"/>
              <w:start w:w="90" w:type="dxa"/>
              <w:bottom w:w="90" w:type="dxa"/>
              <w:end w:w="90" w:type="dxa"/>
            </w:tcMar>
          </w:tcPr>
          <w:p>
            <w:r>
              <w:rPr>
                <w:rFonts w:ascii="Arial" w:hAnsi="Arial"/>
                <w:sz w:val="18"/>
              </w:rPr>
              <w:t>Add broad contrasting finish fields only for variety or to rescue a weak base palette.</w:t>
            </w:r>
          </w:p>
        </w:tc>
      </w:tr>
      <w:tr>
        <w:trPr>
          <w:cantSplit/>
        </w:trPr>
        <w:tc>
          <w:tcPr>
            <w:tcW w:type="dxa" w:w="5083"/>
            <w:tcMar>
              <w:top w:w="90" w:type="dxa"/>
              <w:start w:w="90" w:type="dxa"/>
              <w:bottom w:w="90" w:type="dxa"/>
              <w:end w:w="90" w:type="dxa"/>
            </w:tcMar>
          </w:tcPr>
          <w:p>
            <w:r>
              <w:rPr>
                <w:rFonts w:ascii="Arial" w:hAnsi="Arial"/>
                <w:sz w:val="18"/>
              </w:rPr>
              <w:t>Place localized wear with reference to infrastructure, furniture and representative light; use broad subtle editable variation where coherent material reuse would otherwise expose repetition.</w:t>
            </w:r>
          </w:p>
        </w:tc>
        <w:tc>
          <w:tcPr>
            <w:tcW w:type="dxa" w:w="5083"/>
            <w:tcMar>
              <w:top w:w="90" w:type="dxa"/>
              <w:start w:w="90" w:type="dxa"/>
              <w:bottom w:w="90" w:type="dxa"/>
              <w:end w:w="90" w:type="dxa"/>
            </w:tcMar>
          </w:tcPr>
          <w:p>
            <w:r>
              <w:rPr>
                <w:rFonts w:ascii="Arial" w:hAnsi="Arial"/>
                <w:sz w:val="18"/>
              </w:rPr>
              <w:t>Blanket surfaces in decals/grime or apply one fixed wear preset to every room.</w:t>
            </w:r>
          </w:p>
        </w:tc>
      </w:tr>
      <w:tr>
        <w:trPr>
          <w:cantSplit/>
        </w:trPr>
        <w:tc>
          <w:tcPr>
            <w:tcW w:type="dxa" w:w="5083"/>
            <w:tcMar>
              <w:top w:w="90" w:type="dxa"/>
              <w:start w:w="90" w:type="dxa"/>
              <w:bottom w:w="90" w:type="dxa"/>
              <w:end w:w="90" w:type="dxa"/>
            </w:tcMar>
          </w:tcPr>
          <w:p>
            <w:r>
              <w:rPr>
                <w:rFonts w:ascii="Arial" w:hAnsi="Arial"/>
                <w:sz w:val="18"/>
              </w:rPr>
              <w:t>Review material scale and response under Neutral Calibration and target-preview lighting.</w:t>
            </w:r>
          </w:p>
        </w:tc>
        <w:tc>
          <w:tcPr>
            <w:tcW w:type="dxa" w:w="5083"/>
            <w:tcMar>
              <w:top w:w="90" w:type="dxa"/>
              <w:start w:w="90" w:type="dxa"/>
              <w:bottom w:w="90" w:type="dxa"/>
              <w:end w:w="90" w:type="dxa"/>
            </w:tcMar>
          </w:tcPr>
          <w:p>
            <w:r>
              <w:rPr>
                <w:rFonts w:ascii="Arial" w:hAnsi="Arial"/>
                <w:sz w:val="18"/>
              </w:rPr>
              <w:t>Use dramatic lighting to conceal weak material selection or default to triplanar mapping.</w:t>
            </w:r>
          </w:p>
        </w:tc>
      </w:tr>
      <w:tr>
        <w:trPr>
          <w:cantSplit/>
        </w:trPr>
        <w:tc>
          <w:tcPr>
            <w:tcW w:type="dxa" w:w="5083"/>
            <w:tcMar>
              <w:top w:w="90" w:type="dxa"/>
              <w:start w:w="90" w:type="dxa"/>
              <w:bottom w:w="90" w:type="dxa"/>
              <w:end w:w="90" w:type="dxa"/>
            </w:tcMar>
          </w:tcPr>
          <w:p>
            <w:r>
              <w:rPr>
                <w:rFonts w:ascii="Arial" w:hAnsi="Arial"/>
                <w:sz w:val="18"/>
              </w:rPr>
              <w:t>Use sourced irregular assets for equipment, furniture, services and suitable detail.</w:t>
            </w:r>
          </w:p>
        </w:tc>
        <w:tc>
          <w:tcPr>
            <w:tcW w:type="dxa" w:w="5083"/>
            <w:tcMar>
              <w:top w:w="90" w:type="dxa"/>
              <w:start w:w="90" w:type="dxa"/>
              <w:bottom w:w="90" w:type="dxa"/>
              <w:end w:w="90" w:type="dxa"/>
            </w:tcMar>
          </w:tcPr>
          <w:p>
            <w:r>
              <w:rPr>
                <w:rFonts w:ascii="Arial" w:hAnsi="Arial"/>
                <w:sz w:val="18"/>
              </w:rPr>
              <w:t>Let sourced detail overrule accepted spatial geometry or a room's structural logic.</w:t>
            </w:r>
          </w:p>
        </w:tc>
      </w:tr>
    </w:tbl>
    <w:p>
      <w:pPr>
        <w:pStyle w:val="Heading1"/>
      </w:pPr>
      <w:r>
        <w:t>26. Universal visual acceptance tests</w:t>
      </w:r>
    </w:p>
    <w:p>
      <w:pPr>
        <w:spacing w:after="30"/>
        <w:ind w:left="317" w:hanging="317"/>
      </w:pPr>
      <w:r>
        <w:t>1.  Does the structural shell work as an underground service room before props, services and atmospheric light?</w:t>
      </w:r>
    </w:p>
    <w:p>
      <w:pPr>
        <w:spacing w:after="30"/>
        <w:ind w:left="317" w:hanging="317"/>
      </w:pPr>
      <w:r>
        <w:t>2.  Does the building envelope read primarily as concrete or masonry, with metal serving equipment and infrastructure?</w:t>
      </w:r>
    </w:p>
    <w:p>
      <w:pPr>
        <w:spacing w:after="30"/>
        <w:ind w:left="317" w:hanging="317"/>
      </w:pPr>
      <w:r>
        <w:t>3.  Can original construction, later upgrades, survivor adaptation and Quartermaster order be distinguished?</w:t>
      </w:r>
    </w:p>
    <w:p>
      <w:pPr>
        <w:spacing w:after="30"/>
        <w:ind w:left="317" w:hanging="317"/>
      </w:pPr>
      <w:r>
        <w:t>4.  Do material repeats read at plausible physical size in metres, including broad floors and walls?</w:t>
      </w:r>
    </w:p>
    <w:p>
      <w:pPr>
        <w:spacing w:after="30"/>
        <w:ind w:left="317" w:hanging="317"/>
      </w:pPr>
      <w:r>
        <w:t>5.  Is UV the default mapping, and is any triplanar exception documented and checked on large planes, corners and WallGrazing views?</w:t>
      </w:r>
    </w:p>
    <w:p>
      <w:pPr>
        <w:spacing w:after="30"/>
        <w:ind w:left="317" w:hanging="317"/>
      </w:pPr>
      <w:r>
        <w:t>6.  Is there enough quiet, low-noise surface area for loot, signs, circulation and interactions to remain legible?</w:t>
      </w:r>
    </w:p>
    <w:p>
      <w:pPr>
        <w:spacing w:after="30"/>
        <w:ind w:left="317" w:hanging="317"/>
      </w:pPr>
      <w:r>
        <w:t>7.  Does every noticeable applied finish have a historical, service, wet-area or repair cause?</w:t>
      </w:r>
    </w:p>
    <w:p>
      <w:pPr>
        <w:spacing w:after="30"/>
        <w:ind w:left="317" w:hanging="317"/>
      </w:pPr>
      <w:r>
        <w:t>8.  Can noticeable wear be traced to use, environment, structure or installed infrastructure rather than a uniform grunge pass?</w:t>
      </w:r>
    </w:p>
    <w:p>
      <w:pPr/>
      <w:r>
        <w:t>9.  Does the structural/material composition still work under Neutral Calibration without dramatic lighting to hide weaknesses?</w:t>
      </w:r>
    </w:p>
    <w:p>
      <w:pPr/>
      <w:r>
        <w:t>10.  Are structure, surface material, services, survivor occupation and detail visually distinguishable?</w:t>
      </w:r>
    </w:p>
    <w:p>
      <w:pPr/>
      <w:r>
        <w:t>11.  Does functional light provide warm-to-neutral coverage with credible mixed fixture generations and readable items?</w:t>
      </w:r>
    </w:p>
    <w:p>
      <w:pPr/>
      <w:r>
        <w:t>12.  Does each district belong to the same bunker while expressing its own inherited footprint and current use?</w:t>
      </w:r>
    </w:p>
    <w:p>
      <w:pPr/>
      <w:r>
        <w:t>13.  Can the player enter support rooms, reach intended interfaces and read the separate opaque inner boundary?</w:t>
      </w:r>
    </w:p>
    <w:p>
      <w:pPr/>
      <w:r>
        <w:t>14. For Receiving, does the active P05_C02 envelope, current compact geometry and widened fixed lift preserve a clear apron, freight readability and accepted circulation, with source/placement acceptance distinguished?</w:t>
      </w:r>
    </w:p>
    <w:p>
      <w:pPr/>
      <w:r>
        <w:t>These are human visual-review questions, not automated pass/fail rules.</w:t>
      </w:r>
    </w:p>
    <w:p>
      <w:pPr>
        <w:pStyle w:val="Heading1"/>
      </w:pPr>
      <w:r>
        <w:t>27. Historical next validation sequence - superseded by §34.8</w:t>
      </w:r>
    </w:p>
    <w:p>
      <w:pPr/>
      <w:r>
        <w:t>HISTORICAL CHECKPOINT. This numbered sequence records the v0.5 path. The storage, ladder, Receiving Stage B and EAF1–EAF5 milestones it anticipated have since received their separate decisions. Section 34.8 states the current order.</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becomes richer through player organization and restrained authored history while its shell and working lanes stay legible. Storage authoring, fixed ladder and Receiving Stage A/B remain promoted. C1 has accepted structure/material, compact geometry, lift/deck, lighting, manual furnishings, passive display/signage and initial manual wear. Further C1 room finish remains open; physical Stage C pressure/theatre is future.</w:t>
      </w:r>
    </w:p>
    <w:p>
      <w:pPr/>
      <w:r>
        <w:t>Current environment owners remain structural shape, surface material, editable finish/wear layers and lighting. UV is default. Receiving uses P05_C02 with base finish/secondary/fixed preset NONE; broad scalar variation and local causal wear are separate editable art tools. Historical EAF5 palettes do not override current production (§34).</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Stage B now establishes deterministic item presentation and fixture-integrated TAKE reach in the accepted shallow bay. Added production lining thickness still needs a focused clearance review; the retained schematic is not a drainability test.</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GDD v0.9 and Findings v0.9 later superseded that checkpoint on 20 September; the current companions are GDD v0.10 and Findings v0.10.</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editable dimensional authority, now including the accepted compact retrofit. C1 has installed the EAF2 production envelope while keeping accepted gameplay/spatial ownership. The retained September overview illustrates the earlier whole-wing baseline and does not override later Receiving/Dispatch dimensions.</w:t>
      </w:r>
    </w:p>
    <w:p>
      <w:r>
        <w:br/>
      </w:r>
    </w:p>
    <w:p>
      <w:pPr>
        <w:pStyle w:val="Heading1"/>
      </w:pPr>
      <w:r>
        <w:t>32 v0.6 Storage installation and ergonomics direction</w:t>
      </w:r>
    </w:p>
    <w:p>
      <w:pPr/>
      <w:r>
        <w:t>HISTORICAL CHECKPOINT. Section 32 preserves the v0.6 20 September state. Section 33 supersedes its current-status statements after the promoted authoring, orientation and canonical item-pose work.</w:t>
      </w:r>
    </w:p>
    <w:p>
      <w:pPr>
        <w:pStyle w:val="Heading2"/>
        <w:spacing w:before="100" w:after="20"/>
      </w:pPr>
      <w:r>
        <w:t>32.1 Current spatial authority</w:t>
      </w:r>
    </w:p>
    <w:p>
      <w:pPr>
        <w:spacing w:after="0" w:line="240" w:lineRule="auto"/>
      </w:pPr>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spacing w:before="100" w:after="20"/>
      </w:pPr>
      <w:r>
        <w:t>32.2 Installation usability</w:t>
      </w:r>
    </w:p>
    <w:p>
      <w:pPr>
        <w:spacing w:after="0" w:line="240" w:lineRule="auto"/>
      </w:pPr>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spacing w:line="240" w:lineRule="auto"/>
      </w:pPr>
      <w:r>
        <w:t>Use predominantly open modular storage as the general backbone. Enclosed cabinets, lockers and opaque units remain selective and require lighting-aware composition.</w:t>
      </w:r>
    </w:p>
    <w:p>
      <w:pPr>
        <w:pStyle w:val="ListBullet"/>
        <w:spacing w:line="240" w:lineRule="auto"/>
      </w:pPr>
      <w:r>
        <w:t>Open racks can accept more depth where several approach sides remain usable. Wall and corner installations generally need shallower usable depth and deliberate front and side clearances.</w:t>
      </w:r>
    </w:p>
    <w:p>
      <w:pPr>
        <w:pStyle w:val="ListBullet"/>
        <w:spacing w:line="240" w:lineRule="auto"/>
      </w:pPr>
      <w:r>
        <w:t>Evaluate usable-area insets per edge. A slim rear or side inset can protect obstruction clearance without imposing one global percentage or discarding useful front-edge capacity.</w:t>
      </w:r>
    </w:p>
    <w:p>
      <w:pPr>
        <w:pStyle w:val="ListBullet"/>
        <w:spacing w:line="240" w:lineRule="auto"/>
      </w:pPr>
      <w:r>
        <w:t>Use appropriate furniture, a deliberately absent top deck, shallow specialist wall storage, non-loot upper dressing or a fixed shelf-serving ladder when ordinary standing access cannot serve the top zone.</w:t>
      </w:r>
    </w:p>
    <w:p>
      <w:pPr>
        <w:pStyle w:val="Heading2"/>
        <w:spacing w:before="100" w:after="20"/>
      </w:pPr>
      <w:r>
        <w:t>32.3 Developer-authored installations and player-owned organization</w:t>
      </w:r>
    </w:p>
    <w:p>
      <w:pPr>
        <w:spacing w:after="0" w:line="240" w:lineRule="auto"/>
      </w:pPr>
      <w:r>
        <w:t>The developer retains final authority over functional storage installation authoring: model choice, placement in the wing, unit dimensions, level count and vertical distribution, and ladder availability and placement. Codex may provide authoring tools, validation, decorations and later synthetic checks. This does not create a player-facing free-build mode: physical storage remains spatially authored and constrained by the game's established installation/socket rules. The in-game player owns category taxonomy, zoning, labels and day-to-day organization within those authored installations. The bunker geometry may suggest capacity and circulation, but one manually authored rack must not become a universal template.</w:t>
      </w:r>
    </w:p>
    <w:p>
      <w:pPr>
        <w:spacing w:after="0" w:line="240" w:lineRule="auto"/>
      </w:pPr>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spacing w:before="100" w:after="20"/>
      </w:pPr>
      <w:r>
        <w:t>32.4 Trial observations and ladder boundary</w:t>
      </w:r>
    </w:p>
    <w:p>
      <w:pPr>
        <w:spacing w:after="0" w:line="240" w:lineRule="auto"/>
      </w:pPr>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pPr>
        <w:spacing w:after="0" w:line="240" w:lineRule="auto"/>
      </w:pPr>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spacing w:before="100" w:after="20"/>
      </w:pPr>
      <w:r>
        <w:t>32.5 Historical validation order</w:t>
      </w:r>
    </w:p>
    <w:p>
      <w:pPr/>
      <w:r>
        <w:t>HISTORICAL CHECKPOINT. The v0.6 sequence below has been completed or superseded by later promotion records. The current production and document order is in §34.8.</w:t>
      </w:r>
    </w:p>
    <w:p>
      <w:pPr>
        <w:pStyle w:val="ListNumber"/>
        <w:spacing w:line="240" w:lineRule="auto"/>
      </w:pPr>
      <w:r>
        <w:t>Reuse the accepted review-scene supply setup where appropriate.</w:t>
      </w:r>
    </w:p>
    <w:p>
      <w:pPr>
        <w:pStyle w:val="ListNumber"/>
        <w:spacing w:line="240" w:lineRule="auto"/>
      </w:pPr>
      <w:r>
        <w:t>Build reusable functional modular-rack authoring without choosing production installations for the player.</w:t>
      </w:r>
    </w:p>
    <w:p>
      <w:pPr>
        <w:pStyle w:val="ListNumber"/>
        <w:spacing w:line="240" w:lineRule="auto"/>
      </w:pPr>
      <w:r>
        <w:t>Test one fixed shelf-serving ladder on one rack.</w:t>
      </w:r>
    </w:p>
    <w:p>
      <w:pPr>
        <w:pStyle w:val="ListNumber"/>
        <w:spacing w:line="240" w:lineRule="auto"/>
      </w:pPr>
      <w:r>
        <w:t>Ask for the human ladder decision.</w:t>
      </w:r>
    </w:p>
    <w:p>
      <w:pPr>
        <w:pStyle w:val="ListNumber"/>
        <w:spacing w:line="240" w:lineRule="auto"/>
      </w:pPr>
      <w:r>
        <w:t>Resume Receiving unless the storage work reveals another concrete blocker.</w:t>
      </w:r>
    </w:p>
    <w:p>
      <w:pPr>
        <w:spacing w:after="0" w:line="240" w:lineRule="auto"/>
      </w:pPr>
      <w:r>
        <w:t>At the v0.6 checkpoint this sequence superseded §27. It did not itself authorize whole-gallery furnishing, production art, camera or ceiling changes. Its pending ladder/Receiving status is superseded by the promoted later records and current §34.8.</w:t>
      </w:r>
    </w:p>
    <w:p>
      <w:pPr>
        <w:pStyle w:val="Heading1"/>
      </w:pPr>
      <w:r>
        <w:t>33. v0.7 Storage authoring and facing closure</w:t>
      </w:r>
    </w:p>
    <w:p>
      <w:pPr>
        <w:pStyle w:val="Heading2"/>
      </w:pPr>
      <w:r>
        <w:t>33.1 Reusable ModularRack as an authoring grammar, not a universal furniture design</w:t>
      </w:r>
    </w:p>
    <w:p>
      <w:r>
        <w:t>The promoted ModularRack is a shelf-empty reusable scaffold whose editable Levels container accepts ordinary local shelf wrappers. One root controller derives dimensions, collision, preview, calibrated deck placement and runtime surfaces. It enables consistent production authoring without turning the current three-level starter into a universal rack silhouette, proportion or level standard.</w:t>
      </w:r>
    </w:p>
    <w:p>
      <w:r>
        <w:t>Per-edge usable-area insets remain installation decisions. No universal percentage is promoted. Rack02 deck and F6 alignment are functional calibration evidence rather than a requirement to make every storage family visually identical.</w:t>
      </w:r>
    </w:p>
    <w:p>
      <w:pPr>
        <w:pStyle w:val="Heading2"/>
      </w:pPr>
      <w:r>
        <w:t>33.2 Per-installation Front semantics</w:t>
      </w:r>
    </w:p>
    <w:p>
      <w:r>
        <w:t>Front is semantic metadata authored on each storage unit and inherited by all of its surfaces. State 0 uses Front +Z, Back -Z, Right +X and Left -X; three quarter-turn states cover the other sides. Do not infer Front from mesh appearance, wall placement or approach direction. Different instances of the same furniture family may have different Front states.</w:t>
      </w:r>
    </w:p>
    <w:p>
      <w:r>
        <w:t>The zoning interface always reads from authored Front, with Back at the top and Front at the bottom. F6 remains a physical diagnostic. Changing Front does not move the furniture or migrate physical zone cells.</w:t>
      </w:r>
    </w:p>
    <w:p>
      <w:pPr>
        <w:pStyle w:val="Heading2"/>
      </w:pPr>
      <w:r>
        <w:t>33.3 Canonical item-facing presentation and intentional sideways packing</w:t>
      </w:r>
    </w:p>
    <w:p>
      <w:r>
        <w:t>Canonical item Front is authored against +Z. Default new storage placement aligns that Front to the unit's authored Front, so labels and presentational faces can read toward the intended aisle or approach. The separate 90-degree packing state may intentionally turn those faces sideways when space requires it.</w:t>
      </w:r>
    </w:p>
    <w:p>
      <w:r>
        <w:t>Do not add per-item shelf-family rotation hacks. Do not rotate or re-export source assets to repair one storage installation. Committed items keep their placed orientation if shelf Front later changes.</w:t>
      </w:r>
    </w:p>
    <w:p>
      <w:pPr>
        <w:pStyle w:val="Heading2"/>
      </w:pPr>
      <w:r>
        <w:t>33.4 Canonical pose and Footprint authoring workbench</w:t>
      </w:r>
    </w:p>
    <w:p>
      <w:r>
        <w:t>The developer fixture res://gameplay/dev/item_storage_pose/item_storage_pose_authoring.tscn supports production content work, not player UI. It edits actual ItemDefinition pose metadata, shows authored and suggested canonical Footprints, warns about undersized authoring, previews packing, and writes a suggestion only through an explicit action. Human review remains the authority; geometry is advisory rather than an automatic rewrite.</w:t>
      </w:r>
    </w:p>
    <w:p>
      <w:r>
        <w:t>All 40 eligible definitions were reviewed. Gloves and Pants remain blocked. Source GLB/FBX transforms were left untouched.</w:t>
      </w:r>
    </w:p>
    <w:p>
      <w:pPr>
        <w:pStyle w:val="Heading2"/>
      </w:pPr>
      <w:r>
        <w:t>33.5 Fixed-ladder visual and installation boundary</w:t>
      </w:r>
    </w:p>
    <w:p>
      <w:r>
        <w:t>The fixed ladder should read as installed infrastructure serving a specific rack, not a movable prop, universal traversal affordance or promise that every shelf is reachable from every position. Its floor position, rack relationship, top stop and approach space should look deliberate and structurally credible.</w:t>
      </w:r>
    </w:p>
    <w:p>
      <w:r>
        <w:t>The human-promoted fixed-line proof supports frontal attach, vertical movement, held viewing height, bounded look, safe top/bottom release and ordinary storage interaction for selected taller authored installations. It does not establish animation, visible hands, general mantling, jumping, movable/sliding ladders, fall systems, shelf-top traversal or universal ladder coverage. The ladder also does not solve every deep-shelf, rear-reach or occlusion problem.</w:t>
      </w:r>
    </w:p>
    <w:p>
      <w:r>
        <w:t>The fixed-ladder architecture and bounded tuning were human-promoted; final ladder art, dimensions and installation roster remain production decisions requiring context-specific review.</w:t>
      </w:r>
    </w:p>
    <w:p>
      <w:pPr>
        <w:pStyle w:val="Heading2"/>
      </w:pPr>
      <w:r>
        <w:t>33.6 Historical validation order - superseded by §34.8</w:t>
      </w:r>
    </w:p>
    <w:p>
      <w:pPr/>
      <w:r>
        <w:t>HISTORICAL CHECKPOINT. The following v0.7 ladder gate has closed and the Stage B Receiving presenter and fixtures have been promoted. Keep the sequence as the dated handoff, not current instructions.</w:t>
      </w:r>
    </w:p>
    <w:p>
      <w:pPr/>
      <w:r>
        <w:t>1.  Single-rack fixed-ladder proof.</w:t>
      </w:r>
    </w:p>
    <w:p>
      <w:pPr/>
      <w:r>
        <w:t>2.  Human ladder decision.</w:t>
      </w:r>
    </w:p>
    <w:p>
      <w:pPr/>
      <w:r>
        <w:t>3.  Receiving unless a concrete storage blocker appears.</w:t>
      </w:r>
    </w:p>
    <w:p>
      <w:r>
        <w:t>Review-scene supply reuse, reusable ModularRack authoring, Storage Unit Orientation &amp; Zoning Basis, Canonical Item Storage Pose &amp; Shelf-Front Alignment, selected fixed-ladder installations and the Stage B Receiving presentation are promoted in their recorded scopes. Section 34.8 gives the current documentation and C1 order.</w:t>
      </w:r>
    </w:p>
    <w:p>
      <w:pPr>
        <w:pStyle w:val="Heading1"/>
      </w:pPr>
      <w:r>
        <w:t>34. Environment Authoring Foundation and current Receiving direction</w:t>
      </w:r>
    </w:p>
    <w:p>
      <w:r>
        <w:t>Current production direction reconciled on 10 October: EAF1–EAF5 remain promoted, EAF4 live editor authoring is completed/human-accepted, and Receiving C1 remains IN PROGRESS with individually accepted slices and initial manual wear. Findings v0.12 records evidence; GDD v0.12 owns game design/scope.</w:t>
      </w:r>
    </w:p>
    <w:p>
      <w:pPr>
        <w:pStyle w:val="Heading2"/>
      </w:pPr>
      <w:r>
        <w:t>34.1 EAF authoring model</w:t>
      </w:r>
    </w:p>
    <w:p>
      <w:pPr/>
      <w:r>
        <w:t>STRUCTURAL SHAPE + SURFACE MATERIAL + EDITABLE FINISH / WEAR LAYERS + LIGHTING</w:t>
      </w:r>
    </w:p>
    <w:p>
      <w:r>
        <w:t>Keep these owners separable. EAF1 supplies material/light comparison, EAF2 deterministic structural geometry, EAF3 curated PBR choices and EAF4 conventional wear plus independent scalar overlays/approved modulation. EAF5 proved their combination in isolation. Geometry does not require one source material, and dramatic lighting does not establish material suitability.</w:t>
      </w:r>
    </w:p>
    <w:p>
      <w:r>
        <w:t>Review material candidates on standardized geometry under Neutral Calibration and relevant target-preview lighting, using physical metres-per-repeat. Neutral Calibration is a review standard, not the final room lighting. The EAF3 workflow is source discovery → shortlist → staged PBR review → human decision → tracked catalog. At the EAF5 snapshot it held 30 APPROVED, 7 DEFERRED and 6 REJECTED materials; these counts are not scope limits. CATALOG APPROVAL ≠ ROOM-ROLE APPROVAL: a current approved entry still needs room, surface and palette review.</w:t>
      </w:r>
    </w:p>
    <w:p>
      <w:pPr>
        <w:pStyle w:val="Heading2"/>
      </w:pPr>
      <w:r>
        <w:t>34.2 UV-default material policy</w:t>
      </w:r>
    </w:p>
    <w:p>
      <w:r>
        <w:t>UV is the default environment mapping in Godot 4.7 Compatibility. Built-in triplanar produced a reproducible fine grid/crosshatch on large surfaces; controlled UV recapture removed it and no small reliable project-side fix was found. This mapping artifact is separate from EAF1's WallGrazing shadow diagnostic.</w:t>
      </w:r>
    </w:p>
    <w:p>
      <w:r>
        <w:t>Triplanar remains an explicit opt-in, not a global ban. Record the reason and visually verify a representative large plane, a corner or multi-axis condition and a WallGrazing view. Do not silently rewrite historically approved triplanar catalog specifications.</w:t>
      </w:r>
    </w:p>
    <w:p>
      <w:pPr>
        <w:pStyle w:val="Heading2"/>
      </w:pPr>
      <w:r>
        <w:t>34.3 Structural construction rules</w:t>
      </w:r>
    </w:p>
    <w:p>
      <w:r>
        <w:t>Author structural pieces with exact metre dimensions, real thickness, unit root scale, metre-authored UV1, stable outward normals and tangents, deterministic construction and bounded bevel where it helps an exposed edge. Prefer simple native pieces for the building envelope when irregular sourced prefabs would force cuts, repetition, scaling or inseparable mesh/material decisions.</w:t>
      </w:r>
    </w:p>
    <w:p>
      <w:r>
        <w:t>Assign face ownership at joins: use clean through/butt construction, avoid visible coplanar overlap and omit a construction face when adjacent opaque geometry fully conceals it. Standalone pieces remain closed solids by default. Sourced shutters, barriers, rails, gratings, pipes, vents, machinery, furniture and other irregular detail remain appropriate where their forms serve those roles.</w:t>
      </w:r>
    </w:p>
    <w:p>
      <w:pPr>
        <w:pStyle w:val="Heading2"/>
        <w:pageBreakBefore/>
      </w:pPr>
      <w:r>
        <w:t>34.4 Active Receiving palette and historical proof selections</w:t>
      </w:r>
    </w:p>
    <w:tbl>
      <w:tblPr>
        <w:tblStyle w:val="TableGrid"/>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3969"/>
        <w:gridCol w:w="3855"/>
        <w:gridCol w:w="3969"/>
      </w:tblGrid>
      <w:tr>
        <w:trPr>
          <w:cantSplit/>
          <w:tblHeader/>
        </w:trPr>
        <w:tc>
          <w:tcPr>
            <w:tcW w:type="dxa" w:w="2098"/>
            <w:tcMar>
              <w:top w:w="90" w:type="dxa"/>
              <w:bottom w:w="90" w:type="dxa"/>
              <w:left w:w="120" w:type="dxa"/>
              <w:right w:w="120" w:type="dxa"/>
            </w:tcMar>
            <w:shd w:fill="22343E"/>
          </w:tcPr>
          <w:p>
            <w:r>
              <w:rPr>
                <w:b/>
                <w:color w:val="FFFFFF"/>
                <w:sz w:val="17"/>
              </w:rPr>
              <w:t>Role</w:t>
            </w:r>
          </w:p>
        </w:tc>
        <w:tc>
          <w:tcPr>
            <w:tcW w:type="dxa" w:w="3969"/>
            <w:tcMar>
              <w:top w:w="90" w:type="dxa"/>
              <w:bottom w:w="90" w:type="dxa"/>
              <w:left w:w="120" w:type="dxa"/>
              <w:right w:w="120" w:type="dxa"/>
            </w:tcMar>
            <w:shd w:fill="22343E"/>
          </w:tcPr>
          <w:p>
            <w:r>
              <w:rPr>
                <w:b/>
                <w:color w:val="FFFFFF"/>
                <w:sz w:val="17"/>
              </w:rPr>
              <w:t>Wall</w:t>
            </w:r>
          </w:p>
        </w:tc>
        <w:tc>
          <w:tcPr>
            <w:tcW w:type="dxa" w:w="3855"/>
            <w:tcMar>
              <w:top w:w="90" w:type="dxa"/>
              <w:bottom w:w="90" w:type="dxa"/>
              <w:left w:w="120" w:type="dxa"/>
              <w:right w:w="120" w:type="dxa"/>
            </w:tcMar>
            <w:shd w:fill="22343E"/>
          </w:tcPr>
          <w:p>
            <w:r>
              <w:rPr>
                <w:b/>
                <w:color w:val="FFFFFF"/>
                <w:sz w:val="17"/>
              </w:rPr>
              <w:t>Floor</w:t>
            </w:r>
          </w:p>
        </w:tc>
        <w:tc>
          <w:tcPr>
            <w:tcW w:type="dxa" w:w="3969"/>
            <w:tcMar>
              <w:top w:w="90" w:type="dxa"/>
              <w:bottom w:w="90" w:type="dxa"/>
              <w:left w:w="120" w:type="dxa"/>
              <w:right w:w="120" w:type="dxa"/>
            </w:tcMar>
            <w:shd w:fill="22343E"/>
          </w:tcPr>
          <w:p>
            <w:r>
              <w:rPr>
                <w:b/>
                <w:color w:val="FFFFFF"/>
                <w:sz w:val="17"/>
              </w:rPr>
              <w:t>Ceiling</w:t>
            </w:r>
          </w:p>
        </w:tc>
      </w:tr>
      <w:tr>
        <w:trPr>
          <w:cantSplit/>
        </w:trPr>
        <w:tc>
          <w:tcPr>
            <w:tcW w:type="dxa" w:w="2098"/>
            <w:tcMar>
              <w:top w:w="90" w:type="dxa"/>
              <w:bottom w:w="90" w:type="dxa"/>
              <w:left w:w="120" w:type="dxa"/>
              <w:right w:w="120" w:type="dxa"/>
            </w:tcMar>
            <w:shd w:fill="FFFFFF"/>
          </w:tcPr>
          <w:p>
            <w:r>
              <w:rPr>
                <w:color w:val="000000"/>
                <w:sz w:val="17"/>
              </w:rPr>
              <w:t>PRIMARY P01_C02</w:t>
            </w:r>
          </w:p>
        </w:tc>
        <w:tc>
          <w:tcPr>
            <w:tcW w:type="dxa" w:w="3969"/>
            <w:tcMar>
              <w:top w:w="90" w:type="dxa"/>
              <w:bottom w:w="90" w:type="dxa"/>
              <w:left w:w="120" w:type="dxa"/>
              <w:right w:w="120" w:type="dxa"/>
            </w:tcMar>
            <w:shd w:fill="FFFFFF"/>
          </w:tcPr>
          <w:p>
            <w:r>
              <w:rPr>
                <w:color w:val="000000"/>
                <w:sz w:val="17"/>
              </w:rPr>
              <w:t>Dirty Concrete</w:t>
              <w:br/>
              <w:t>eaf3b_d335d94fd85c2c95c26b6b8b</w:t>
            </w:r>
          </w:p>
        </w:tc>
        <w:tc>
          <w:tcPr>
            <w:tcW w:type="dxa" w:w="3855"/>
            <w:tcMar>
              <w:top w:w="90" w:type="dxa"/>
              <w:bottom w:w="90" w:type="dxa"/>
              <w:left w:w="120" w:type="dxa"/>
              <w:right w:w="120" w:type="dxa"/>
            </w:tcMar>
            <w:shd w:fill="FFFFFF"/>
          </w:tcPr>
          <w:p>
            <w:r>
              <w:rPr>
                <w:color w:val="000000"/>
                <w:sz w:val="17"/>
              </w:rPr>
              <w:t>Worn Concrete Floor</w:t>
              <w:br/>
              <w:t>eaf3b_bb32071987faae156ff2d4e8</w:t>
            </w:r>
          </w:p>
        </w:tc>
        <w:tc>
          <w:tcPr>
            <w:tcW w:type="dxa" w:w="3969"/>
            <w:tcMar>
              <w:top w:w="90" w:type="dxa"/>
              <w:bottom w:w="90" w:type="dxa"/>
              <w:left w:w="120" w:type="dxa"/>
              <w:right w:w="120" w:type="dxa"/>
            </w:tcMar>
            <w:shd w:fill="FFFFFF"/>
          </w:tcPr>
          <w:p>
            <w:r>
              <w:rPr>
                <w:color w:val="000000"/>
                <w:sz w:val="17"/>
              </w:rPr>
              <w:t>Shuttered Concrete Wall</w:t>
              <w:br/>
              <w:t>eaf3b_6bcd8f817ca2993433e217cc</w:t>
            </w:r>
          </w:p>
        </w:tc>
      </w:tr>
      <w:tr>
        <w:trPr>
          <w:cantSplit/>
        </w:trPr>
        <w:tc>
          <w:tcPr>
            <w:tcW w:type="dxa" w:w="2098"/>
            <w:tcMar>
              <w:top w:w="90" w:type="dxa"/>
              <w:bottom w:w="90" w:type="dxa"/>
              <w:left w:w="120" w:type="dxa"/>
              <w:right w:w="120" w:type="dxa"/>
            </w:tcMar>
            <w:shd w:fill="F3F6F7"/>
          </w:tcPr>
          <w:p>
            <w:r>
              <w:rPr>
                <w:color w:val="000000"/>
                <w:sz w:val="17"/>
              </w:rPr>
              <w:t>ALTERNATE P05_C03</w:t>
            </w:r>
          </w:p>
        </w:tc>
        <w:tc>
          <w:tcPr>
            <w:tcW w:type="dxa" w:w="3969"/>
            <w:tcMar>
              <w:top w:w="90" w:type="dxa"/>
              <w:bottom w:w="90" w:type="dxa"/>
              <w:left w:w="120" w:type="dxa"/>
              <w:right w:w="120" w:type="dxa"/>
            </w:tcMar>
            <w:shd w:fill="F3F6F7"/>
          </w:tcPr>
          <w:p>
            <w:r>
              <w:rPr>
                <w:color w:val="000000"/>
                <w:sz w:val="17"/>
              </w:rPr>
              <w:t>KB3D_BTL_ConcreteRoughPanelBright</w:t>
              <w:br/>
              <w:t>eaf3b_5a797fbdc766d7e3dc475abf</w:t>
            </w:r>
          </w:p>
        </w:tc>
        <w:tc>
          <w:tcPr>
            <w:tcW w:type="dxa" w:w="3855"/>
            <w:tcMar>
              <w:top w:w="90" w:type="dxa"/>
              <w:bottom w:w="90" w:type="dxa"/>
              <w:left w:w="120" w:type="dxa"/>
              <w:right w:w="120" w:type="dxa"/>
            </w:tcMar>
            <w:shd w:fill="F3F6F7"/>
          </w:tcPr>
          <w:p>
            <w:r>
              <w:rPr>
                <w:color w:val="000000"/>
                <w:sz w:val="17"/>
              </w:rPr>
              <w:t>Worn Concrete Floor</w:t>
              <w:br/>
              <w:t>eaf3b_bb32071987faae156ff2d4e8</w:t>
            </w:r>
          </w:p>
        </w:tc>
        <w:tc>
          <w:tcPr>
            <w:tcW w:type="dxa" w:w="3969"/>
            <w:tcMar>
              <w:top w:w="90" w:type="dxa"/>
              <w:bottom w:w="90" w:type="dxa"/>
              <w:left w:w="120" w:type="dxa"/>
              <w:right w:w="120" w:type="dxa"/>
            </w:tcMar>
            <w:shd w:fill="F3F6F7"/>
          </w:tcPr>
          <w:p>
            <w:r>
              <w:rPr>
                <w:color w:val="000000"/>
                <w:sz w:val="17"/>
              </w:rPr>
              <w:t>KB3D_AMC_ConcreteWhite</w:t>
              <w:br/>
              <w:t>eaf3b_71edb3fc983ed8f7655d9523</w:t>
            </w:r>
          </w:p>
        </w:tc>
      </w:tr>
    </w:tbl>
    <w:p>
      <w:r>
        <w:t>The table above retains the HISTORICAL EAF5 primary P01_C02 and alternate P05_C03 unchanged. Production C1 instead uses P05_C02: wall eaf3b_5a797fbdc766d7e3dc475abf / KB3D_BTL_ConcreteRoughPanelBright; floor eaf3b_bb32071987faae156ff2d4e8 / Worn Concrete Floor; ceiling eaf3b_6bcd8f817ca2993433e217cc / Shuttered Concrete Wall. Playable close-range review rejected Dirty Concrete for this approachable wall role; catalog source approval remains intact. P05_C03 is not an active production alternate. [35]</w:t>
      </w:r>
    </w:p>
    <w:p>
      <w:pPr>
        <w:pStyle w:val="Heading2"/>
      </w:pPr>
      <w:r>
        <w:t>34.5 Applied-finish conclusion</w:t>
      </w:r>
    </w:p>
    <w:p>
      <w:r>
        <w:t>Receiving base applied finish = NONE (NO_FINISH). Structural secondary = NONE by default. This means neither is required by the accepted base composition; it does not forbid a later locally caused finish or specific secondary material. A room can pass Foundation Gate Layer 2 through a coherent exposed structural palette without paint, plaster, render or tile. C1 may add a repair, service/wet-area treatment, older paint or locally different construction only when that history/function is visible and judged in the real room.</w:t>
      </w:r>
    </w:p>
    <w:p>
      <w:pPr>
        <w:pStyle w:val="Heading2"/>
      </w:pPr>
      <w:r>
        <w:t>34.6 Contextual wear and later dressing</w:t>
      </w:r>
    </w:p>
    <w:p>
      <w:r>
        <w:t>Receiving fixed base wear preset remains NONE; the accepted initial human composition is independently authored. Broad subdued scalar variation can break concrete/material repetition across substantial flat surfaces; local wear can express traffic, servicing, spillage and hard-to-clean zones. Use independent live controls and normal editor placement, with plausible scale/orientation and restrained overlap. No universal wear preset, quota or permanent art freeze applies.</w:t>
      </w:r>
    </w:p>
    <w:p>
      <w:r>
        <w:t>The conventional library has eleven standalone approved presets; the separate scalar library has sixteen human-approved patterns, exactly eleven opacity.red and five roughness.red. Both TINTED_OPACITY_LAYER and WEAR_OPACITY_MODULATION are approved scopes. Actual modulation targets only leakage_skiubhzc and leakage_tculfbnc, the two established approved soft Leakage overlays. Grayscale is diagnostic. Roughness.red is a repurposed scalar distribution, not physical substrate roughness rendering. Neither workflow edits the base wall/floor/ceiling material or establishes true substrate roughness/normal modification. [35]</w:t>
      </w:r>
    </w:p>
    <w:p>
      <w:pPr>
        <w:pStyle w:val="Heading2"/>
      </w:pPr>
      <w:r>
        <w:t>34.7 Accepted C1 construction and continuing authoring boundary</w:t>
      </w:r>
    </w:p>
    <w:p>
      <w:r>
        <w:t>The accepted compact production baseline is Receiving 8.00 × 7.50 m / 60 m², clear 7.70 × 7.20 m, 4.20 m height and .30 m structure. Dispatch is 6.50 × 3.50 m, clear approximately 6.20 × 3.20 m, with 2.40 m doorway. The centred Backlog opening is 2.84 × 3.40 m at X −28.50. The sill/circulation geometry is resolved; walking-surface material awaits corridor-floor selection. Dispatch furnishing remains provisional. Preserve actual builder/scene dimensions over retained schematics. [35]</w:t>
      </w:r>
    </w:p>
    <w:p>
      <w:r>
        <w:t>The accepted EAF2 visual envelope uses P05_C02 while greybox remains spatial/collision authority. The widened fixed lift/cage/deck preserves human-authored transforms, the permanent barrier and private Stage B metrics. MainDeck is 3.30 × 2.00 m / 33 × 20 cells; apron-side TAKE reach remains 3.4 m, separate from ordinary reaches. Shaft walls use locked ReinforcedConcreteSlabs at 3.0 m/repeat. C1A remains PARKED / NOT PROMOTED; the isolated EAF5 proof is not a runtime dependency. [35]</w:t>
      </w:r>
    </w:p>
    <w:p>
      <w:pPr/>
      <w:r>
        <w:t>Lighting is the accepted two warm apron pendants and two warm-neutral cage task strips: four shadowed spots, ambient .12, W1 physical/unlit and no helper fill. Accepted chain/bulb detail remains. This is the initial contextual baseline; later furnishing may justify focused evidence-based review. Do not restore the historical third apron fixture. [35]</w:t>
      </w:r>
    </w:p>
    <w:p>
      <w:pPr/>
      <w:r>
        <w:t>Hand-authored ReceivingSetDressing and the separate monitor are accepted in their bounded slice. Eleven mapped movement-only collision proxies/seventeen primitives support the reviewed art; hidden alternatives remain collisionless. Moving/replacing/activating art requires matching proxy refit. This is scene-specific maintenance, not new general fixture collision authority. [35]</w:t>
      </w:r>
    </w:p>
    <w:p>
      <w:pPr/>
      <w:r>
        <w:t>The original curved CRT is a passive 704 × 400 green SubViewport screen, with static IDLE/CLEAR/00 mock content. Readability, subdued bezel and absence of light spill are human-accepted; no live queue/lift/expedition data or interactive control exists. The independent EMERGENCY STOP plaque is accepted visual signage; the button is decorative. Prototype screen/text scale is not a final UI specification. [35]</w:t>
      </w:r>
    </w:p>
    <w:p>
      <w:pPr/>
      <w:r>
        <w:t>The first manual Receiving wear composition is human-reviewed and merged, with 18 currently saved layers (17 scalar plus one conventional). The seven original Codex Road Dust placements and obsolete ReceivingFinishPass are retired; source presets remain available under their approvals. Further adjustments are ordinary authoring, with no permanent art freeze and no reopening of the accepted reusable EAF4 foundation. [35]</w:t>
      </w:r>
    </w:p>
    <w:p>
      <w:pPr>
        <w:pStyle w:val="Heading2"/>
      </w:pPr>
      <w:r>
        <w:t>34.8 Current validation order</w:t>
      </w:r>
    </w:p>
    <w:p>
      <w:pPr>
        <w:spacing w:after="40"/>
      </w:pPr>
      <w:r>
        <w:t>1. GDD v0.12, Findings v0.12 and VDD v0.9 are current authorities; preserve historical editions/evidence.</w:t>
      </w:r>
    </w:p>
    <w:p>
      <w:pPr>
        <w:spacing w:after="40"/>
      </w:pPr>
      <w:r>
        <w:t>2. Continue Receiving C1 contextual room authoring from the accepted initial baseline. Initial manual wear is completed, human-reviewed and merged; further wear/furnishing adjustment does not reopen completed EAF4 tooling.</w:t>
      </w:r>
    </w:p>
    <w:p>
      <w:pPr>
        <w:spacing w:after="40"/>
      </w:pPr>
      <w:r>
        <w:t>3. Separately scoped Stage C physical queue pressure, activation, close/promote feedback, shutter gating and theatre remain future after C1.</w:t>
      </w:r>
    </w:p>
    <w:p>
      <w:pPr>
        <w:spacing w:after="40"/>
      </w:pPr>
      <w:r>
        <w:t>4. Broader Systems MVP remains under the GDD roadmap; this editorial task initiates no implementation.</w:t>
      </w:r>
    </w:p>
    <w:p>
      <w:pPr>
        <w:spacing w:before="120"/>
      </w:pPr>
      <w:r>
        <w:t>Source/use approvals, automated assertions, renderer captures, actual Godot use and specific human visual acceptances remain distinct. Later contextual finish/light review may follow authored room changes; current lighting and passive display are not permanently frozen art or implemented queue theatre.</w:t>
      </w:r>
    </w:p>
    <w:p>
      <w:pPr>
        <w:pStyle w:val="Heading2"/>
        <w:pageBreakBefore/>
      </w:pPr>
      <w:r>
        <w:t>34.9 Historical v0.8 revision and source register</w:t>
      </w:r>
    </w:p>
    <w:p>
      <w:r>
        <w:t>HISTORICAL 29 SEPTEMBER v0.8 CHECKPOINT. The following register retains the source set for that edition; §35 records v0.9 reconciliation. Sections 27, 32.5 and 33.6 remain historical, and earlier palettes/schematics/images remain intact. Current production statements in §34 supersede its former migration-next and proof-palette defaults.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0205"/>
      </w:tblGrid>
      <w:tr>
        <w:trPr>
          <w:cantSplit/>
          <w:tblHeader/>
        </w:trPr>
        <w:tc>
          <w:tcPr>
            <w:tcW w:type="dxa" w:w="3685"/>
            <w:tcMar>
              <w:top w:w="90" w:type="dxa"/>
              <w:bottom w:w="90" w:type="dxa"/>
              <w:left w:w="120" w:type="dxa"/>
              <w:right w:w="120" w:type="dxa"/>
            </w:tcMar>
            <w:shd w:fill="22343E"/>
          </w:tcPr>
          <w:p>
            <w:r>
              <w:rPr>
                <w:b/>
                <w:color w:val="FFFFFF"/>
                <w:sz w:val="17"/>
              </w:rPr>
              <w:t>Coverage</w:t>
            </w:r>
          </w:p>
        </w:tc>
        <w:tc>
          <w:tcPr>
            <w:tcW w:type="dxa" w:w="10205"/>
            <w:tcMar>
              <w:top w:w="90" w:type="dxa"/>
              <w:bottom w:w="90" w:type="dxa"/>
              <w:left w:w="120" w:type="dxa"/>
              <w:right w:w="120" w:type="dxa"/>
            </w:tcMar>
            <w:shd w:fill="22343E"/>
          </w:tcPr>
          <w:p>
            <w:r>
              <w:rPr>
                <w:b/>
                <w:color w:val="FFFFFF"/>
                <w:sz w:val="17"/>
              </w:rPr>
              <w:t>Source record</w:t>
            </w:r>
          </w:p>
        </w:tc>
      </w:tr>
      <w:tr>
        <w:trPr>
          <w:cantSplit/>
        </w:trPr>
        <w:tc>
          <w:tcPr>
            <w:tcW w:type="dxa" w:w="3685"/>
            <w:tcMar>
              <w:top w:w="90" w:type="dxa"/>
              <w:bottom w:w="90" w:type="dxa"/>
              <w:left w:w="120" w:type="dxa"/>
              <w:right w:w="120" w:type="dxa"/>
            </w:tcMar>
            <w:shd w:fill="FFFFFF"/>
          </w:tcPr>
          <w:p>
            <w:r>
              <w:rPr>
                <w:color w:val="000000"/>
                <w:sz w:val="17"/>
              </w:rPr>
              <w:t>Masters at the v0.8 checkpoint</w:t>
            </w:r>
          </w:p>
        </w:tc>
        <w:tc>
          <w:tcPr>
            <w:tcW w:type="dxa" w:w="10205"/>
            <w:tcMar>
              <w:top w:w="90" w:type="dxa"/>
              <w:bottom w:w="90" w:type="dxa"/>
              <w:left w:w="120" w:type="dxa"/>
              <w:right w:w="120" w:type="dxa"/>
            </w:tcMar>
            <w:shd w:fill="FFFFFF"/>
          </w:tcPr>
          <w:p>
            <w:r>
              <w:rPr>
                <w:color w:val="000000"/>
                <w:sz w:val="17"/>
              </w:rPr>
              <w:t>docs/Sorting_Apocalypse_Preliminary_GDD_v0.11.docx; docs/Sorting_Apocalypse_Prototype_Findings_v0.11.docx; docs/Sorting_Apocalypse_Visual_Design_Direction_v0.8.docx</w:t>
            </w:r>
          </w:p>
        </w:tc>
      </w:tr>
      <w:tr>
        <w:trPr>
          <w:cantSplit/>
        </w:trPr>
        <w:tc>
          <w:tcPr>
            <w:tcW w:type="dxa" w:w="3685"/>
            <w:tcMar>
              <w:top w:w="90" w:type="dxa"/>
              <w:bottom w:w="90" w:type="dxa"/>
              <w:left w:w="120" w:type="dxa"/>
              <w:right w:w="120" w:type="dxa"/>
            </w:tcMar>
            <w:shd w:fill="F3F6F7"/>
          </w:tcPr>
          <w:p>
            <w:r>
              <w:rPr>
                <w:color w:val="000000"/>
                <w:sz w:val="17"/>
              </w:rPr>
              <w:t>EAF5 final Receiving decision and C1 handoff</w:t>
            </w:r>
          </w:p>
        </w:tc>
        <w:tc>
          <w:tcPr>
            <w:tcW w:type="dxa" w:w="10205"/>
            <w:tcMar>
              <w:top w:w="90" w:type="dxa"/>
              <w:bottom w:w="90" w:type="dxa"/>
              <w:left w:w="120" w:type="dxa"/>
              <w:right w:w="120" w:type="dxa"/>
            </w:tcMar>
            <w:shd w:fill="F3F6F7"/>
          </w:tcPr>
          <w:p>
            <w:r>
              <w:rPr>
                <w:color w:val="000000"/>
                <w:sz w:val="17"/>
              </w:rPr>
              <w:t>docs/testing/environment-authoring-eaf5-promotion-validation.md; data/environment/receiving_proof/eaf5_c1_handoff.json</w:t>
            </w:r>
          </w:p>
        </w:tc>
      </w:tr>
      <w:tr>
        <w:trPr>
          <w:cantSplit/>
        </w:trPr>
        <w:tc>
          <w:tcPr>
            <w:tcW w:type="dxa" w:w="3685"/>
            <w:tcMar>
              <w:top w:w="90" w:type="dxa"/>
              <w:bottom w:w="90" w:type="dxa"/>
              <w:left w:w="120" w:type="dxa"/>
              <w:right w:w="120" w:type="dxa"/>
            </w:tcMar>
            <w:shd w:fill="FFFFFF"/>
          </w:tcPr>
          <w:p>
            <w:r>
              <w:rPr>
                <w:color w:val="000000"/>
                <w:sz w:val="17"/>
              </w:rPr>
              <w:t>EAF1 lookdev and WallGrazing</w:t>
            </w:r>
          </w:p>
        </w:tc>
        <w:tc>
          <w:tcPr>
            <w:tcW w:type="dxa" w:w="10205"/>
            <w:tcMar>
              <w:top w:w="90" w:type="dxa"/>
              <w:bottom w:w="90" w:type="dxa"/>
              <w:left w:w="120" w:type="dxa"/>
              <w:right w:w="120" w:type="dxa"/>
            </w:tcMar>
            <w:shd w:fill="FFFFFF"/>
          </w:tcPr>
          <w:p>
            <w:r>
              <w:rPr>
                <w:color w:val="000000"/>
                <w:sz w:val="17"/>
              </w:rPr>
              <w:t>docs/testing/environment-authoring-eaf1-lookdev-validation.md; docs/testing/environment-authoring-eaf1-wallgrazing-fix-validation.md</w:t>
            </w:r>
          </w:p>
        </w:tc>
      </w:tr>
      <w:tr>
        <w:trPr>
          <w:cantSplit/>
        </w:trPr>
        <w:tc>
          <w:tcPr>
            <w:tcW w:type="dxa" w:w="3685"/>
            <w:tcMar>
              <w:top w:w="90" w:type="dxa"/>
              <w:bottom w:w="90" w:type="dxa"/>
              <w:left w:w="120" w:type="dxa"/>
              <w:right w:w="120" w:type="dxa"/>
            </w:tcMar>
            <w:shd w:fill="F3F6F7"/>
          </w:tcPr>
          <w:p>
            <w:r>
              <w:rPr>
                <w:color w:val="000000"/>
                <w:sz w:val="17"/>
              </w:rPr>
              <w:t>EAF2 structural authoring</w:t>
            </w:r>
          </w:p>
        </w:tc>
        <w:tc>
          <w:tcPr>
            <w:tcW w:type="dxa" w:w="10205"/>
            <w:tcMar>
              <w:top w:w="90" w:type="dxa"/>
              <w:bottom w:w="90" w:type="dxa"/>
              <w:left w:w="120" w:type="dxa"/>
              <w:right w:w="120" w:type="dxa"/>
            </w:tcMar>
            <w:shd w:fill="F3F6F7"/>
          </w:tcPr>
          <w:p>
            <w:r>
              <w:rPr>
                <w:color w:val="000000"/>
                <w:sz w:val="17"/>
              </w:rPr>
              <w:t>docs/testing/environment-authoring-eaf2-substrate-validation.md</w:t>
            </w:r>
          </w:p>
        </w:tc>
      </w:tr>
      <w:tr>
        <w:trPr>
          <w:cantSplit/>
        </w:trPr>
        <w:tc>
          <w:tcPr>
            <w:tcW w:type="dxa" w:w="3685"/>
            <w:tcMar>
              <w:top w:w="90" w:type="dxa"/>
              <w:bottom w:w="90" w:type="dxa"/>
              <w:left w:w="120" w:type="dxa"/>
              <w:right w:w="120" w:type="dxa"/>
            </w:tcMar>
            <w:shd w:fill="FFFFFF"/>
          </w:tcPr>
          <w:p>
            <w:r>
              <w:rPr>
                <w:color w:val="000000"/>
                <w:sz w:val="17"/>
              </w:rPr>
              <w:t>EAF3 catalog, FAB and UV policy</w:t>
            </w:r>
          </w:p>
        </w:tc>
        <w:tc>
          <w:tcPr>
            <w:tcW w:type="dxa" w:w="10205"/>
            <w:tcMar>
              <w:top w:w="90" w:type="dxa"/>
              <w:bottom w:w="90" w:type="dxa"/>
              <w:left w:w="120" w:type="dxa"/>
              <w:right w:w="120" w:type="dxa"/>
            </w:tcMar>
            <w:shd w:fill="FFFFFF"/>
          </w:tcPr>
          <w:p>
            <w:r>
              <w:rPr>
                <w:color w:val="000000"/>
                <w:sz w:val="17"/>
              </w:rPr>
              <w:t>docs/testing/environment-authoring-eaf3a-repository-index-validation.md; docs/testing/environment-authoring-eaf3b-curated-catalog-validation.md; docs/testing/environment-authoring-eaf3-fab-profile-refresh-validation.md; docs/testing/environment-authoring-triplanar-uv-default-maintenance.md</w:t>
            </w:r>
          </w:p>
        </w:tc>
      </w:tr>
      <w:tr>
        <w:trPr>
          <w:cantSplit/>
        </w:trPr>
        <w:tc>
          <w:tcPr>
            <w:tcW w:type="dxa" w:w="3685"/>
            <w:tcMar>
              <w:top w:w="90" w:type="dxa"/>
              <w:bottom w:w="90" w:type="dxa"/>
              <w:left w:w="120" w:type="dxa"/>
              <w:right w:w="120" w:type="dxa"/>
            </w:tcMar>
            <w:shd w:fill="F3F6F7"/>
          </w:tcPr>
          <w:p>
            <w:r>
              <w:rPr>
                <w:color w:val="000000"/>
                <w:sz w:val="17"/>
              </w:rPr>
              <w:t>EAF4 wear</w:t>
            </w:r>
          </w:p>
        </w:tc>
        <w:tc>
          <w:tcPr>
            <w:tcW w:type="dxa" w:w="10205"/>
            <w:tcMar>
              <w:top w:w="90" w:type="dxa"/>
              <w:bottom w:w="90" w:type="dxa"/>
              <w:left w:w="120" w:type="dxa"/>
              <w:right w:w="120" w:type="dxa"/>
            </w:tcMar>
            <w:shd w:fill="F3F6F7"/>
          </w:tcPr>
          <w:p>
            <w:r>
              <w:rPr>
                <w:color w:val="000000"/>
                <w:sz w:val="17"/>
              </w:rPr>
              <w:t>docs/testing/environment-authoring-eaf4a-wear-source-index-validation.md; docs/testing/environment-authoring-eaf4b-overlay-catalog-validation.md</w:t>
            </w:r>
          </w:p>
        </w:tc>
      </w:tr>
      <w:tr>
        <w:trPr>
          <w:cantSplit/>
        </w:trPr>
        <w:tc>
          <w:tcPr>
            <w:tcW w:type="dxa" w:w="3685"/>
            <w:tcMar>
              <w:top w:w="90" w:type="dxa"/>
              <w:bottom w:w="90" w:type="dxa"/>
              <w:left w:w="120" w:type="dxa"/>
              <w:right w:w="120" w:type="dxa"/>
            </w:tcMar>
            <w:shd w:fill="FFFFFF"/>
          </w:tcPr>
          <w:p>
            <w:r>
              <w:rPr>
                <w:color w:val="000000"/>
                <w:sz w:val="17"/>
              </w:rPr>
              <w:t>Fixed ladder and Receiving Stage B</w:t>
            </w:r>
          </w:p>
        </w:tc>
        <w:tc>
          <w:tcPr>
            <w:tcW w:type="dxa" w:w="10205"/>
            <w:tcMar>
              <w:top w:w="90" w:type="dxa"/>
              <w:bottom w:w="90" w:type="dxa"/>
              <w:left w:w="120" w:type="dxa"/>
              <w:right w:w="120" w:type="dxa"/>
            </w:tcMar>
            <w:shd w:fill="FFFFFF"/>
          </w:tcPr>
          <w:p>
            <w:r>
              <w:rPr>
                <w:color w:val="000000"/>
                <w:sz w:val="17"/>
              </w:rPr>
              <w:t>docs/testing/fixed-ladder-proof-validation.md; docs/testing/receiving-deterministic-deck-presenter-validation.md; docs/testing/receiving-functional-freight-fixtures-validation.md</w:t>
            </w:r>
          </w:p>
        </w:tc>
      </w:tr>
      <w:tr>
        <w:trPr>
          <w:cantSplit/>
        </w:trPr>
        <w:tc>
          <w:tcPr>
            <w:tcW w:type="dxa" w:w="3685"/>
            <w:tcMar>
              <w:top w:w="90" w:type="dxa"/>
              <w:bottom w:w="90" w:type="dxa"/>
              <w:left w:w="120" w:type="dxa"/>
              <w:right w:w="120" w:type="dxa"/>
            </w:tcMar>
            <w:shd w:fill="F3F6F7"/>
          </w:tcPr>
          <w:p>
            <w:r>
              <w:rPr>
                <w:color w:val="000000"/>
                <w:sz w:val="17"/>
              </w:rPr>
              <w:t>Current authority and gate order</w:t>
            </w:r>
          </w:p>
        </w:tc>
        <w:tc>
          <w:tcPr>
            <w:tcW w:type="dxa" w:w="10205"/>
            <w:tcMar>
              <w:top w:w="90" w:type="dxa"/>
              <w:bottom w:w="90" w:type="dxa"/>
              <w:left w:w="120" w:type="dxa"/>
              <w:right w:w="120" w:type="dxa"/>
            </w:tcMar>
            <w:shd w:fill="F3F6F7"/>
          </w:tcPr>
          <w:p>
            <w:r>
              <w:rPr>
                <w:color w:val="000000"/>
                <w:sz w:val="17"/>
              </w:rPr>
              <w:t>docs/CURRENT_STATE.md</w:t>
            </w:r>
          </w:p>
        </w:tc>
      </w:tr>
    </w:tbl>
    <w:p>
      <w:pPr>
        <w:pStyle w:val="Heading1"/>
      </w:pPr>
      <w:r>
        <w:t>35. v0.9 revision and source register</w:t>
      </w:r>
    </w:p>
    <w:p>
      <w:pPr/>
      <w:r>
        <w:t>10 October 2026. Reconciles §1, §5–6, §10, §13, §25–28, §31 and §34 with accepted C1 progress and EAF4 authoring. Original visuals, world history and design principles remain. No new visual milestone is approved.</w:t>
      </w:r>
    </w:p>
    <w:p>
      <w:pPr/>
      <w:r>
        <w:t>C1 sources under docs/testing/: structural/material (30 September), lift/deck (1 October), lighting/compact retrofit (3 October), dressing/collision and CRT (9 October). Exact paths and acceptance classifications: three-master-document-reconciliation-2026-10-10.md. EAF4 completion/retirement: environment-authoring-eaf4-imperfection-authoring-milestone-closeout-2026-10-10.md; environment-authoring-eaf4-imperfection-approvals-and-receiving-finish-retirement-2026-10-10.md.</w:t>
      </w:r>
    </w:p>
    <w:p>
      <w:pPr/>
      <w:r>
        <w:t>Workflow/provenance: docs/environment-authoring/eaf4-wear-authoring-guide.md; eaf4-imperfection-audition-guide.md; data/environment/wear_catalog/decisions/2026-10-10-eaf4-imperfection-scoped-human-review.json and approved_specs/approved_masks.json. Guarded licensed originals/caches and Compatibility renderer remain. Source/use approval never automatically accepts a room placement.</w:t>
      </w:r>
    </w:p>
    <w:p>
      <w:pPr/>
      <w:r>
        <w:t>Initial manual composition: human acceptance and eighteenth-layer clarification, 10 October; art c160ae8 merged by e314c41. Current scene/geometry and docs/CURRENT_STATE.md govern operational status. See docs/testing/three-master-document-reconciliation-2026-10-10.md and its QA report. Local documentation review; C1 remains IN PROGRESS.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10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&amp; World-Building Direction v0.9</dc:title>
  <dc:subject>Promoted EAF1–EAF5 environment authoring and Receiving architectural direction</dc:subject>
  <dc:creator>Sorting Apocalypse project</dc:creator>
  <cp:keywords>Sorting Apocalypse, visual design, world-building, bunker, environment, art direction</cp:keywords>
  <dc:description>Living project authority aligned to promoted evidence through 21 September 2026.</dc:description>
  <cp:lastModifiedBy/>
  <cp:revision>7</cp:revision>
  <dcterms:created xsi:type="dcterms:W3CDTF">2013-12-23T23:15:00Z</dcterms:created>
  <dcterms:modified xsi:type="dcterms:W3CDTF">2026-10-10T00:00:00Z</dcterms:modified>
  <cp:category/>
  <cp:version>0.4</cp:version>
</cp:coreProperties>
</file>