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rPr>
        <w:t>Hall of Ventures</w:t>
      </w:r>
    </w:p>
    <w:p>
      <w:pPr>
        <w:pStyle w:val="Subtitle"/>
        <w:spacing w:before="0" w:after="200" w:line="276" w:lineRule="auto"/>
        <w:jc w:val="center"/>
      </w:pPr>
      <w:r>
        <w:t>Design Canon v2.2  |  Hybrid contract-and-expedition spine with commission system foundations</w:t>
      </w:r>
    </w:p>
    <w:tbl>
      <w:tblPr>
        <w:tblW w:type="auto" w:w="0"/>
        <w:jc w:val="center"/>
        <w:tblLayout w:type="fixed"/>
        <w:tblLook w:firstColumn="1" w:firstRow="1" w:lastColumn="0" w:lastRow="0" w:noHBand="0" w:noVBand="1" w:val="04A0"/>
      </w:tblPr>
      <w:tblGrid>
        <w:gridCol w:w="2304"/>
        <w:gridCol w:w="6912"/>
      </w:tblGrid>
      <w:tr>
        <w:trPr/>
        <w:tc>
          <w:tcPr>
            <w:tcW w:type="dxa" w:w="4968"/>
            <w:tcMar>
              <w:top w:w="80" w:type="dxa"/>
              <w:start w:w="100" w:type="dxa"/>
              <w:bottom w:w="80" w:type="dxa"/>
              <w:end w:w="100" w:type="dxa"/>
            </w:tcMar>
            <w:vAlign w:val="center"/>
            <w:shd w:fill="DCEBF0"/>
          </w:tcPr>
          <w:p>
            <w:r>
              <w:rPr>
                <w:b/>
                <w:sz w:val="20"/>
              </w:rPr>
              <w:t>Status</w:t>
            </w:r>
          </w:p>
        </w:tc>
        <w:tc>
          <w:tcPr>
            <w:tcW w:type="dxa" w:w="4968"/>
            <w:tcMar>
              <w:top w:w="80" w:type="dxa"/>
              <w:start w:w="100" w:type="dxa"/>
              <w:bottom w:w="80" w:type="dxa"/>
              <w:end w:w="100" w:type="dxa"/>
            </w:tcMar>
            <w:vAlign w:val="center"/>
            <w:shd w:fill="FFFFFF"/>
          </w:tcPr>
          <w:p>
            <w:r>
              <w:rPr>
                <w:sz w:val="20"/>
              </w:rPr>
              <w:t>Draft canon based on locked post-pivot decisions</w:t>
            </w:r>
          </w:p>
        </w:tc>
      </w:tr>
      <w:tr>
        <w:trPr/>
        <w:tc>
          <w:tcPr>
            <w:tcW w:type="dxa" w:w="4968"/>
            <w:tcMar>
              <w:top w:w="80" w:type="dxa"/>
              <w:start w:w="100" w:type="dxa"/>
              <w:bottom w:w="80" w:type="dxa"/>
              <w:end w:w="100" w:type="dxa"/>
            </w:tcMar>
            <w:vAlign w:val="center"/>
            <w:shd w:fill="DCEBF0"/>
          </w:tcPr>
          <w:p>
            <w:r>
              <w:rPr>
                <w:b/>
                <w:sz w:val="20"/>
              </w:rPr>
              <w:t>Purpose</w:t>
            </w:r>
          </w:p>
        </w:tc>
        <w:tc>
          <w:tcPr>
            <w:tcW w:type="dxa" w:w="4968"/>
            <w:tcMar>
              <w:top w:w="80" w:type="dxa"/>
              <w:start w:w="100" w:type="dxa"/>
              <w:bottom w:w="80" w:type="dxa"/>
              <w:end w:w="100" w:type="dxa"/>
            </w:tcMar>
            <w:vAlign w:val="center"/>
            <w:shd w:fill="FFFFFF"/>
          </w:tcPr>
          <w:p>
            <w:r>
              <w:rPr>
                <w:sz w:val="20"/>
              </w:rPr>
              <w:t>Forward-looking source of truth for v1-oriented design choices</w:t>
            </w:r>
          </w:p>
        </w:tc>
      </w:tr>
      <w:tr>
        <w:trPr/>
        <w:tc>
          <w:tcPr>
            <w:tcW w:type="dxa" w:w="4968"/>
            <w:tcMar>
              <w:top w:w="80" w:type="dxa"/>
              <w:start w:w="100" w:type="dxa"/>
              <w:bottom w:w="80" w:type="dxa"/>
              <w:end w:w="100" w:type="dxa"/>
            </w:tcMar>
            <w:vAlign w:val="center"/>
            <w:shd w:fill="DCEBF0"/>
          </w:tcPr>
          <w:p>
            <w:r>
              <w:rPr>
                <w:b/>
                <w:sz w:val="20"/>
              </w:rPr>
              <w:t>Relationship</w:t>
            </w:r>
          </w:p>
        </w:tc>
        <w:tc>
          <w:tcPr>
            <w:tcW w:type="dxa" w:w="4968"/>
            <w:tcMar>
              <w:top w:w="80" w:type="dxa"/>
              <w:start w:w="100" w:type="dxa"/>
              <w:bottom w:w="80" w:type="dxa"/>
              <w:end w:w="100" w:type="dxa"/>
            </w:tcMar>
            <w:vAlign w:val="center"/>
            <w:shd w:fill="FFFFFF"/>
          </w:tcPr>
          <w:p>
            <w:r>
              <w:rPr>
                <w:sz w:val="20"/>
              </w:rPr>
              <w:t>Supplements the historical MVP brief and supersedes the prior post-MVP canon where conflicts exist</w:t>
            </w:r>
          </w:p>
        </w:tc>
      </w:tr>
      <w:tr>
        <w:trPr/>
        <w:tc>
          <w:tcPr>
            <w:tcW w:type="dxa" w:w="4968"/>
            <w:tcMar>
              <w:top w:w="80" w:type="dxa"/>
              <w:start w:w="100" w:type="dxa"/>
              <w:bottom w:w="80" w:type="dxa"/>
              <w:end w:w="100" w:type="dxa"/>
            </w:tcMar>
            <w:vAlign w:val="center"/>
            <w:shd w:fill="DCEBF0"/>
          </w:tcPr>
          <w:p>
            <w:r>
              <w:rPr>
                <w:b/>
                <w:sz w:val="20"/>
              </w:rPr>
              <w:t>Working title</w:t>
            </w:r>
          </w:p>
        </w:tc>
        <w:tc>
          <w:tcPr>
            <w:tcW w:type="dxa" w:w="4968"/>
            <w:tcMar>
              <w:top w:w="80" w:type="dxa"/>
              <w:start w:w="100" w:type="dxa"/>
              <w:bottom w:w="80" w:type="dxa"/>
              <w:end w:w="100" w:type="dxa"/>
            </w:tcMar>
            <w:vAlign w:val="center"/>
            <w:shd w:fill="FFFFFF"/>
          </w:tcPr>
          <w:p>
            <w:r>
              <w:rPr>
                <w:sz w:val="20"/>
              </w:rPr>
              <w:t>Hall of Ventures (formerly Expedition Guild Idle)</w:t>
            </w:r>
          </w:p>
        </w:tc>
      </w:tr>
    </w:tbl>
    <w:p/>
    <w:tbl>
      <w:tblPr>
        <w:tblW w:type="auto" w:w="0"/>
        <w:jc w:val="center"/>
        <w:tblLook w:firstColumn="1" w:firstRow="1" w:lastColumn="0" w:lastRow="0" w:noHBand="0" w:noVBand="1" w:val="04A0"/>
      </w:tblPr>
      <w:tblGrid>
        <w:gridCol w:w="9936"/>
      </w:tblGrid>
      <w:tr>
        <w:tc>
          <w:tcPr>
            <w:tcW w:type="dxa" w:w="9936"/>
            <w:shd w:fill="EAF3F6"/>
            <w:tcMar>
              <w:top w:w="120" w:type="dxa"/>
              <w:start w:w="140" w:type="dxa"/>
              <w:bottom w:w="120" w:type="dxa"/>
              <w:end w:w="140" w:type="dxa"/>
            </w:tcMar>
          </w:tcPr>
          <w:p>
            <w:pPr>
              <w:spacing w:before="0" w:after="0" w:line="276" w:lineRule="auto"/>
            </w:pPr>
            <w:r>
              <w:rPr>
                <w:b/>
              </w:rPr>
              <w:t xml:space="preserve">Document management decision. </w:t>
            </w:r>
            <w:r>
              <w:t>Keep the original MVP brief separate as a historical record. Keep the previous design canon separate as a useful transitional artifact. Use this v2 canon as the forward-looking reference for the Hall of Ventures direction, updated gameplay spine, region/mission framework, and future milestone framing.</w:t>
            </w:r>
          </w:p>
        </w:tc>
      </w:tr>
    </w:tbl>
    <w:p>
      <w:pPr>
        <w:pStyle w:val="Subtitle"/>
        <w:spacing w:before="160" w:after="0" w:line="276" w:lineRule="auto"/>
        <w:jc w:val="center"/>
      </w:pPr>
      <w:r>
        <w:t>Updated to include the first commission system foundations: patron tiers, commission board rules, operational inputs, prep tiers, and objective-template scaffolding.</w:t>
      </w:r>
    </w:p>
    <w:p>
      <w:r>
        <w:br w:type="page"/>
      </w:r>
    </w:p>
    <w:p>
      <w:pPr>
        <w:pStyle w:val="Heading1"/>
        <w:spacing w:before="160" w:after="60" w:line="276" w:lineRule="auto"/>
      </w:pPr>
      <w:r>
        <w:t>1. Design canon overview</w:t>
      </w:r>
    </w:p>
    <w:p>
      <w:pPr>
        <w:spacing w:before="0" w:after="80" w:line="276" w:lineRule="auto"/>
      </w:pPr>
      <w:r>
        <w:t>Hall of Ventures is now locked as a frontier contract guild idler rather than a pure exploration-guild simulator. The player runs an institution that accepts patron commissions and launches independent expeditions, using regional knowledge, officer capability, logistics readiness, and codex depth to move up the ladder of prestige.</w:t>
      </w:r>
    </w:p>
    <w:p>
      <w:pPr>
        <w:spacing w:before="0" w:after="80" w:line="276" w:lineRule="auto"/>
      </w:pPr>
      <w:r>
        <w:t>This pivot solves two earlier weaknesses at once: dead time after dispatching all long expeditions, and weak external motivation. The game now has a clearer economic and prestige-facing loop through contracts, while preserving exploratory expeditions as the differentiating meta-progression layer.</w:t>
      </w:r>
    </w:p>
    <w:p>
      <w:pPr>
        <w:pStyle w:val="Heading2"/>
        <w:spacing w:before="80" w:after="60" w:line="276" w:lineRule="auto"/>
      </w:pPr>
      <w:r>
        <w:t>What this game is</w:t>
      </w:r>
    </w:p>
    <w:p>
      <w:pPr>
        <w:pStyle w:val="ListBullet"/>
        <w:spacing w:before="0" w:after="40" w:line="276" w:lineRule="auto"/>
        <w:ind w:left="288"/>
      </w:pPr>
      <w:r>
        <w:t>A UI-heavy, data-driven, non-combat fantasy idle / management game about running a frontier guild.</w:t>
      </w:r>
    </w:p>
    <w:p>
      <w:pPr>
        <w:pStyle w:val="ListBullet"/>
        <w:spacing w:before="0" w:after="40" w:line="276" w:lineRule="auto"/>
        <w:ind w:left="288"/>
      </w:pPr>
      <w:r>
        <w:t>A preparation-first game where the player matches regions, officers, logistics, and institutional knowledge to the right work.</w:t>
      </w:r>
    </w:p>
    <w:p>
      <w:pPr>
        <w:pStyle w:val="ListBullet"/>
        <w:spacing w:before="0" w:after="40" w:line="276" w:lineRule="auto"/>
        <w:ind w:left="288"/>
      </w:pPr>
      <w:r>
        <w:t>A long-horizon progression game that should support months of advancement across multiple axes rather than a short finite campaign.</w:t>
      </w:r>
    </w:p>
    <w:p>
      <w:pPr>
        <w:pStyle w:val="ListBullet"/>
        <w:spacing w:before="0" w:after="40" w:line="276" w:lineRule="auto"/>
        <w:ind w:left="288"/>
      </w:pPr>
      <w:r>
        <w:t>A project that expands the current Godot 4 / JSON-driven foundation instead of replacing it.</w:t>
      </w:r>
    </w:p>
    <w:p>
      <w:pPr>
        <w:pStyle w:val="Heading2"/>
        <w:spacing w:before="80" w:after="60" w:line="276" w:lineRule="auto"/>
      </w:pPr>
      <w:r>
        <w:t>What this game is not</w:t>
      </w:r>
    </w:p>
    <w:p>
      <w:pPr>
        <w:pStyle w:val="ListBullet"/>
        <w:spacing w:before="0" w:after="40" w:line="276" w:lineRule="auto"/>
        <w:ind w:left="288"/>
      </w:pPr>
      <w:r>
        <w:t>Not a combat battler with expedition visuals pasted over hero progression.</w:t>
      </w:r>
    </w:p>
    <w:p>
      <w:pPr>
        <w:pStyle w:val="ListBullet"/>
        <w:spacing w:before="0" w:after="40" w:line="276" w:lineRule="auto"/>
        <w:ind w:left="288"/>
      </w:pPr>
      <w:r>
        <w:t>Not a real-time multiplayer or shared-world project.</w:t>
      </w:r>
    </w:p>
    <w:p>
      <w:pPr>
        <w:pStyle w:val="ListBullet"/>
        <w:spacing w:before="0" w:after="40" w:line="276" w:lineRule="auto"/>
        <w:ind w:left="288"/>
      </w:pPr>
      <w:r>
        <w:t>Not a runtime frontier-map simulation.</w:t>
      </w:r>
    </w:p>
    <w:p>
      <w:pPr>
        <w:pStyle w:val="ListBullet"/>
        <w:spacing w:before="0" w:after="40" w:line="276" w:lineRule="auto"/>
        <w:ind w:left="288"/>
      </w:pPr>
      <w:r>
        <w:t>Not a hero-collector first and guild game second.</w:t>
      </w:r>
    </w:p>
    <w:p>
      <w:pPr>
        <w:pStyle w:val="ListBullet"/>
        <w:spacing w:before="0" w:after="40" w:line="276" w:lineRule="auto"/>
        <w:ind w:left="288"/>
      </w:pPr>
      <w:r>
        <w:t>Not a feature pile that widens faster than a solo developer can reasonably ship.</w:t>
      </w:r>
    </w:p>
    <w:p>
      <w:pPr>
        <w:pStyle w:val="Heading2"/>
        <w:spacing w:before="80" w:after="60" w:line="276" w:lineRule="auto"/>
      </w:pPr>
      <w:r>
        <w:t>Locked pillars</w:t>
      </w:r>
    </w:p>
    <w:tbl>
      <w:tblPr>
        <w:tblStyle w:val="TableGrid"/>
        <w:tblW w:type="auto" w:w="0"/>
        <w:jc w:val="center"/>
        <w:tblLook w:firstColumn="1" w:firstRow="1" w:lastColumn="0" w:lastRow="0" w:noHBand="0" w:noVBand="1" w:val="04A0"/>
      </w:tblPr>
      <w:tblGrid>
        <w:gridCol w:w="3168"/>
        <w:gridCol w:w="6912"/>
      </w:tblGrid>
      <w:tr>
        <w:tc>
          <w:tcPr>
            <w:tcW w:type="dxa" w:w="4968"/>
            <w:shd w:fill="DCEBF0"/>
            <w:tcMar>
              <w:top w:w="90" w:type="dxa"/>
              <w:start w:w="100" w:type="dxa"/>
              <w:bottom w:w="90" w:type="dxa"/>
              <w:end w:w="100" w:type="dxa"/>
            </w:tcMar>
            <w:vAlign w:val="center"/>
          </w:tcPr>
          <w:p>
            <w:r>
              <w:rPr>
                <w:b/>
                <w:sz w:val="20"/>
              </w:rPr>
              <w:t>Pillar</w:t>
            </w:r>
          </w:p>
        </w:tc>
        <w:tc>
          <w:tcPr>
            <w:tcW w:type="dxa" w:w="4968"/>
            <w:shd w:fill="DCEBF0"/>
            <w:tcMar>
              <w:top w:w="90" w:type="dxa"/>
              <w:start w:w="100" w:type="dxa"/>
              <w:bottom w:w="90" w:type="dxa"/>
              <w:end w:w="100" w:type="dxa"/>
            </w:tcMar>
            <w:vAlign w:val="center"/>
          </w:tcPr>
          <w:p>
            <w:r>
              <w:rPr>
                <w:b/>
                <w:sz w:val="20"/>
              </w:rPr>
              <w:t>Locked stance</w:t>
            </w:r>
          </w:p>
        </w:tc>
      </w:tr>
      <w:tr>
        <w:tc>
          <w:tcPr>
            <w:tcW w:type="dxa" w:w="3168"/>
            <w:shd w:fill="F3F6F8"/>
            <w:tcMar>
              <w:top w:w="75" w:type="dxa"/>
              <w:start w:w="90" w:type="dxa"/>
              <w:bottom w:w="75" w:type="dxa"/>
              <w:end w:w="90" w:type="dxa"/>
            </w:tcMar>
            <w:vAlign w:val="center"/>
          </w:tcPr>
          <w:p>
            <w:r>
              <w:rPr>
                <w:sz w:val="19"/>
              </w:rPr>
              <w:t>Core identity</w:t>
            </w:r>
          </w:p>
        </w:tc>
        <w:tc>
          <w:tcPr>
            <w:tcW w:type="dxa" w:w="6912"/>
            <w:tcMar>
              <w:top w:w="75" w:type="dxa"/>
              <w:start w:w="90" w:type="dxa"/>
              <w:bottom w:w="75" w:type="dxa"/>
              <w:end w:w="90" w:type="dxa"/>
            </w:tcMar>
            <w:vAlign w:val="center"/>
          </w:tcPr>
          <w:p>
            <w:r>
              <w:rPr>
                <w:sz w:val="19"/>
              </w:rPr>
              <w:t>Frontier contract guild idler</w:t>
            </w:r>
          </w:p>
        </w:tc>
      </w:tr>
      <w:tr>
        <w:tc>
          <w:tcPr>
            <w:tcW w:type="dxa" w:w="3168"/>
            <w:shd w:fill="F3F6F8"/>
            <w:tcMar>
              <w:top w:w="75" w:type="dxa"/>
              <w:start w:w="90" w:type="dxa"/>
              <w:bottom w:w="75" w:type="dxa"/>
              <w:end w:w="90" w:type="dxa"/>
            </w:tcMar>
            <w:vAlign w:val="center"/>
          </w:tcPr>
          <w:p>
            <w:r>
              <w:rPr>
                <w:sz w:val="19"/>
              </w:rPr>
              <w:t>Primary progression vessel</w:t>
            </w:r>
          </w:p>
        </w:tc>
        <w:tc>
          <w:tcPr>
            <w:tcW w:type="dxa" w:w="6912"/>
            <w:tcMar>
              <w:top w:w="75" w:type="dxa"/>
              <w:start w:w="90" w:type="dxa"/>
              <w:bottom w:w="75" w:type="dxa"/>
              <w:end w:w="90" w:type="dxa"/>
            </w:tcMar>
            <w:vAlign w:val="center"/>
          </w:tcPr>
          <w:p>
            <w:r>
              <w:rPr>
                <w:sz w:val="19"/>
              </w:rPr>
              <w:t>The guild, not a central hero avatar</w:t>
            </w:r>
          </w:p>
        </w:tc>
      </w:tr>
      <w:tr>
        <w:tc>
          <w:tcPr>
            <w:tcW w:type="dxa" w:w="3168"/>
            <w:shd w:fill="F3F6F8"/>
            <w:tcMar>
              <w:top w:w="75" w:type="dxa"/>
              <w:start w:w="90" w:type="dxa"/>
              <w:bottom w:w="75" w:type="dxa"/>
              <w:end w:w="90" w:type="dxa"/>
            </w:tcMar>
            <w:vAlign w:val="center"/>
          </w:tcPr>
          <w:p>
            <w:r>
              <w:rPr>
                <w:sz w:val="19"/>
              </w:rPr>
              <w:t>Primary activity split</w:t>
            </w:r>
          </w:p>
        </w:tc>
        <w:tc>
          <w:tcPr>
            <w:tcW w:type="dxa" w:w="6912"/>
            <w:tcMar>
              <w:top w:w="75" w:type="dxa"/>
              <w:start w:w="90" w:type="dxa"/>
              <w:bottom w:w="75" w:type="dxa"/>
              <w:end w:w="90" w:type="dxa"/>
            </w:tcMar>
            <w:vAlign w:val="center"/>
          </w:tcPr>
          <w:p>
            <w:r>
              <w:rPr>
                <w:sz w:val="19"/>
              </w:rPr>
              <w:t>Patron commissions + independent expeditions</w:t>
            </w:r>
          </w:p>
        </w:tc>
      </w:tr>
      <w:tr>
        <w:tc>
          <w:tcPr>
            <w:tcW w:type="dxa" w:w="3168"/>
            <w:shd w:fill="F3F6F8"/>
            <w:tcMar>
              <w:top w:w="75" w:type="dxa"/>
              <w:start w:w="90" w:type="dxa"/>
              <w:bottom w:w="75" w:type="dxa"/>
              <w:end w:w="90" w:type="dxa"/>
            </w:tcMar>
            <w:vAlign w:val="center"/>
          </w:tcPr>
          <w:p>
            <w:r>
              <w:rPr>
                <w:sz w:val="19"/>
              </w:rPr>
              <w:t>Main depth source</w:t>
            </w:r>
          </w:p>
        </w:tc>
        <w:tc>
          <w:tcPr>
            <w:tcW w:type="dxa" w:w="6912"/>
            <w:tcMar>
              <w:top w:w="75" w:type="dxa"/>
              <w:start w:w="90" w:type="dxa"/>
              <w:bottom w:w="75" w:type="dxa"/>
              <w:end w:w="90" w:type="dxa"/>
            </w:tcMar>
            <w:vAlign w:val="center"/>
          </w:tcPr>
          <w:p>
            <w:r>
              <w:rPr>
                <w:sz w:val="19"/>
              </w:rPr>
              <w:t>Preparation, prioritization, regional knowledge, logistics, patrons, and discovery</w:t>
            </w:r>
          </w:p>
        </w:tc>
      </w:tr>
      <w:tr>
        <w:tc>
          <w:tcPr>
            <w:tcW w:type="dxa" w:w="3168"/>
            <w:shd w:fill="F3F6F8"/>
            <w:tcMar>
              <w:top w:w="75" w:type="dxa"/>
              <w:start w:w="90" w:type="dxa"/>
              <w:bottom w:w="75" w:type="dxa"/>
              <w:end w:w="90" w:type="dxa"/>
            </w:tcMar>
            <w:vAlign w:val="center"/>
          </w:tcPr>
          <w:p>
            <w:r>
              <w:rPr>
                <w:sz w:val="19"/>
              </w:rPr>
              <w:t>World structure</w:t>
            </w:r>
          </w:p>
        </w:tc>
        <w:tc>
          <w:tcPr>
            <w:tcW w:type="dxa" w:w="6912"/>
            <w:tcMar>
              <w:top w:w="75" w:type="dxa"/>
              <w:start w:w="90" w:type="dxa"/>
              <w:bottom w:w="75" w:type="dxa"/>
              <w:end w:w="90" w:type="dxa"/>
            </w:tcMar>
            <w:vAlign w:val="center"/>
          </w:tcPr>
          <w:p>
            <w:r>
              <w:rPr>
                <w:sz w:val="19"/>
              </w:rPr>
              <w:t>Authored regions with generated missions and expeditions inside each region</w:t>
            </w:r>
          </w:p>
        </w:tc>
      </w:tr>
      <w:tr>
        <w:tc>
          <w:tcPr>
            <w:tcW w:type="dxa" w:w="3168"/>
            <w:shd w:fill="F3F6F8"/>
            <w:tcMar>
              <w:top w:w="75" w:type="dxa"/>
              <w:start w:w="90" w:type="dxa"/>
              <w:bottom w:w="75" w:type="dxa"/>
              <w:end w:w="90" w:type="dxa"/>
            </w:tcMar>
            <w:vAlign w:val="center"/>
          </w:tcPr>
          <w:p>
            <w:r>
              <w:rPr>
                <w:sz w:val="19"/>
              </w:rPr>
              <w:t>World representation</w:t>
            </w:r>
          </w:p>
        </w:tc>
        <w:tc>
          <w:tcPr>
            <w:tcW w:type="dxa" w:w="6912"/>
            <w:tcMar>
              <w:top w:w="75" w:type="dxa"/>
              <w:start w:w="90" w:type="dxa"/>
              <w:bottom w:w="75" w:type="dxa"/>
              <w:end w:w="90" w:type="dxa"/>
            </w:tcMar>
            <w:vAlign w:val="center"/>
          </w:tcPr>
          <w:p>
            <w:r>
              <w:rPr>
                <w:sz w:val="19"/>
              </w:rPr>
              <w:t>No physical frontier map; coherence comes from region design, Codex structure, and generated content</w:t>
            </w:r>
          </w:p>
        </w:tc>
      </w:tr>
      <w:tr>
        <w:tc>
          <w:tcPr>
            <w:tcW w:type="dxa" w:w="3168"/>
            <w:shd w:fill="F3F6F8"/>
            <w:tcMar>
              <w:top w:w="75" w:type="dxa"/>
              <w:start w:w="90" w:type="dxa"/>
              <w:bottom w:w="75" w:type="dxa"/>
              <w:end w:w="90" w:type="dxa"/>
            </w:tcMar>
            <w:vAlign w:val="center"/>
          </w:tcPr>
          <w:p>
            <w:r>
              <w:rPr>
                <w:sz w:val="19"/>
              </w:rPr>
              <w:t>Codex role</w:t>
            </w:r>
          </w:p>
        </w:tc>
        <w:tc>
          <w:tcPr>
            <w:tcW w:type="dxa" w:w="6912"/>
            <w:tcMar>
              <w:top w:w="75" w:type="dxa"/>
              <w:start w:w="90" w:type="dxa"/>
              <w:bottom w:w="75" w:type="dxa"/>
              <w:end w:w="90" w:type="dxa"/>
            </w:tcMar>
            <w:vAlign w:val="center"/>
          </w:tcPr>
          <w:p>
            <w:r>
              <w:rPr>
                <w:sz w:val="19"/>
              </w:rPr>
              <w:t>Primary knowledge and progression surface, not the live dispatch surface</w:t>
            </w:r>
          </w:p>
        </w:tc>
      </w:tr>
      <w:tr>
        <w:tc>
          <w:tcPr>
            <w:tcW w:type="dxa" w:w="3168"/>
            <w:shd w:fill="F3F6F8"/>
            <w:tcMar>
              <w:top w:w="75" w:type="dxa"/>
              <w:start w:w="90" w:type="dxa"/>
              <w:bottom w:w="75" w:type="dxa"/>
              <w:end w:w="90" w:type="dxa"/>
            </w:tcMar>
            <w:vAlign w:val="center"/>
          </w:tcPr>
          <w:p>
            <w:r>
              <w:rPr>
                <w:sz w:val="19"/>
              </w:rPr>
              <w:t>Online stance</w:t>
            </w:r>
          </w:p>
        </w:tc>
        <w:tc>
          <w:tcPr>
            <w:tcW w:type="dxa" w:w="6912"/>
            <w:tcMar>
              <w:top w:w="75" w:type="dxa"/>
              <w:start w:w="90" w:type="dxa"/>
              <w:bottom w:w="75" w:type="dxa"/>
              <w:end w:w="90" w:type="dxa"/>
            </w:tcMar>
            <w:vAlign w:val="center"/>
          </w:tcPr>
          <w:p>
            <w:r>
              <w:rPr>
                <w:sz w:val="19"/>
              </w:rPr>
              <w:t>Server-backed / async-social friendly, not synchronous multiplayer</w:t>
            </w:r>
          </w:p>
        </w:tc>
      </w:tr>
      <w:tr>
        <w:tc>
          <w:tcPr>
            <w:tcW w:type="dxa" w:w="3168"/>
            <w:shd w:fill="F3F6F8"/>
            <w:tcMar>
              <w:top w:w="75" w:type="dxa"/>
              <w:start w:w="90" w:type="dxa"/>
              <w:bottom w:w="75" w:type="dxa"/>
              <w:end w:w="90" w:type="dxa"/>
            </w:tcMar>
            <w:vAlign w:val="center"/>
          </w:tcPr>
          <w:p>
            <w:r>
              <w:rPr>
                <w:sz w:val="19"/>
              </w:rPr>
              <w:t>Combat stance</w:t>
            </w:r>
          </w:p>
        </w:tc>
        <w:tc>
          <w:tcPr>
            <w:tcW w:type="dxa" w:w="6912"/>
            <w:tcMar>
              <w:top w:w="75" w:type="dxa"/>
              <w:start w:w="90" w:type="dxa"/>
              <w:bottom w:w="75" w:type="dxa"/>
              <w:end w:w="90" w:type="dxa"/>
            </w:tcMar>
            <w:vAlign w:val="center"/>
          </w:tcPr>
          <w:p>
            <w:r>
              <w:rPr>
                <w:sz w:val="19"/>
              </w:rPr>
              <w:t>Off-screen and abstract; modeled through requirements, readiness, and resolution rules rather than manual combat</w:t>
            </w:r>
          </w:p>
        </w:tc>
      </w:tr>
      <w:tr>
        <w:tc>
          <w:tcPr>
            <w:tcW w:type="dxa" w:w="3168"/>
            <w:shd w:fill="F3F6F8"/>
            <w:tcMar>
              <w:top w:w="75" w:type="dxa"/>
              <w:start w:w="90" w:type="dxa"/>
              <w:bottom w:w="75" w:type="dxa"/>
              <w:end w:w="90" w:type="dxa"/>
            </w:tcMar>
            <w:vAlign w:val="center"/>
          </w:tcPr>
          <w:p>
            <w:r>
              <w:rPr>
                <w:sz w:val="19"/>
              </w:rPr>
              <w:t>Milestone discipline</w:t>
            </w:r>
          </w:p>
        </w:tc>
        <w:tc>
          <w:tcPr>
            <w:tcW w:type="dxa" w:w="6912"/>
            <w:tcMar>
              <w:top w:w="75" w:type="dxa"/>
              <w:start w:w="90" w:type="dxa"/>
              <w:bottom w:w="75" w:type="dxa"/>
              <w:end w:w="90" w:type="dxa"/>
            </w:tcMar>
            <w:vAlign w:val="center"/>
          </w:tcPr>
          <w:p>
            <w:r>
              <w:rPr>
                <w:sz w:val="19"/>
              </w:rPr>
              <w:t>One meaningful subsystem slice at a time; preserve the proven Codex workflow</w:t>
            </w:r>
          </w:p>
        </w:tc>
      </w:tr>
    </w:tbl>
    <w:p/>
    <w:p>
      <w:pPr>
        <w:pStyle w:val="Heading1"/>
        <w:spacing w:before="160" w:after="60" w:line="276" w:lineRule="auto"/>
      </w:pPr>
      <w:r>
        <w:t>2. Updated gameplay spine</w:t>
      </w:r>
    </w:p>
    <w:p>
      <w:pPr>
        <w:spacing w:before="0" w:after="80" w:line="276" w:lineRule="auto"/>
      </w:pPr>
      <w:r>
        <w:t>The new spine is a hybrid: the player runs a frontier guild that undertakes patron commissions and independent expeditions. The two loops should reinforce each other rather than compete for attention. Their roles are now economically distinct: commissions are the primary gold-generation loop, while independent expeditions are primarily a gold sink that returns preparation resources, knowledge, clues, and collectibles.</w:t>
      </w:r>
    </w:p>
    <w:tbl>
      <w:tblPr>
        <w:tblStyle w:val="TableGrid"/>
        <w:tblW w:type="auto" w:w="0"/>
        <w:jc w:val="center"/>
        <w:tblLook w:firstColumn="1" w:firstRow="1" w:lastColumn="0" w:lastRow="0" w:noHBand="0" w:noVBand="1" w:val="04A0"/>
      </w:tblPr>
      <w:tblGrid>
        <w:gridCol w:w="2304"/>
        <w:gridCol w:w="3888"/>
        <w:gridCol w:w="1440"/>
        <w:gridCol w:w="2448"/>
      </w:tblGrid>
      <w:tr>
        <w:tc>
          <w:tcPr>
            <w:tcW w:type="dxa" w:w="2484"/>
            <w:shd w:fill="DCEBF0"/>
            <w:tcMar>
              <w:top w:w="90" w:type="dxa"/>
              <w:start w:w="100" w:type="dxa"/>
              <w:bottom w:w="90" w:type="dxa"/>
              <w:end w:w="100" w:type="dxa"/>
            </w:tcMar>
            <w:vAlign w:val="center"/>
          </w:tcPr>
          <w:p>
            <w:r>
              <w:rPr>
                <w:b/>
                <w:sz w:val="20"/>
              </w:rPr>
              <w:t>Loop</w:t>
            </w:r>
          </w:p>
        </w:tc>
        <w:tc>
          <w:tcPr>
            <w:tcW w:type="dxa" w:w="2484"/>
            <w:shd w:fill="DCEBF0"/>
            <w:tcMar>
              <w:top w:w="90" w:type="dxa"/>
              <w:start w:w="100" w:type="dxa"/>
              <w:bottom w:w="90" w:type="dxa"/>
              <w:end w:w="100" w:type="dxa"/>
            </w:tcMar>
            <w:vAlign w:val="center"/>
          </w:tcPr>
          <w:p>
            <w:r>
              <w:rPr>
                <w:b/>
                <w:sz w:val="20"/>
              </w:rPr>
              <w:t>Primary purpose</w:t>
            </w:r>
          </w:p>
        </w:tc>
        <w:tc>
          <w:tcPr>
            <w:tcW w:type="dxa" w:w="2484"/>
            <w:shd w:fill="DCEBF0"/>
            <w:tcMar>
              <w:top w:w="90" w:type="dxa"/>
              <w:start w:w="100" w:type="dxa"/>
              <w:bottom w:w="90" w:type="dxa"/>
              <w:end w:w="100" w:type="dxa"/>
            </w:tcMar>
            <w:vAlign w:val="center"/>
          </w:tcPr>
          <w:p>
            <w:r>
              <w:rPr>
                <w:b/>
                <w:sz w:val="20"/>
              </w:rPr>
              <w:t>Typical duration</w:t>
            </w:r>
          </w:p>
        </w:tc>
        <w:tc>
          <w:tcPr>
            <w:tcW w:type="dxa" w:w="2484"/>
            <w:shd w:fill="DCEBF0"/>
            <w:tcMar>
              <w:top w:w="90" w:type="dxa"/>
              <w:start w:w="100" w:type="dxa"/>
              <w:bottom w:w="90" w:type="dxa"/>
              <w:end w:w="100" w:type="dxa"/>
            </w:tcMar>
            <w:vAlign w:val="center"/>
          </w:tcPr>
          <w:p>
            <w:r>
              <w:rPr>
                <w:b/>
                <w:sz w:val="20"/>
              </w:rPr>
              <w:t>Main outputs</w:t>
            </w:r>
          </w:p>
        </w:tc>
      </w:tr>
      <w:tr>
        <w:tc>
          <w:tcPr>
            <w:tcW w:type="dxa" w:w="2304"/>
            <w:tcMar>
              <w:top w:w="75" w:type="dxa"/>
              <w:start w:w="90" w:type="dxa"/>
              <w:bottom w:w="75" w:type="dxa"/>
              <w:end w:w="90" w:type="dxa"/>
            </w:tcMar>
            <w:vAlign w:val="center"/>
          </w:tcPr>
          <w:p>
            <w:r>
              <w:rPr>
                <w:sz w:val="19"/>
              </w:rPr>
              <w:t>Patron commissions</w:t>
            </w:r>
          </w:p>
        </w:tc>
        <w:tc>
          <w:tcPr>
            <w:tcW w:type="dxa" w:w="3888"/>
            <w:tcMar>
              <w:top w:w="75" w:type="dxa"/>
              <w:start w:w="90" w:type="dxa"/>
              <w:bottom w:w="75" w:type="dxa"/>
              <w:end w:w="90" w:type="dxa"/>
            </w:tcMar>
            <w:vAlign w:val="center"/>
          </w:tcPr>
          <w:p>
            <w:r>
              <w:rPr>
                <w:sz w:val="19"/>
              </w:rPr>
              <w:t>Economy, patron progression, short-session agency, and external motivation</w:t>
            </w:r>
          </w:p>
        </w:tc>
        <w:tc>
          <w:tcPr>
            <w:tcW w:type="dxa" w:w="1440"/>
            <w:tcMar>
              <w:top w:w="75" w:type="dxa"/>
              <w:start w:w="90" w:type="dxa"/>
              <w:bottom w:w="75" w:type="dxa"/>
              <w:end w:w="90" w:type="dxa"/>
            </w:tcMar>
            <w:vAlign w:val="center"/>
          </w:tcPr>
          <w:p>
            <w:r>
              <w:rPr>
                <w:sz w:val="19"/>
              </w:rPr>
              <w:t>Short / medium</w:t>
            </w:r>
          </w:p>
        </w:tc>
        <w:tc>
          <w:tcPr>
            <w:tcW w:type="dxa" w:w="2448"/>
            <w:tcMar>
              <w:top w:w="75" w:type="dxa"/>
              <w:start w:w="90" w:type="dxa"/>
              <w:bottom w:w="75" w:type="dxa"/>
              <w:end w:w="90" w:type="dxa"/>
            </w:tcMar>
            <w:vAlign w:val="center"/>
          </w:tcPr>
          <w:p>
            <w:r>
              <w:rPr>
                <w:sz w:val="19"/>
              </w:rPr>
              <w:t>Gold, patron standing, practical rewards, occasional clues and artifact fragments</w:t>
            </w:r>
          </w:p>
        </w:tc>
      </w:tr>
      <w:tr>
        <w:tc>
          <w:tcPr>
            <w:tcW w:type="dxa" w:w="2304"/>
            <w:tcMar>
              <w:top w:w="75" w:type="dxa"/>
              <w:start w:w="90" w:type="dxa"/>
              <w:bottom w:w="75" w:type="dxa"/>
              <w:end w:w="90" w:type="dxa"/>
            </w:tcMar>
            <w:vAlign w:val="center"/>
          </w:tcPr>
          <w:p>
            <w:r>
              <w:rPr>
                <w:sz w:val="19"/>
              </w:rPr>
              <w:t>Independent expeditions</w:t>
            </w:r>
          </w:p>
        </w:tc>
        <w:tc>
          <w:tcPr>
            <w:tcW w:type="dxa" w:w="3888"/>
            <w:tcMar>
              <w:top w:w="75" w:type="dxa"/>
              <w:start w:w="90" w:type="dxa"/>
              <w:bottom w:w="75" w:type="dxa"/>
              <w:end w:w="90" w:type="dxa"/>
            </w:tcMar>
            <w:vAlign w:val="center"/>
          </w:tcPr>
          <w:p>
            <w:r>
              <w:rPr>
                <w:sz w:val="19"/>
              </w:rPr>
              <w:t>Meta-progression, region mastery, codex depth, and frontier expansion</w:t>
            </w:r>
          </w:p>
        </w:tc>
        <w:tc>
          <w:tcPr>
            <w:tcW w:type="dxa" w:w="1440"/>
            <w:tcMar>
              <w:top w:w="75" w:type="dxa"/>
              <w:start w:w="90" w:type="dxa"/>
              <w:bottom w:w="75" w:type="dxa"/>
              <w:end w:w="90" w:type="dxa"/>
            </w:tcMar>
            <w:vAlign w:val="center"/>
          </w:tcPr>
          <w:p>
            <w:r>
              <w:rPr>
                <w:sz w:val="19"/>
              </w:rPr>
              <w:t>Medium / long</w:t>
            </w:r>
          </w:p>
        </w:tc>
        <w:tc>
          <w:tcPr>
            <w:tcW w:type="dxa" w:w="2448"/>
            <w:tcMar>
              <w:top w:w="75" w:type="dxa"/>
              <w:start w:w="90" w:type="dxa"/>
              <w:bottom w:w="75" w:type="dxa"/>
              <w:end w:w="90" w:type="dxa"/>
            </w:tcMar>
            <w:vAlign w:val="center"/>
          </w:tcPr>
          <w:p>
            <w:r>
              <w:rPr>
                <w:sz w:val="19"/>
              </w:rPr>
              <w:t>Knowledge, clues, site discoveries, region unlocks, codex progress, legacy hooks</w:t>
            </w:r>
          </w:p>
        </w:tc>
      </w:tr>
    </w:tbl>
    <w:p/>
    <w:p>
      <w:pPr>
        <w:pStyle w:val="Heading2"/>
        <w:spacing w:before="80" w:after="60" w:line="276" w:lineRule="auto"/>
      </w:pPr>
      <w:r>
        <w:t>Why this spine is locked</w:t>
      </w:r>
    </w:p>
    <w:p>
      <w:pPr>
        <w:pStyle w:val="ListBullet"/>
        <w:spacing w:before="0" w:after="40" w:line="276" w:lineRule="auto"/>
        <w:ind w:left="288"/>
      </w:pPr>
      <w:r>
        <w:t>It preserves the already-valuable region and codex investments.</w:t>
      </w:r>
    </w:p>
    <w:p>
      <w:pPr>
        <w:pStyle w:val="ListBullet"/>
        <w:spacing w:before="0" w:after="40" w:line="276" w:lineRule="auto"/>
        <w:ind w:left="288"/>
      </w:pPr>
      <w:r>
        <w:t>It introduces clearer player motivation through patrons, commissions, and prestige.</w:t>
      </w:r>
    </w:p>
    <w:p>
      <w:pPr>
        <w:pStyle w:val="ListBullet"/>
        <w:spacing w:before="0" w:after="40" w:line="276" w:lineRule="auto"/>
        <w:ind w:left="288"/>
      </w:pPr>
      <w:r>
        <w:t>It supports a wider range of mission durations without breaking the fantasy.</w:t>
      </w:r>
    </w:p>
    <w:p>
      <w:pPr>
        <w:pStyle w:val="ListBullet"/>
        <w:spacing w:before="0" w:after="40" w:line="276" w:lineRule="auto"/>
        <w:ind w:left="288"/>
      </w:pPr>
      <w:r>
        <w:t>It expands design space dramatically while keeping combat abstract and off-screen.</w:t>
      </w:r>
    </w:p>
    <w:p>
      <w:pPr>
        <w:pStyle w:val="ListBullet"/>
        <w:spacing w:before="0" w:after="40" w:line="276" w:lineRule="auto"/>
        <w:ind w:left="288"/>
      </w:pPr>
      <w:r>
        <w:t>It supports richer player agency: safe work versus risky work, prestige versus knowledge, immediate gains versus long-term unlocks.</w:t>
      </w:r>
    </w:p>
    <w:p>
      <w:pPr>
        <w:pStyle w:val="Heading1"/>
        <w:spacing w:before="160" w:after="60" w:line="276" w:lineRule="auto"/>
      </w:pPr>
      <w:r>
        <w:t>3. Patron and mission framing</w:t>
      </w:r>
    </w:p>
    <w:p>
      <w:pPr>
        <w:spacing w:before="0" w:after="80" w:line="276" w:lineRule="auto"/>
      </w:pPr>
      <w:r>
        <w:t>The player is not merely sending people into the unknown for its own sake. The guild is a trusted intermediary that knows the lay of the land, fields the right officers and companies, and takes on work for patrons who need that institutional expertise.</w:t>
      </w:r>
    </w:p>
    <w:p>
      <w:pPr>
        <w:pStyle w:val="Heading2"/>
        <w:spacing w:before="80" w:after="60" w:line="276" w:lineRule="auto"/>
      </w:pPr>
      <w:r>
        <w:t>Patron ladder</w:t>
      </w:r>
    </w:p>
    <w:p>
      <w:pPr>
        <w:pStyle w:val="ListBullet"/>
        <w:spacing w:before="0" w:after="40" w:line="276" w:lineRule="auto"/>
        <w:ind w:left="288"/>
      </w:pPr>
      <w:r>
        <w:t>Early patrons: merchants, local notables, minor guilds, caravan interests, small shrines or archives.</w:t>
      </w:r>
    </w:p>
    <w:p>
      <w:pPr>
        <w:pStyle w:val="ListBullet"/>
        <w:spacing w:before="0" w:after="40" w:line="276" w:lineRule="auto"/>
        <w:ind w:left="288"/>
      </w:pPr>
      <w:r>
        <w:t>Mid-tier patrons: regional nobles, military surveyors, mage circles, major trade houses, frontier magistrates.</w:t>
      </w:r>
    </w:p>
    <w:p>
      <w:pPr>
        <w:pStyle w:val="ListBullet"/>
        <w:spacing w:before="0" w:after="40" w:line="276" w:lineRule="auto"/>
        <w:ind w:left="288"/>
      </w:pPr>
      <w:r>
        <w:t>Late patrons: kings, emperors, powerful factions, major city alliances, high-prestige institutions.</w:t>
      </w:r>
    </w:p>
    <w:p>
      <w:pPr>
        <w:pStyle w:val="Heading2"/>
        <w:spacing w:before="80" w:after="60" w:line="276" w:lineRule="auto"/>
      </w:pPr>
      <w:r>
        <w:t>Mission family examples</w:t>
      </w:r>
    </w:p>
    <w:p>
      <w:pPr>
        <w:pStyle w:val="ListBullet"/>
        <w:spacing w:before="0" w:after="40" w:line="276" w:lineRule="auto"/>
        <w:ind w:left="288"/>
      </w:pPr>
      <w:r>
        <w:t>Escort and guarded travel</w:t>
      </w:r>
    </w:p>
    <w:p>
      <w:pPr>
        <w:pStyle w:val="ListBullet"/>
        <w:spacing w:before="0" w:after="40" w:line="276" w:lineRule="auto"/>
        <w:ind w:left="288"/>
      </w:pPr>
      <w:r>
        <w:t>Retrieval and salvage</w:t>
      </w:r>
    </w:p>
    <w:p>
      <w:pPr>
        <w:pStyle w:val="ListBullet"/>
        <w:spacing w:before="0" w:after="40" w:line="276" w:lineRule="auto"/>
        <w:ind w:left="288"/>
      </w:pPr>
      <w:r>
        <w:t>Survey and route scouting</w:t>
      </w:r>
    </w:p>
    <w:p>
      <w:pPr>
        <w:pStyle w:val="ListBullet"/>
        <w:spacing w:before="0" w:after="40" w:line="276" w:lineRule="auto"/>
        <w:ind w:left="288"/>
      </w:pPr>
      <w:r>
        <w:t>Archive extraction and inscription recovery</w:t>
      </w:r>
    </w:p>
    <w:p>
      <w:pPr>
        <w:pStyle w:val="ListBullet"/>
        <w:spacing w:before="0" w:after="40" w:line="276" w:lineRule="auto"/>
        <w:ind w:left="288"/>
      </w:pPr>
      <w:r>
        <w:t>Delivery and relay work</w:t>
      </w:r>
    </w:p>
    <w:p>
      <w:pPr>
        <w:pStyle w:val="ListBullet"/>
        <w:spacing w:before="0" w:after="40" w:line="276" w:lineRule="auto"/>
        <w:ind w:left="288"/>
      </w:pPr>
      <w:r>
        <w:t>Suppression / bandit-clearing framed as abstract readiness checks</w:t>
      </w:r>
    </w:p>
    <w:p>
      <w:pPr>
        <w:pStyle w:val="ListBullet"/>
        <w:spacing w:before="0" w:after="40" w:line="276" w:lineRule="auto"/>
        <w:ind w:left="288"/>
      </w:pPr>
      <w:r>
        <w:t>Exploratory ventures that deepen regional knowledge and unlock future work</w:t>
      </w:r>
    </w:p>
    <w:p>
      <w:pPr>
        <w:pStyle w:val="Heading2"/>
        <w:spacing w:before="80" w:after="60" w:line="276" w:lineRule="auto"/>
      </w:pPr>
      <w:r>
        <w:t>Design rules for combat-adjacent work</w:t>
      </w:r>
    </w:p>
    <w:p>
      <w:pPr>
        <w:pStyle w:val="ListBullet"/>
        <w:spacing w:before="0" w:after="40" w:line="276" w:lineRule="auto"/>
        <w:ind w:left="288"/>
      </w:pPr>
      <w:r>
        <w:t>Do not build a hidden tactical combat game under the hood.</w:t>
      </w:r>
    </w:p>
    <w:p>
      <w:pPr>
        <w:pStyle w:val="ListBullet"/>
        <w:spacing w:before="0" w:after="40" w:line="276" w:lineRule="auto"/>
        <w:ind w:left="288"/>
      </w:pPr>
      <w:r>
        <w:t>Resolve combat-adjacent missions through requirements, preparedness, tags, and officer suitability.</w:t>
      </w:r>
    </w:p>
    <w:p>
      <w:pPr>
        <w:pStyle w:val="ListBullet"/>
        <w:spacing w:before="0" w:after="40" w:line="276" w:lineRule="auto"/>
        <w:ind w:left="288"/>
      </w:pPr>
      <w:r>
        <w:t>Use combat only as inferred world friction, never as the main player-facing mode of play.</w:t>
      </w:r>
    </w:p>
    <w:p>
      <w:pPr>
        <w:pStyle w:val="Heading1"/>
        <w:spacing w:before="160" w:after="60" w:line="276" w:lineRule="auto"/>
      </w:pPr>
      <w:r>
        <w:t>4. Regions, knowledge, and the Codex</w:t>
      </w:r>
    </w:p>
    <w:p>
      <w:pPr>
        <w:spacing w:before="0" w:after="80" w:line="276" w:lineRule="auto"/>
      </w:pPr>
      <w:r>
        <w:t>Authored regions remain central. They are still the backbone of world identity, site logic, clue families, and progression pacing. The contract layer broadens the game; it does not replace authored regions or make the Codex optional.</w:t>
      </w:r>
    </w:p>
    <w:p>
      <w:pPr>
        <w:pStyle w:val="ListBullet"/>
        <w:spacing w:before="0" w:after="40" w:line="276" w:lineRule="auto"/>
        <w:ind w:left="288"/>
      </w:pPr>
      <w:r>
        <w:t>Regions are still authored content packs rather than runtime-generated locations.</w:t>
      </w:r>
    </w:p>
    <w:p>
      <w:pPr>
        <w:pStyle w:val="ListBullet"/>
        <w:spacing w:before="0" w:after="40" w:line="276" w:lineRule="auto"/>
        <w:ind w:left="288"/>
      </w:pPr>
      <w:r>
        <w:t>Independent expeditions remain the main way to deepen region knowledge, unlock clues, and push toward new frontiers.</w:t>
      </w:r>
    </w:p>
    <w:p>
      <w:pPr>
        <w:pStyle w:val="ListBullet"/>
        <w:spacing w:before="0" w:after="40" w:line="276" w:lineRule="auto"/>
        <w:ind w:left="288"/>
      </w:pPr>
      <w:r>
        <w:t>Patron commissions should increasingly reward players who understand regions well and can make informed choices.</w:t>
      </w:r>
    </w:p>
    <w:p>
      <w:pPr>
        <w:pStyle w:val="ListBullet"/>
        <w:spacing w:before="0" w:after="40" w:line="276" w:lineRule="auto"/>
        <w:ind w:left="288"/>
      </w:pPr>
      <w:r>
        <w:t>The Codex remains the one-stop knowledge and progression surface, organizing regions, artifacts, clues, and later research/archive systems.</w:t>
      </w:r>
    </w:p>
    <w:p>
      <w:pPr>
        <w:pStyle w:val="ListBullet"/>
        <w:spacing w:before="0" w:after="40" w:line="276" w:lineRule="auto"/>
        <w:ind w:left="288"/>
      </w:pPr>
      <w:r>
        <w:t>No physical frontier map should be added; visible horizon and frontier expansion should continue to be conveyed through region pages, teased unknown regions, and dossier-style progression.</w:t>
      </w:r>
    </w:p>
    <w:p>
      <w:pPr>
        <w:pStyle w:val="Heading2"/>
        <w:spacing w:before="80" w:after="60" w:line="276" w:lineRule="auto"/>
      </w:pPr>
      <w:r>
        <w:t>Codex role (unchanged in principle, expanded in meaning)</w:t>
      </w:r>
    </w:p>
    <w:tbl>
      <w:tblPr>
        <w:tblStyle w:val="TableGrid"/>
        <w:tblW w:type="auto" w:w="0"/>
        <w:jc w:val="center"/>
        <w:tblLook w:firstColumn="1" w:firstRow="1" w:lastColumn="0" w:lastRow="0" w:noHBand="0" w:noVBand="1" w:val="04A0"/>
      </w:tblPr>
      <w:tblGrid>
        <w:gridCol w:w="2880"/>
        <w:gridCol w:w="7200"/>
      </w:tblGrid>
      <w:tr>
        <w:tc>
          <w:tcPr>
            <w:tcW w:type="dxa" w:w="4968"/>
            <w:shd w:fill="DCEBF0"/>
            <w:tcMar>
              <w:top w:w="90" w:type="dxa"/>
              <w:start w:w="100" w:type="dxa"/>
              <w:bottom w:w="90" w:type="dxa"/>
              <w:end w:w="100" w:type="dxa"/>
            </w:tcMar>
            <w:vAlign w:val="center"/>
          </w:tcPr>
          <w:p>
            <w:r>
              <w:rPr>
                <w:b/>
                <w:sz w:val="20"/>
              </w:rPr>
              <w:t>Codex principle</w:t>
            </w:r>
          </w:p>
        </w:tc>
        <w:tc>
          <w:tcPr>
            <w:tcW w:type="dxa" w:w="4968"/>
            <w:shd w:fill="DCEBF0"/>
            <w:tcMar>
              <w:top w:w="90" w:type="dxa"/>
              <w:start w:w="100" w:type="dxa"/>
              <w:bottom w:w="90" w:type="dxa"/>
              <w:end w:w="100" w:type="dxa"/>
            </w:tcMar>
            <w:vAlign w:val="center"/>
          </w:tcPr>
          <w:p>
            <w:r>
              <w:rPr>
                <w:b/>
                <w:sz w:val="20"/>
              </w:rPr>
              <w:t>Implication</w:t>
            </w:r>
          </w:p>
        </w:tc>
      </w:tr>
      <w:tr>
        <w:tc>
          <w:tcPr>
            <w:tcW w:type="dxa" w:w="2880"/>
            <w:shd w:fill="F3F6F8"/>
            <w:tcMar>
              <w:top w:w="75" w:type="dxa"/>
              <w:start w:w="90" w:type="dxa"/>
              <w:bottom w:w="75" w:type="dxa"/>
              <w:end w:w="90" w:type="dxa"/>
            </w:tcMar>
            <w:vAlign w:val="center"/>
          </w:tcPr>
          <w:p>
            <w:r>
              <w:rPr>
                <w:sz w:val="19"/>
              </w:rPr>
              <w:t>Primary role</w:t>
            </w:r>
          </w:p>
        </w:tc>
        <w:tc>
          <w:tcPr>
            <w:tcW w:type="dxa" w:w="7200"/>
            <w:tcMar>
              <w:top w:w="75" w:type="dxa"/>
              <w:start w:w="90" w:type="dxa"/>
              <w:bottom w:w="75" w:type="dxa"/>
              <w:end w:w="90" w:type="dxa"/>
            </w:tcMar>
            <w:vAlign w:val="center"/>
          </w:tcPr>
          <w:p>
            <w:r>
              <w:rPr>
                <w:sz w:val="19"/>
              </w:rPr>
              <w:t>Knowledge, progression, and collection surface</w:t>
            </w:r>
          </w:p>
        </w:tc>
      </w:tr>
      <w:tr>
        <w:tc>
          <w:tcPr>
            <w:tcW w:type="dxa" w:w="2880"/>
            <w:shd w:fill="F3F6F8"/>
            <w:tcMar>
              <w:top w:w="75" w:type="dxa"/>
              <w:start w:w="90" w:type="dxa"/>
              <w:bottom w:w="75" w:type="dxa"/>
              <w:end w:w="90" w:type="dxa"/>
            </w:tcMar>
            <w:vAlign w:val="center"/>
          </w:tcPr>
          <w:p>
            <w:r>
              <w:rPr>
                <w:sz w:val="19"/>
              </w:rPr>
              <w:t>Structure</w:t>
            </w:r>
          </w:p>
        </w:tc>
        <w:tc>
          <w:tcPr>
            <w:tcW w:type="dxa" w:w="7200"/>
            <w:tcMar>
              <w:top w:w="75" w:type="dxa"/>
              <w:start w:w="90" w:type="dxa"/>
              <w:bottom w:w="75" w:type="dxa"/>
              <w:end w:w="90" w:type="dxa"/>
            </w:tcMar>
            <w:vAlign w:val="center"/>
          </w:tcPr>
          <w:p>
            <w:r>
              <w:rPr>
                <w:sz w:val="19"/>
              </w:rPr>
              <w:t>Major categories use bookmark-style navigation; deeper subfilters can sit inside each category</w:t>
            </w:r>
          </w:p>
        </w:tc>
      </w:tr>
      <w:tr>
        <w:tc>
          <w:tcPr>
            <w:tcW w:type="dxa" w:w="2880"/>
            <w:shd w:fill="F3F6F8"/>
            <w:tcMar>
              <w:top w:w="75" w:type="dxa"/>
              <w:start w:w="90" w:type="dxa"/>
              <w:bottom w:w="75" w:type="dxa"/>
              <w:end w:w="90" w:type="dxa"/>
            </w:tcMar>
            <w:vAlign w:val="center"/>
          </w:tcPr>
          <w:p>
            <w:r>
              <w:rPr>
                <w:sz w:val="19"/>
              </w:rPr>
              <w:t>Region pages</w:t>
            </w:r>
          </w:p>
        </w:tc>
        <w:tc>
          <w:tcPr>
            <w:tcW w:type="dxa" w:w="7200"/>
            <w:tcMar>
              <w:top w:w="75" w:type="dxa"/>
              <w:start w:w="90" w:type="dxa"/>
              <w:bottom w:w="75" w:type="dxa"/>
              <w:end w:w="90" w:type="dxa"/>
            </w:tcMar>
            <w:vAlign w:val="center"/>
          </w:tcPr>
          <w:p>
            <w:r>
              <w:rPr>
                <w:sz w:val="19"/>
              </w:rPr>
              <w:t>Left page carries the sketch / plate; right page carries the evolving dossier</w:t>
            </w:r>
          </w:p>
        </w:tc>
      </w:tr>
      <w:tr>
        <w:tc>
          <w:tcPr>
            <w:tcW w:type="dxa" w:w="2880"/>
            <w:shd w:fill="F3F6F8"/>
            <w:tcMar>
              <w:top w:w="75" w:type="dxa"/>
              <w:start w:w="90" w:type="dxa"/>
              <w:bottom w:w="75" w:type="dxa"/>
              <w:end w:w="90" w:type="dxa"/>
            </w:tcMar>
            <w:vAlign w:val="center"/>
          </w:tcPr>
          <w:p>
            <w:r>
              <w:rPr>
                <w:sz w:val="19"/>
              </w:rPr>
              <w:t>Contract support</w:t>
            </w:r>
          </w:p>
        </w:tc>
        <w:tc>
          <w:tcPr>
            <w:tcW w:type="dxa" w:w="7200"/>
            <w:tcMar>
              <w:top w:w="75" w:type="dxa"/>
              <w:start w:w="90" w:type="dxa"/>
              <w:bottom w:w="75" w:type="dxa"/>
              <w:end w:w="90" w:type="dxa"/>
            </w:tcMar>
            <w:vAlign w:val="center"/>
          </w:tcPr>
          <w:p>
            <w:r>
              <w:rPr>
                <w:sz w:val="19"/>
              </w:rPr>
              <w:t>Codex should eventually help the player reason about which regions, patrons, and mission types fit their goals</w:t>
            </w:r>
          </w:p>
        </w:tc>
      </w:tr>
      <w:tr>
        <w:tc>
          <w:tcPr>
            <w:tcW w:type="dxa" w:w="2880"/>
            <w:shd w:fill="F3F6F8"/>
            <w:tcMar>
              <w:top w:w="75" w:type="dxa"/>
              <w:start w:w="90" w:type="dxa"/>
              <w:bottom w:w="75" w:type="dxa"/>
              <w:end w:w="90" w:type="dxa"/>
            </w:tcMar>
            <w:vAlign w:val="center"/>
          </w:tcPr>
          <w:p>
            <w:r>
              <w:rPr>
                <w:sz w:val="19"/>
              </w:rPr>
              <w:t>Dispatch separation</w:t>
            </w:r>
          </w:p>
        </w:tc>
        <w:tc>
          <w:tcPr>
            <w:tcW w:type="dxa" w:w="7200"/>
            <w:tcMar>
              <w:top w:w="75" w:type="dxa"/>
              <w:start w:w="90" w:type="dxa"/>
              <w:bottom w:w="75" w:type="dxa"/>
              <w:end w:w="90" w:type="dxa"/>
            </w:tcMar>
            <w:vAlign w:val="center"/>
          </w:tcPr>
          <w:p>
            <w:r>
              <w:rPr>
                <w:sz w:val="19"/>
              </w:rPr>
              <w:t>The live board still handles selection and dispatch; the Codex is not the operational board itself</w:t>
            </w:r>
          </w:p>
        </w:tc>
      </w:tr>
    </w:tbl>
    <w:p/>
    <w:p>
      <w:pPr>
        <w:pStyle w:val="Heading1"/>
        <w:spacing w:before="160" w:after="60" w:line="276" w:lineRule="auto"/>
      </w:pPr>
      <w:r>
        <w:t>5. Updated generation grammar</w:t>
      </w:r>
    </w:p>
    <w:p>
      <w:pPr>
        <w:spacing w:before="0" w:after="80" w:line="276" w:lineRule="auto"/>
      </w:pPr>
      <w:r>
        <w:t>The project now has two closely related generation grammars: one for commissions and one for independent expeditions. The expedition grammar remains valuable and should be preserved. The mission grammar should sit above or alongside it, not invalidate it.</w:t>
      </w:r>
    </w:p>
    <w:p>
      <w:pPr>
        <w:pStyle w:val="Heading2"/>
        <w:spacing w:before="80" w:after="60" w:line="276" w:lineRule="auto"/>
      </w:pPr>
      <w:r>
        <w:t>Contract / commission grammar</w:t>
      </w:r>
    </w:p>
    <w:p>
      <w:pPr>
        <w:spacing w:before="0" w:after="80" w:line="276" w:lineRule="auto"/>
      </w:pPr>
      <w:r>
        <w:t>Patron Context -&gt; Mission Intent -&gt; Region Context -&gt; Route Context -&gt; Target Context -&gt; Requirement Profile -&gt; Risk and Hazard Profile -&gt; Reward Package -&gt; Knowledge / Hook Outputs -&gt; Presentation</w:t>
      </w:r>
    </w:p>
    <w:p>
      <w:pPr>
        <w:pStyle w:val="Heading2"/>
        <w:spacing w:before="80" w:after="60" w:line="276" w:lineRule="auto"/>
      </w:pPr>
      <w:r>
        <w:t>Independent expedition grammar</w:t>
      </w:r>
    </w:p>
    <w:p>
      <w:pPr>
        <w:spacing w:before="0" w:after="80" w:line="276" w:lineRule="auto"/>
      </w:pPr>
      <w:r>
        <w:t>Region -&gt; Route Context -&gt; Site Family -&gt; Site Condition -&gt; Opportunity Profile -&gt; Hazard Profile -&gt; Logistics Requirements -&gt; Discovery Outputs -&gt; Hook Outputs -&gt; Presentation</w:t>
      </w:r>
    </w:p>
    <w:p>
      <w:pPr>
        <w:pStyle w:val="Heading2"/>
        <w:spacing w:before="80" w:after="60" w:line="276" w:lineRule="auto"/>
      </w:pPr>
      <w:r>
        <w:t>Generation rules to keep locked</w:t>
      </w:r>
    </w:p>
    <w:p>
      <w:pPr>
        <w:pStyle w:val="ListBullet"/>
        <w:spacing w:before="0" w:after="40" w:line="276" w:lineRule="auto"/>
        <w:ind w:left="288"/>
      </w:pPr>
      <w:r>
        <w:t>Region identity must remain stronger than biome identity.</w:t>
      </w:r>
    </w:p>
    <w:p>
      <w:pPr>
        <w:pStyle w:val="ListBullet"/>
        <w:spacing w:before="0" w:after="40" w:line="276" w:lineRule="auto"/>
        <w:ind w:left="288"/>
      </w:pPr>
      <w:r>
        <w:t>Contracts should consume region knowledge rather than flatten it into a generic quest board.</w:t>
      </w:r>
    </w:p>
    <w:p>
      <w:pPr>
        <w:pStyle w:val="ListBullet"/>
        <w:spacing w:before="0" w:after="40" w:line="276" w:lineRule="auto"/>
        <w:ind w:left="288"/>
      </w:pPr>
      <w:r>
        <w:t>The system should support both explicit missions and inference-based missions that reward player understanding of a region.</w:t>
      </w:r>
    </w:p>
    <w:p>
      <w:pPr>
        <w:pStyle w:val="ListBullet"/>
        <w:spacing w:before="0" w:after="40" w:line="276" w:lineRule="auto"/>
        <w:ind w:left="288"/>
      </w:pPr>
      <w:r>
        <w:t>Chain hooks and legacy hooks should remain selective and meaningful, not omnipresent.</w:t>
      </w:r>
    </w:p>
    <w:p>
      <w:pPr>
        <w:pStyle w:val="ListBullet"/>
        <w:spacing w:before="0" w:after="40" w:line="276" w:lineRule="auto"/>
        <w:ind w:left="288"/>
      </w:pPr>
      <w:r>
        <w:t>Logistics should remain readable and tag-based rather than a deep spreadsheet simulation.</w:t>
      </w:r>
    </w:p>
    <w:p>
      <w:pPr>
        <w:pStyle w:val="Heading1"/>
        <w:spacing w:before="160" w:after="60" w:line="276" w:lineRule="auto"/>
      </w:pPr>
      <w:r>
        <w:t>6. Progression philosophy and duration strategy</w:t>
      </w:r>
    </w:p>
    <w:p>
      <w:pPr>
        <w:spacing w:before="0" w:after="80" w:line="276" w:lineRule="auto"/>
      </w:pPr>
      <w:r>
        <w:t>The old design pressure came from long expeditions creating dead time. The new spine addresses that by splitting work into faster commissions and slower, more strategic expeditions, and by giving those two loops different economic roles rather than merely different timer lengths.</w:t>
      </w:r>
    </w:p>
    <w:tbl>
      <w:tblPr>
        <w:tblStyle w:val="TableGrid"/>
        <w:tblW w:type="auto" w:w="0"/>
        <w:jc w:val="center"/>
        <w:tblLook w:firstColumn="1" w:firstRow="1" w:lastColumn="0" w:lastRow="0" w:noHBand="0" w:noVBand="1" w:val="04A0"/>
      </w:tblPr>
      <w:tblGrid>
        <w:gridCol w:w="2088"/>
        <w:gridCol w:w="3240"/>
        <w:gridCol w:w="4752"/>
      </w:tblGrid>
      <w:tr>
        <w:tc>
          <w:tcPr>
            <w:tcW w:type="dxa" w:w="3312"/>
            <w:shd w:fill="DCEBF0"/>
            <w:tcMar>
              <w:top w:w="90" w:type="dxa"/>
              <w:start w:w="100" w:type="dxa"/>
              <w:bottom w:w="90" w:type="dxa"/>
              <w:end w:w="100" w:type="dxa"/>
            </w:tcMar>
            <w:vAlign w:val="center"/>
          </w:tcPr>
          <w:p>
            <w:r>
              <w:rPr>
                <w:b/>
                <w:sz w:val="20"/>
              </w:rPr>
              <w:t>Axis</w:t>
            </w:r>
          </w:p>
        </w:tc>
        <w:tc>
          <w:tcPr>
            <w:tcW w:type="dxa" w:w="3312"/>
            <w:shd w:fill="DCEBF0"/>
            <w:tcMar>
              <w:top w:w="90" w:type="dxa"/>
              <w:start w:w="100" w:type="dxa"/>
              <w:bottom w:w="90" w:type="dxa"/>
              <w:end w:w="100" w:type="dxa"/>
            </w:tcMar>
            <w:vAlign w:val="center"/>
          </w:tcPr>
          <w:p>
            <w:r>
              <w:rPr>
                <w:b/>
                <w:sz w:val="20"/>
              </w:rPr>
              <w:t>What drives it</w:t>
            </w:r>
          </w:p>
        </w:tc>
        <w:tc>
          <w:tcPr>
            <w:tcW w:type="dxa" w:w="3312"/>
            <w:shd w:fill="DCEBF0"/>
            <w:tcMar>
              <w:top w:w="90" w:type="dxa"/>
              <w:start w:w="100" w:type="dxa"/>
              <w:bottom w:w="90" w:type="dxa"/>
              <w:end w:w="100" w:type="dxa"/>
            </w:tcMar>
            <w:vAlign w:val="center"/>
          </w:tcPr>
          <w:p>
            <w:r>
              <w:rPr>
                <w:b/>
                <w:sz w:val="20"/>
              </w:rPr>
              <w:t>Why it matters</w:t>
            </w:r>
          </w:p>
        </w:tc>
      </w:tr>
      <w:tr>
        <w:tc>
          <w:tcPr>
            <w:tcW w:type="dxa" w:w="2088"/>
            <w:tcMar>
              <w:top w:w="75" w:type="dxa"/>
              <w:start w:w="90" w:type="dxa"/>
              <w:bottom w:w="75" w:type="dxa"/>
              <w:end w:w="90" w:type="dxa"/>
            </w:tcMar>
            <w:vAlign w:val="center"/>
          </w:tcPr>
          <w:p>
            <w:r>
              <w:rPr>
                <w:sz w:val="19"/>
              </w:rPr>
              <w:t>Economy</w:t>
            </w:r>
          </w:p>
        </w:tc>
        <w:tc>
          <w:tcPr>
            <w:tcW w:type="dxa" w:w="3240"/>
            <w:tcMar>
              <w:top w:w="75" w:type="dxa"/>
              <w:start w:w="90" w:type="dxa"/>
              <w:bottom w:w="75" w:type="dxa"/>
              <w:end w:w="90" w:type="dxa"/>
            </w:tcMar>
            <w:vAlign w:val="center"/>
          </w:tcPr>
          <w:p>
            <w:r>
              <w:rPr>
                <w:sz w:val="19"/>
              </w:rPr>
              <w:t>Patron commissions, rewards, and efficient dispatch choices</w:t>
            </w:r>
          </w:p>
        </w:tc>
        <w:tc>
          <w:tcPr>
            <w:tcW w:type="dxa" w:w="4752"/>
            <w:tcMar>
              <w:top w:w="75" w:type="dxa"/>
              <w:start w:w="90" w:type="dxa"/>
              <w:bottom w:w="75" w:type="dxa"/>
              <w:end w:w="90" w:type="dxa"/>
            </w:tcMar>
            <w:vAlign w:val="center"/>
          </w:tcPr>
          <w:p>
            <w:r>
              <w:rPr>
                <w:sz w:val="19"/>
              </w:rPr>
              <w:t>Funds hiring, provisioning, upgrades, and future agency</w:t>
            </w:r>
          </w:p>
        </w:tc>
      </w:tr>
      <w:tr>
        <w:tc>
          <w:tcPr>
            <w:tcW w:type="dxa" w:w="2088"/>
            <w:tcMar>
              <w:top w:w="75" w:type="dxa"/>
              <w:start w:w="90" w:type="dxa"/>
              <w:bottom w:w="75" w:type="dxa"/>
              <w:end w:w="90" w:type="dxa"/>
            </w:tcMar>
            <w:vAlign w:val="center"/>
          </w:tcPr>
          <w:p>
            <w:r>
              <w:rPr>
                <w:sz w:val="19"/>
              </w:rPr>
              <w:t>Regional knowledge</w:t>
            </w:r>
          </w:p>
        </w:tc>
        <w:tc>
          <w:tcPr>
            <w:tcW w:type="dxa" w:w="3240"/>
            <w:tcMar>
              <w:top w:w="75" w:type="dxa"/>
              <w:start w:w="90" w:type="dxa"/>
              <w:bottom w:w="75" w:type="dxa"/>
              <w:end w:w="90" w:type="dxa"/>
            </w:tcMar>
            <w:vAlign w:val="center"/>
          </w:tcPr>
          <w:p>
            <w:r>
              <w:rPr>
                <w:sz w:val="19"/>
              </w:rPr>
              <w:t>Exploratory ventures, clue recovery, codex reveal, repeat visits</w:t>
            </w:r>
          </w:p>
        </w:tc>
        <w:tc>
          <w:tcPr>
            <w:tcW w:type="dxa" w:w="4752"/>
            <w:tcMar>
              <w:top w:w="75" w:type="dxa"/>
              <w:start w:w="90" w:type="dxa"/>
              <w:bottom w:w="75" w:type="dxa"/>
              <w:end w:w="90" w:type="dxa"/>
            </w:tcMar>
            <w:vAlign w:val="center"/>
          </w:tcPr>
          <w:p>
            <w:r>
              <w:rPr>
                <w:sz w:val="19"/>
              </w:rPr>
              <w:t>Unlocks better contract choices and future regions</w:t>
            </w:r>
          </w:p>
        </w:tc>
      </w:tr>
      <w:tr>
        <w:tc>
          <w:tcPr>
            <w:tcW w:type="dxa" w:w="2088"/>
            <w:tcMar>
              <w:top w:w="75" w:type="dxa"/>
              <w:start w:w="90" w:type="dxa"/>
              <w:bottom w:w="75" w:type="dxa"/>
              <w:end w:w="90" w:type="dxa"/>
            </w:tcMar>
            <w:vAlign w:val="center"/>
          </w:tcPr>
          <w:p>
            <w:r>
              <w:rPr>
                <w:sz w:val="19"/>
              </w:rPr>
              <w:t>Patron standing</w:t>
            </w:r>
          </w:p>
        </w:tc>
        <w:tc>
          <w:tcPr>
            <w:tcW w:type="dxa" w:w="3240"/>
            <w:tcMar>
              <w:top w:w="75" w:type="dxa"/>
              <w:start w:w="90" w:type="dxa"/>
              <w:bottom w:w="75" w:type="dxa"/>
              <w:end w:w="90" w:type="dxa"/>
            </w:tcMar>
            <w:vAlign w:val="center"/>
          </w:tcPr>
          <w:p>
            <w:r>
              <w:rPr>
                <w:sz w:val="19"/>
              </w:rPr>
              <w:t>Successful commissions and higher-tier work</w:t>
            </w:r>
          </w:p>
        </w:tc>
        <w:tc>
          <w:tcPr>
            <w:tcW w:type="dxa" w:w="4752"/>
            <w:tcMar>
              <w:top w:w="75" w:type="dxa"/>
              <w:start w:w="90" w:type="dxa"/>
              <w:bottom w:w="75" w:type="dxa"/>
              <w:end w:w="90" w:type="dxa"/>
            </w:tcMar>
            <w:vAlign w:val="center"/>
          </w:tcPr>
          <w:p>
            <w:r>
              <w:rPr>
                <w:sz w:val="19"/>
              </w:rPr>
              <w:t>Unlocks richer patrons and broader mission bands</w:t>
            </w:r>
          </w:p>
        </w:tc>
      </w:tr>
      <w:tr>
        <w:tc>
          <w:tcPr>
            <w:tcW w:type="dxa" w:w="2088"/>
            <w:tcMar>
              <w:top w:w="75" w:type="dxa"/>
              <w:start w:w="90" w:type="dxa"/>
              <w:bottom w:w="75" w:type="dxa"/>
              <w:end w:w="90" w:type="dxa"/>
            </w:tcMar>
            <w:vAlign w:val="center"/>
          </w:tcPr>
          <w:p>
            <w:r>
              <w:rPr>
                <w:sz w:val="19"/>
              </w:rPr>
              <w:t>Officer capability</w:t>
            </w:r>
          </w:p>
        </w:tc>
        <w:tc>
          <w:tcPr>
            <w:tcW w:type="dxa" w:w="3240"/>
            <w:tcMar>
              <w:top w:w="75" w:type="dxa"/>
              <w:start w:w="90" w:type="dxa"/>
              <w:bottom w:w="75" w:type="dxa"/>
              <w:end w:w="90" w:type="dxa"/>
            </w:tcMar>
            <w:vAlign w:val="center"/>
          </w:tcPr>
          <w:p>
            <w:r>
              <w:rPr>
                <w:sz w:val="19"/>
              </w:rPr>
              <w:t>Hiring, training, specialization, and future loadouts</w:t>
            </w:r>
          </w:p>
        </w:tc>
        <w:tc>
          <w:tcPr>
            <w:tcW w:type="dxa" w:w="4752"/>
            <w:tcMar>
              <w:top w:w="75" w:type="dxa"/>
              <w:start w:w="90" w:type="dxa"/>
              <w:bottom w:w="75" w:type="dxa"/>
              <w:end w:w="90" w:type="dxa"/>
            </w:tcMar>
            <w:vAlign w:val="center"/>
          </w:tcPr>
          <w:p>
            <w:r>
              <w:rPr>
                <w:sz w:val="19"/>
              </w:rPr>
              <w:t>Explains slot caps and mission suitability</w:t>
            </w:r>
          </w:p>
        </w:tc>
      </w:tr>
      <w:tr>
        <w:tc>
          <w:tcPr>
            <w:tcW w:type="dxa" w:w="2088"/>
            <w:tcMar>
              <w:top w:w="75" w:type="dxa"/>
              <w:start w:w="90" w:type="dxa"/>
              <w:bottom w:w="75" w:type="dxa"/>
              <w:end w:w="90" w:type="dxa"/>
            </w:tcMar>
            <w:vAlign w:val="center"/>
          </w:tcPr>
          <w:p>
            <w:r>
              <w:rPr>
                <w:sz w:val="19"/>
              </w:rPr>
              <w:t>Logistics readiness</w:t>
            </w:r>
          </w:p>
        </w:tc>
        <w:tc>
          <w:tcPr>
            <w:tcW w:type="dxa" w:w="3240"/>
            <w:tcMar>
              <w:top w:w="75" w:type="dxa"/>
              <w:start w:w="90" w:type="dxa"/>
              <w:bottom w:w="75" w:type="dxa"/>
              <w:end w:w="90" w:type="dxa"/>
            </w:tcMar>
            <w:vAlign w:val="center"/>
          </w:tcPr>
          <w:p>
            <w:r>
              <w:rPr>
                <w:sz w:val="19"/>
              </w:rPr>
              <w:t>Tags, prep, transport, supplies, route capability</w:t>
            </w:r>
          </w:p>
        </w:tc>
        <w:tc>
          <w:tcPr>
            <w:tcW w:type="dxa" w:w="4752"/>
            <w:tcMar>
              <w:top w:w="75" w:type="dxa"/>
              <w:start w:w="90" w:type="dxa"/>
              <w:bottom w:w="75" w:type="dxa"/>
              <w:end w:w="90" w:type="dxa"/>
            </w:tcMar>
            <w:vAlign w:val="center"/>
          </w:tcPr>
          <w:p>
            <w:r>
              <w:rPr>
                <w:sz w:val="19"/>
              </w:rPr>
              <w:t>Controls access to harder content and improves outcomes</w:t>
            </w:r>
          </w:p>
        </w:tc>
      </w:tr>
      <w:tr>
        <w:tc>
          <w:tcPr>
            <w:tcW w:type="dxa" w:w="2088"/>
            <w:tcMar>
              <w:top w:w="75" w:type="dxa"/>
              <w:start w:w="90" w:type="dxa"/>
              <w:bottom w:w="75" w:type="dxa"/>
              <w:end w:w="90" w:type="dxa"/>
            </w:tcMar>
            <w:vAlign w:val="center"/>
          </w:tcPr>
          <w:p>
            <w:r>
              <w:rPr>
                <w:sz w:val="19"/>
              </w:rPr>
              <w:t>Collections / codex depth</w:t>
            </w:r>
          </w:p>
        </w:tc>
        <w:tc>
          <w:tcPr>
            <w:tcW w:type="dxa" w:w="3240"/>
            <w:tcMar>
              <w:top w:w="75" w:type="dxa"/>
              <w:start w:w="90" w:type="dxa"/>
              <w:bottom w:w="75" w:type="dxa"/>
              <w:end w:w="90" w:type="dxa"/>
            </w:tcMar>
            <w:vAlign w:val="center"/>
          </w:tcPr>
          <w:p>
            <w:r>
              <w:rPr>
                <w:sz w:val="19"/>
              </w:rPr>
              <w:t>Artifacts, fragments, records, clues</w:t>
            </w:r>
          </w:p>
        </w:tc>
        <w:tc>
          <w:tcPr>
            <w:tcW w:type="dxa" w:w="4752"/>
            <w:tcMar>
              <w:top w:w="75" w:type="dxa"/>
              <w:start w:w="90" w:type="dxa"/>
              <w:bottom w:w="75" w:type="dxa"/>
              <w:end w:w="90" w:type="dxa"/>
            </w:tcMar>
            <w:vAlign w:val="center"/>
          </w:tcPr>
          <w:p>
            <w:r>
              <w:rPr>
                <w:sz w:val="19"/>
              </w:rPr>
              <w:t>Provides permanent progression sinks and identity</w:t>
            </w:r>
          </w:p>
        </w:tc>
      </w:tr>
      <w:tr>
        <w:tc>
          <w:tcPr>
            <w:tcW w:type="dxa" w:w="2088"/>
            <w:tcMar>
              <w:top w:w="75" w:type="dxa"/>
              <w:start w:w="90" w:type="dxa"/>
              <w:bottom w:w="75" w:type="dxa"/>
              <w:end w:w="90" w:type="dxa"/>
            </w:tcMar>
            <w:vAlign w:val="center"/>
          </w:tcPr>
          <w:p>
            <w:r>
              <w:rPr>
                <w:sz w:val="19"/>
              </w:rPr>
              <w:t>Prestige</w:t>
            </w:r>
          </w:p>
        </w:tc>
        <w:tc>
          <w:tcPr>
            <w:tcW w:type="dxa" w:w="3240"/>
            <w:tcMar>
              <w:top w:w="75" w:type="dxa"/>
              <w:start w:w="90" w:type="dxa"/>
              <w:bottom w:w="75" w:type="dxa"/>
              <w:end w:w="90" w:type="dxa"/>
            </w:tcMar>
            <w:vAlign w:val="center"/>
          </w:tcPr>
          <w:p>
            <w:r>
              <w:rPr>
                <w:sz w:val="19"/>
              </w:rPr>
              <w:t>Institutional reputation across all systems</w:t>
            </w:r>
          </w:p>
        </w:tc>
        <w:tc>
          <w:tcPr>
            <w:tcW w:type="dxa" w:w="4752"/>
            <w:tcMar>
              <w:top w:w="75" w:type="dxa"/>
              <w:start w:w="90" w:type="dxa"/>
              <w:bottom w:w="75" w:type="dxa"/>
              <w:end w:w="90" w:type="dxa"/>
            </w:tcMar>
            <w:vAlign w:val="center"/>
          </w:tcPr>
          <w:p>
            <w:r>
              <w:rPr>
                <w:sz w:val="19"/>
              </w:rPr>
              <w:t>Ties the whole guild fantasy together</w:t>
            </w:r>
          </w:p>
        </w:tc>
      </w:tr>
    </w:tbl>
    <w:p/>
    <w:p>
      <w:pPr>
        <w:pStyle w:val="Heading2"/>
        <w:spacing w:before="80" w:after="60" w:line="276" w:lineRule="auto"/>
      </w:pPr>
      <w:r>
        <w:t>Duration strategy</w:t>
      </w:r>
    </w:p>
    <w:p>
      <w:pPr>
        <w:pStyle w:val="ListBullet"/>
        <w:spacing w:before="0" w:after="40" w:line="276" w:lineRule="auto"/>
        <w:ind w:left="288"/>
      </w:pPr>
      <w:r>
        <w:t>Commissions should cover shorter and medium durations, giving the player more frequent tactical choices.</w:t>
      </w:r>
    </w:p>
    <w:p>
      <w:pPr>
        <w:pStyle w:val="ListBullet"/>
        <w:spacing w:before="0" w:after="40" w:line="276" w:lineRule="auto"/>
        <w:ind w:left="288"/>
      </w:pPr>
      <w:r>
        <w:t>Independent expeditions can remain longer and more strategic without being the only thing to do.</w:t>
      </w:r>
    </w:p>
    <w:p>
      <w:pPr>
        <w:pStyle w:val="ListBullet"/>
        <w:spacing w:before="0" w:after="40" w:line="276" w:lineRule="auto"/>
        <w:ind w:left="288"/>
      </w:pPr>
      <w:r>
        <w:t>Longer exploratory ventures may later support a recall or capped-runtime model, but that is a future implementation detail rather than a locked near-term requirement.</w:t>
      </w:r>
    </w:p>
    <w:p>
      <w:pPr>
        <w:pStyle w:val="ListBullet"/>
        <w:spacing w:before="0" w:after="40" w:line="276" w:lineRule="auto"/>
        <w:ind w:left="288"/>
      </w:pPr>
      <w:r>
        <w:t>Duration bands should support both quick check-ins and longer planning sessions.</w:t>
      </w:r>
    </w:p>
    <w:p>
      <w:pPr>
        <w:pStyle w:val="Heading1"/>
        <w:spacing w:before="160" w:after="60" w:line="276" w:lineRule="auto"/>
      </w:pPr>
      <w:r>
        <w:t>7. Officers and slot logic</w:t>
      </w:r>
    </w:p>
    <w:p>
      <w:pPr>
        <w:spacing w:before="0" w:after="80" w:line="276" w:lineRule="auto"/>
      </w:pPr>
      <w:r>
        <w:t>The emerging explanation for mission slots is that each venture requires a core in-house representative or officer from the guild. Hired companies and contractors may do the bulk of the field work, but the guild still fields leadership, oversight, and institutional standards through that officer layer.</w:t>
      </w:r>
    </w:p>
    <w:p>
      <w:pPr>
        <w:pStyle w:val="ListBullet"/>
        <w:spacing w:before="0" w:after="40" w:line="276" w:lineRule="auto"/>
        <w:ind w:left="288"/>
      </w:pPr>
      <w:r>
        <w:t>Officers are a strong future-facing explanation for slot caps, specialization, and build identity.</w:t>
      </w:r>
    </w:p>
    <w:p>
      <w:pPr>
        <w:pStyle w:val="ListBullet"/>
        <w:spacing w:before="0" w:after="40" w:line="276" w:lineRule="auto"/>
        <w:ind w:left="288"/>
      </w:pPr>
      <w:r>
        <w:t>They can later provide bonuses without replacing the guild as protagonist.</w:t>
      </w:r>
    </w:p>
    <w:p>
      <w:pPr>
        <w:pStyle w:val="ListBullet"/>
        <w:spacing w:before="0" w:after="40" w:line="276" w:lineRule="auto"/>
        <w:ind w:left="288"/>
      </w:pPr>
      <w:r>
        <w:t>They also open a natural surface for monetization, collection, and progression if handled carefully.</w:t>
      </w:r>
    </w:p>
    <w:p>
      <w:pPr>
        <w:pStyle w:val="ListBullet"/>
        <w:spacing w:before="0" w:after="40" w:line="276" w:lineRule="auto"/>
        <w:ind w:left="288"/>
      </w:pPr>
      <w:r>
        <w:t>Do not jump straight into a deep officer simulation or hero battler structure; keep them institutional and role-based.</w:t>
      </w:r>
    </w:p>
    <w:p>
      <w:pPr>
        <w:pStyle w:val="Heading1"/>
        <w:spacing w:before="160" w:after="60" w:line="276" w:lineRule="auto"/>
      </w:pPr>
      <w:r>
        <w:t>8. Data structure and implementation principles</w:t>
      </w:r>
    </w:p>
    <w:tbl>
      <w:tblPr>
        <w:tblStyle w:val="TableGrid"/>
        <w:tblW w:type="auto" w:w="0"/>
        <w:jc w:val="center"/>
        <w:tblLook w:firstColumn="1" w:firstRow="1" w:lastColumn="0" w:lastRow="0" w:noHBand="0" w:noVBand="1" w:val="04A0"/>
      </w:tblPr>
      <w:tblGrid>
        <w:gridCol w:w="2736"/>
        <w:gridCol w:w="3024"/>
        <w:gridCol w:w="3600"/>
      </w:tblGrid>
      <w:tr>
        <w:tc>
          <w:tcPr>
            <w:tcW w:type="dxa" w:w="3312"/>
            <w:shd w:fill="DCEBF0"/>
            <w:tcMar>
              <w:top w:w="90" w:type="dxa"/>
              <w:start w:w="100" w:type="dxa"/>
              <w:bottom w:w="90" w:type="dxa"/>
              <w:end w:w="100" w:type="dxa"/>
            </w:tcMar>
            <w:vAlign w:val="center"/>
          </w:tcPr>
          <w:p>
            <w:r>
              <w:rPr>
                <w:b/>
                <w:sz w:val="20"/>
              </w:rPr>
              <w:t>Data layer</w:t>
            </w:r>
          </w:p>
        </w:tc>
        <w:tc>
          <w:tcPr>
            <w:tcW w:type="dxa" w:w="3312"/>
            <w:shd w:fill="DCEBF0"/>
            <w:tcMar>
              <w:top w:w="90" w:type="dxa"/>
              <w:start w:w="100" w:type="dxa"/>
              <w:bottom w:w="90" w:type="dxa"/>
              <w:end w:w="100" w:type="dxa"/>
            </w:tcMar>
            <w:vAlign w:val="center"/>
          </w:tcPr>
          <w:p>
            <w:r>
              <w:rPr>
                <w:b/>
                <w:sz w:val="20"/>
              </w:rPr>
              <w:t>Purpose</w:t>
            </w:r>
          </w:p>
        </w:tc>
        <w:tc>
          <w:tcPr>
            <w:tcW w:type="dxa" w:w="3312"/>
            <w:shd w:fill="DCEBF0"/>
            <w:tcMar>
              <w:top w:w="90" w:type="dxa"/>
              <w:start w:w="100" w:type="dxa"/>
              <w:bottom w:w="90" w:type="dxa"/>
              <w:end w:w="100" w:type="dxa"/>
            </w:tcMar>
            <w:vAlign w:val="center"/>
          </w:tcPr>
          <w:p>
            <w:r>
              <w:rPr>
                <w:b/>
                <w:sz w:val="20"/>
              </w:rPr>
              <w:t>Notes</w:t>
            </w:r>
          </w:p>
        </w:tc>
      </w:tr>
      <w:tr>
        <w:tc>
          <w:tcPr>
            <w:tcW w:type="dxa" w:w="2736"/>
            <w:tcMar>
              <w:top w:w="75" w:type="dxa"/>
              <w:start w:w="90" w:type="dxa"/>
              <w:bottom w:w="75" w:type="dxa"/>
              <w:end w:w="90" w:type="dxa"/>
            </w:tcMar>
            <w:vAlign w:val="center"/>
          </w:tcPr>
          <w:p>
            <w:r>
              <w:rPr>
                <w:sz w:val="19"/>
              </w:rPr>
              <w:t>Authored regions</w:t>
            </w:r>
          </w:p>
        </w:tc>
        <w:tc>
          <w:tcPr>
            <w:tcW w:type="dxa" w:w="3024"/>
            <w:tcMar>
              <w:top w:w="75" w:type="dxa"/>
              <w:start w:w="90" w:type="dxa"/>
              <w:bottom w:w="75" w:type="dxa"/>
              <w:end w:w="90" w:type="dxa"/>
            </w:tcMar>
            <w:vAlign w:val="center"/>
          </w:tcPr>
          <w:p>
            <w:r>
              <w:rPr>
                <w:sz w:val="19"/>
              </w:rPr>
              <w:t>Static world identity and generation rules</w:t>
            </w:r>
          </w:p>
        </w:tc>
        <w:tc>
          <w:tcPr>
            <w:tcW w:type="dxa" w:w="3600"/>
            <w:tcMar>
              <w:top w:w="75" w:type="dxa"/>
              <w:start w:w="90" w:type="dxa"/>
              <w:bottom w:w="75" w:type="dxa"/>
              <w:end w:w="90" w:type="dxa"/>
            </w:tcMar>
            <w:vAlign w:val="center"/>
          </w:tcPr>
          <w:p>
            <w:r>
              <w:rPr>
                <w:sz w:val="19"/>
              </w:rPr>
              <w:t>Still central and should remain hand-authored</w:t>
            </w:r>
          </w:p>
        </w:tc>
      </w:tr>
      <w:tr>
        <w:tc>
          <w:tcPr>
            <w:tcW w:type="dxa" w:w="2736"/>
            <w:tcMar>
              <w:top w:w="75" w:type="dxa"/>
              <w:start w:w="90" w:type="dxa"/>
              <w:bottom w:w="75" w:type="dxa"/>
              <w:end w:w="90" w:type="dxa"/>
            </w:tcMar>
            <w:vAlign w:val="center"/>
          </w:tcPr>
          <w:p>
            <w:r>
              <w:rPr>
                <w:sz w:val="19"/>
              </w:rPr>
              <w:t>Authored mission archetypes / patron pools</w:t>
            </w:r>
          </w:p>
        </w:tc>
        <w:tc>
          <w:tcPr>
            <w:tcW w:type="dxa" w:w="3024"/>
            <w:tcMar>
              <w:top w:w="75" w:type="dxa"/>
              <w:start w:w="90" w:type="dxa"/>
              <w:bottom w:w="75" w:type="dxa"/>
              <w:end w:w="90" w:type="dxa"/>
            </w:tcMar>
            <w:vAlign w:val="center"/>
          </w:tcPr>
          <w:p>
            <w:r>
              <w:rPr>
                <w:sz w:val="19"/>
              </w:rPr>
              <w:t>Future-facing contract-layer content</w:t>
            </w:r>
          </w:p>
        </w:tc>
        <w:tc>
          <w:tcPr>
            <w:tcW w:type="dxa" w:w="3600"/>
            <w:tcMar>
              <w:top w:w="75" w:type="dxa"/>
              <w:start w:w="90" w:type="dxa"/>
              <w:bottom w:w="75" w:type="dxa"/>
              <w:end w:w="90" w:type="dxa"/>
            </w:tcMar>
            <w:vAlign w:val="center"/>
          </w:tcPr>
          <w:p>
            <w:r>
              <w:rPr>
                <w:sz w:val="19"/>
              </w:rPr>
              <w:t>Should be added in the same disciplined, data-driven spirit as regions</w:t>
            </w:r>
          </w:p>
        </w:tc>
      </w:tr>
      <w:tr>
        <w:tc>
          <w:tcPr>
            <w:tcW w:type="dxa" w:w="2736"/>
            <w:tcMar>
              <w:top w:w="75" w:type="dxa"/>
              <w:start w:w="90" w:type="dxa"/>
              <w:bottom w:w="75" w:type="dxa"/>
              <w:end w:w="90" w:type="dxa"/>
            </w:tcMar>
            <w:vAlign w:val="center"/>
          </w:tcPr>
          <w:p>
            <w:r>
              <w:rPr>
                <w:sz w:val="19"/>
              </w:rPr>
              <w:t>Player progress state</w:t>
            </w:r>
          </w:p>
        </w:tc>
        <w:tc>
          <w:tcPr>
            <w:tcW w:type="dxa" w:w="3024"/>
            <w:tcMar>
              <w:top w:w="75" w:type="dxa"/>
              <w:start w:w="90" w:type="dxa"/>
              <w:bottom w:w="75" w:type="dxa"/>
              <w:end w:w="90" w:type="dxa"/>
            </w:tcMar>
            <w:vAlign w:val="center"/>
          </w:tcPr>
          <w:p>
            <w:r>
              <w:rPr>
                <w:sz w:val="19"/>
              </w:rPr>
              <w:t>What this player has unlocked, learned, and completed</w:t>
            </w:r>
          </w:p>
        </w:tc>
        <w:tc>
          <w:tcPr>
            <w:tcW w:type="dxa" w:w="3600"/>
            <w:tcMar>
              <w:top w:w="75" w:type="dxa"/>
              <w:start w:w="90" w:type="dxa"/>
              <w:bottom w:w="75" w:type="dxa"/>
              <w:end w:w="90" w:type="dxa"/>
            </w:tcMar>
            <w:vAlign w:val="center"/>
          </w:tcPr>
          <w:p>
            <w:r>
              <w:rPr>
                <w:sz w:val="19"/>
              </w:rPr>
              <w:t>Must remain separate from authored content</w:t>
            </w:r>
          </w:p>
        </w:tc>
      </w:tr>
      <w:tr>
        <w:tc>
          <w:tcPr>
            <w:tcW w:type="dxa" w:w="2736"/>
            <w:tcMar>
              <w:top w:w="75" w:type="dxa"/>
              <w:start w:w="90" w:type="dxa"/>
              <w:bottom w:w="75" w:type="dxa"/>
              <w:end w:w="90" w:type="dxa"/>
            </w:tcMar>
            <w:vAlign w:val="center"/>
          </w:tcPr>
          <w:p>
            <w:r>
              <w:rPr>
                <w:sz w:val="19"/>
              </w:rPr>
              <w:t>Runtime offers</w:t>
            </w:r>
          </w:p>
        </w:tc>
        <w:tc>
          <w:tcPr>
            <w:tcW w:type="dxa" w:w="3024"/>
            <w:tcMar>
              <w:top w:w="75" w:type="dxa"/>
              <w:start w:w="90" w:type="dxa"/>
              <w:bottom w:w="75" w:type="dxa"/>
              <w:end w:w="90" w:type="dxa"/>
            </w:tcMar>
            <w:vAlign w:val="center"/>
          </w:tcPr>
          <w:p>
            <w:r>
              <w:rPr>
                <w:sz w:val="19"/>
              </w:rPr>
              <w:t>Current commissions / expeditions shown to the player</w:t>
            </w:r>
          </w:p>
        </w:tc>
        <w:tc>
          <w:tcPr>
            <w:tcW w:type="dxa" w:w="3600"/>
            <w:tcMar>
              <w:top w:w="75" w:type="dxa"/>
              <w:start w:w="90" w:type="dxa"/>
              <w:bottom w:w="75" w:type="dxa"/>
              <w:end w:w="90" w:type="dxa"/>
            </w:tcMar>
            <w:vAlign w:val="center"/>
          </w:tcPr>
          <w:p>
            <w:r>
              <w:rPr>
                <w:sz w:val="19"/>
              </w:rPr>
              <w:t>Generated from authored data + player state</w:t>
            </w:r>
          </w:p>
        </w:tc>
      </w:tr>
      <w:tr>
        <w:tc>
          <w:tcPr>
            <w:tcW w:type="dxa" w:w="2736"/>
            <w:tcMar>
              <w:top w:w="75" w:type="dxa"/>
              <w:start w:w="90" w:type="dxa"/>
              <w:bottom w:w="75" w:type="dxa"/>
              <w:end w:w="90" w:type="dxa"/>
            </w:tcMar>
            <w:vAlign w:val="center"/>
          </w:tcPr>
          <w:p>
            <w:r>
              <w:rPr>
                <w:sz w:val="19"/>
              </w:rPr>
              <w:t>Active slot state</w:t>
            </w:r>
          </w:p>
        </w:tc>
        <w:tc>
          <w:tcPr>
            <w:tcW w:type="dxa" w:w="3024"/>
            <w:tcMar>
              <w:top w:w="75" w:type="dxa"/>
              <w:start w:w="90" w:type="dxa"/>
              <w:bottom w:w="75" w:type="dxa"/>
              <w:end w:w="90" w:type="dxa"/>
            </w:tcMar>
            <w:vAlign w:val="center"/>
          </w:tcPr>
          <w:p>
            <w:r>
              <w:rPr>
                <w:sz w:val="19"/>
              </w:rPr>
              <w:t>What is currently dispatched and what can be collected</w:t>
            </w:r>
          </w:p>
        </w:tc>
        <w:tc>
          <w:tcPr>
            <w:tcW w:type="dxa" w:w="3600"/>
            <w:tcMar>
              <w:top w:w="75" w:type="dxa"/>
              <w:start w:w="90" w:type="dxa"/>
              <w:bottom w:w="75" w:type="dxa"/>
              <w:end w:w="90" w:type="dxa"/>
            </w:tcMar>
            <w:vAlign w:val="center"/>
          </w:tcPr>
          <w:p>
            <w:r>
              <w:rPr>
                <w:sz w:val="19"/>
              </w:rPr>
              <w:t>Should stay explicit and save-friendly</w:t>
            </w:r>
          </w:p>
        </w:tc>
      </w:tr>
    </w:tbl>
    <w:p/>
    <w:p>
      <w:pPr>
        <w:pStyle w:val="Heading2"/>
        <w:spacing w:before="80" w:after="60" w:line="276" w:lineRule="auto"/>
      </w:pPr>
      <w:r>
        <w:t>Implementation guardrails</w:t>
      </w:r>
    </w:p>
    <w:p>
      <w:pPr>
        <w:pStyle w:val="ListBullet"/>
        <w:spacing w:before="0" w:after="40" w:line="276" w:lineRule="auto"/>
        <w:ind w:left="288"/>
      </w:pPr>
      <w:r>
        <w:t>Preserve the current codebase and continue to expand it rather than restart from scratch.</w:t>
      </w:r>
    </w:p>
    <w:p>
      <w:pPr>
        <w:pStyle w:val="ListBullet"/>
        <w:spacing w:before="0" w:after="40" w:line="276" w:lineRule="auto"/>
        <w:ind w:left="288"/>
      </w:pPr>
      <w:r>
        <w:t>Keep authored content and player-owned state separate.</w:t>
      </w:r>
    </w:p>
    <w:p>
      <w:pPr>
        <w:pStyle w:val="ListBullet"/>
        <w:spacing w:before="0" w:after="40" w:line="276" w:lineRule="auto"/>
        <w:ind w:left="288"/>
      </w:pPr>
      <w:r>
        <w:t>Continue preferring scene-authored UI structure with script-driven data binding over building UI trees entirely in code.</w:t>
      </w:r>
    </w:p>
    <w:p>
      <w:pPr>
        <w:pStyle w:val="ListBullet"/>
        <w:spacing w:before="0" w:after="40" w:line="276" w:lineRule="auto"/>
        <w:ind w:left="288"/>
      </w:pPr>
      <w:r>
        <w:t>Do not move to a real backend yet; shape data and state boundaries so backend migration is easier later.</w:t>
      </w:r>
    </w:p>
    <w:p>
      <w:pPr>
        <w:pStyle w:val="ListBullet"/>
        <w:spacing w:before="0" w:after="40" w:line="276" w:lineRule="auto"/>
        <w:ind w:left="288"/>
      </w:pPr>
      <w:r>
        <w:t>Maintain milestone discipline: one subsystem slice at a time.</w:t>
      </w:r>
    </w:p>
    <w:p>
      <w:pPr>
        <w:pStyle w:val="Heading1"/>
        <w:spacing w:before="160" w:after="60" w:line="276" w:lineRule="auto"/>
      </w:pPr>
      <w:r>
        <w:t>9. Starter region band (still relevant)</w:t>
      </w:r>
    </w:p>
    <w:p>
      <w:pPr>
        <w:spacing w:before="0" w:after="80" w:line="276" w:lineRule="auto"/>
      </w:pPr>
      <w:r>
        <w:t>The five starter regions remain valid. Under the updated spine, they now serve two jobs at once: they shape exploratory ventures and they inform which commissions make sense to accept and how likely the guild is to succeed there.</w:t>
      </w:r>
    </w:p>
    <w:tbl>
      <w:tblPr>
        <w:tblStyle w:val="TableGrid"/>
        <w:tblW w:type="auto" w:w="0"/>
        <w:jc w:val="center"/>
        <w:tblLook w:firstColumn="1" w:firstRow="1" w:lastColumn="0" w:lastRow="0" w:noHBand="0" w:noVBand="1" w:val="04A0"/>
      </w:tblPr>
      <w:tblGrid>
        <w:gridCol w:w="2880"/>
        <w:gridCol w:w="1440"/>
        <w:gridCol w:w="1872"/>
        <w:gridCol w:w="4176"/>
      </w:tblGrid>
      <w:tr>
        <w:tc>
          <w:tcPr>
            <w:tcW w:type="dxa" w:w="2484"/>
            <w:shd w:fill="DCEBF0"/>
            <w:tcMar>
              <w:top w:w="90" w:type="dxa"/>
              <w:start w:w="100" w:type="dxa"/>
              <w:bottom w:w="90" w:type="dxa"/>
              <w:end w:w="100" w:type="dxa"/>
            </w:tcMar>
            <w:vAlign w:val="center"/>
          </w:tcPr>
          <w:p>
            <w:r>
              <w:rPr>
                <w:b/>
                <w:sz w:val="20"/>
              </w:rPr>
              <w:t>Region</w:t>
            </w:r>
          </w:p>
        </w:tc>
        <w:tc>
          <w:tcPr>
            <w:tcW w:type="dxa" w:w="2484"/>
            <w:shd w:fill="DCEBF0"/>
            <w:tcMar>
              <w:top w:w="90" w:type="dxa"/>
              <w:start w:w="100" w:type="dxa"/>
              <w:bottom w:w="90" w:type="dxa"/>
              <w:end w:w="100" w:type="dxa"/>
            </w:tcMar>
            <w:vAlign w:val="center"/>
          </w:tcPr>
          <w:p>
            <w:r>
              <w:rPr>
                <w:b/>
                <w:sz w:val="20"/>
              </w:rPr>
              <w:t>Role</w:t>
            </w:r>
          </w:p>
        </w:tc>
        <w:tc>
          <w:tcPr>
            <w:tcW w:type="dxa" w:w="2484"/>
            <w:shd w:fill="DCEBF0"/>
            <w:tcMar>
              <w:top w:w="90" w:type="dxa"/>
              <w:start w:w="100" w:type="dxa"/>
              <w:bottom w:w="90" w:type="dxa"/>
              <w:end w:w="100" w:type="dxa"/>
            </w:tcMar>
            <w:vAlign w:val="center"/>
          </w:tcPr>
          <w:p>
            <w:r>
              <w:rPr>
                <w:b/>
                <w:sz w:val="20"/>
              </w:rPr>
              <w:t>Initial state</w:t>
            </w:r>
          </w:p>
        </w:tc>
        <w:tc>
          <w:tcPr>
            <w:tcW w:type="dxa" w:w="2484"/>
            <w:shd w:fill="DCEBF0"/>
            <w:tcMar>
              <w:top w:w="90" w:type="dxa"/>
              <w:start w:w="100" w:type="dxa"/>
              <w:bottom w:w="90" w:type="dxa"/>
              <w:end w:w="100" w:type="dxa"/>
            </w:tcMar>
            <w:vAlign w:val="center"/>
          </w:tcPr>
          <w:p>
            <w:r>
              <w:rPr>
                <w:b/>
                <w:sz w:val="20"/>
              </w:rPr>
              <w:t>Primary job</w:t>
            </w:r>
          </w:p>
        </w:tc>
      </w:tr>
      <w:tr>
        <w:tc>
          <w:tcPr>
            <w:tcW w:type="dxa" w:w="2880"/>
            <w:tcMar>
              <w:top w:w="75" w:type="dxa"/>
              <w:start w:w="90" w:type="dxa"/>
              <w:bottom w:w="75" w:type="dxa"/>
              <w:end w:w="90" w:type="dxa"/>
            </w:tcMar>
            <w:vAlign w:val="center"/>
          </w:tcPr>
          <w:p>
            <w:r>
              <w:rPr>
                <w:sz w:val="19"/>
              </w:rPr>
              <w:t>Greenhollow Reaches</w:t>
            </w:r>
          </w:p>
        </w:tc>
        <w:tc>
          <w:tcPr>
            <w:tcW w:type="dxa" w:w="1440"/>
            <w:tcMar>
              <w:top w:w="75" w:type="dxa"/>
              <w:start w:w="90" w:type="dxa"/>
              <w:bottom w:w="75" w:type="dxa"/>
              <w:end w:w="90" w:type="dxa"/>
            </w:tcMar>
            <w:vAlign w:val="center"/>
          </w:tcPr>
          <w:p>
            <w:r>
              <w:rPr>
                <w:sz w:val="19"/>
              </w:rPr>
              <w:t>starter</w:t>
            </w:r>
          </w:p>
        </w:tc>
        <w:tc>
          <w:tcPr>
            <w:tcW w:type="dxa" w:w="1872"/>
            <w:tcMar>
              <w:top w:w="75" w:type="dxa"/>
              <w:start w:w="90" w:type="dxa"/>
              <w:bottom w:w="75" w:type="dxa"/>
              <w:end w:w="90" w:type="dxa"/>
            </w:tcMar>
            <w:vAlign w:val="center"/>
          </w:tcPr>
          <w:p>
            <w:r>
              <w:rPr>
                <w:sz w:val="19"/>
              </w:rPr>
              <w:t>Visible + unlocked</w:t>
            </w:r>
          </w:p>
        </w:tc>
        <w:tc>
          <w:tcPr>
            <w:tcW w:type="dxa" w:w="4176"/>
            <w:tcMar>
              <w:top w:w="75" w:type="dxa"/>
              <w:start w:w="90" w:type="dxa"/>
              <w:bottom w:w="75" w:type="dxa"/>
              <w:end w:w="90" w:type="dxa"/>
            </w:tcMar>
            <w:vAlign w:val="center"/>
          </w:tcPr>
          <w:p>
            <w:r>
              <w:rPr>
                <w:sz w:val="19"/>
              </w:rPr>
              <w:t>Teach broad inland content and baseline guild work</w:t>
            </w:r>
          </w:p>
        </w:tc>
      </w:tr>
      <w:tr>
        <w:tc>
          <w:tcPr>
            <w:tcW w:type="dxa" w:w="2880"/>
            <w:tcMar>
              <w:top w:w="75" w:type="dxa"/>
              <w:start w:w="90" w:type="dxa"/>
              <w:bottom w:w="75" w:type="dxa"/>
              <w:end w:w="90" w:type="dxa"/>
            </w:tcMar>
            <w:vAlign w:val="center"/>
          </w:tcPr>
          <w:p>
            <w:r>
              <w:rPr>
                <w:sz w:val="19"/>
              </w:rPr>
              <w:t>Emberwake Coast</w:t>
            </w:r>
          </w:p>
        </w:tc>
        <w:tc>
          <w:tcPr>
            <w:tcW w:type="dxa" w:w="1440"/>
            <w:tcMar>
              <w:top w:w="75" w:type="dxa"/>
              <w:start w:w="90" w:type="dxa"/>
              <w:bottom w:w="75" w:type="dxa"/>
              <w:end w:w="90" w:type="dxa"/>
            </w:tcMar>
            <w:vAlign w:val="center"/>
          </w:tcPr>
          <w:p>
            <w:r>
              <w:rPr>
                <w:sz w:val="19"/>
              </w:rPr>
              <w:t>starter</w:t>
            </w:r>
          </w:p>
        </w:tc>
        <w:tc>
          <w:tcPr>
            <w:tcW w:type="dxa" w:w="1872"/>
            <w:tcMar>
              <w:top w:w="75" w:type="dxa"/>
              <w:start w:w="90" w:type="dxa"/>
              <w:bottom w:w="75" w:type="dxa"/>
              <w:end w:w="90" w:type="dxa"/>
            </w:tcMar>
            <w:vAlign w:val="center"/>
          </w:tcPr>
          <w:p>
            <w:r>
              <w:rPr>
                <w:sz w:val="19"/>
              </w:rPr>
              <w:t>Visible + unlocked</w:t>
            </w:r>
          </w:p>
        </w:tc>
        <w:tc>
          <w:tcPr>
            <w:tcW w:type="dxa" w:w="4176"/>
            <w:tcMar>
              <w:top w:w="75" w:type="dxa"/>
              <w:start w:w="90" w:type="dxa"/>
              <w:bottom w:w="75" w:type="dxa"/>
              <w:end w:w="90" w:type="dxa"/>
            </w:tcMar>
            <w:vAlign w:val="center"/>
          </w:tcPr>
          <w:p>
            <w:r>
              <w:rPr>
                <w:sz w:val="19"/>
              </w:rPr>
              <w:t>Show that region choice changes content feel and opportunities</w:t>
            </w:r>
          </w:p>
        </w:tc>
      </w:tr>
      <w:tr>
        <w:tc>
          <w:tcPr>
            <w:tcW w:type="dxa" w:w="2880"/>
            <w:tcMar>
              <w:top w:w="75" w:type="dxa"/>
              <w:start w:w="90" w:type="dxa"/>
              <w:bottom w:w="75" w:type="dxa"/>
              <w:end w:w="90" w:type="dxa"/>
            </w:tcMar>
            <w:vAlign w:val="center"/>
          </w:tcPr>
          <w:p>
            <w:r>
              <w:rPr>
                <w:sz w:val="19"/>
              </w:rPr>
              <w:t>Greyfen March</w:t>
            </w:r>
          </w:p>
        </w:tc>
        <w:tc>
          <w:tcPr>
            <w:tcW w:type="dxa" w:w="1440"/>
            <w:tcMar>
              <w:top w:w="75" w:type="dxa"/>
              <w:start w:w="90" w:type="dxa"/>
              <w:bottom w:w="75" w:type="dxa"/>
              <w:end w:w="90" w:type="dxa"/>
            </w:tcMar>
            <w:vAlign w:val="center"/>
          </w:tcPr>
          <w:p>
            <w:r>
              <w:rPr>
                <w:sz w:val="19"/>
              </w:rPr>
              <w:t>bridge</w:t>
            </w:r>
          </w:p>
        </w:tc>
        <w:tc>
          <w:tcPr>
            <w:tcW w:type="dxa" w:w="1872"/>
            <w:tcMar>
              <w:top w:w="75" w:type="dxa"/>
              <w:start w:w="90" w:type="dxa"/>
              <w:bottom w:w="75" w:type="dxa"/>
              <w:end w:w="90" w:type="dxa"/>
            </w:tcMar>
            <w:vAlign w:val="center"/>
          </w:tcPr>
          <w:p>
            <w:r>
              <w:rPr>
                <w:sz w:val="19"/>
              </w:rPr>
              <w:t>Visible + locked</w:t>
            </w:r>
          </w:p>
        </w:tc>
        <w:tc>
          <w:tcPr>
            <w:tcW w:type="dxa" w:w="4176"/>
            <w:tcMar>
              <w:top w:w="75" w:type="dxa"/>
              <w:start w:w="90" w:type="dxa"/>
              <w:bottom w:w="75" w:type="dxa"/>
              <w:end w:w="90" w:type="dxa"/>
            </w:tcMar>
            <w:vAlign w:val="center"/>
          </w:tcPr>
          <w:p>
            <w:r>
              <w:rPr>
                <w:sz w:val="19"/>
              </w:rPr>
              <w:t>Introduce environmental friction and the value of readiness</w:t>
            </w:r>
          </w:p>
        </w:tc>
      </w:tr>
      <w:tr>
        <w:tc>
          <w:tcPr>
            <w:tcW w:type="dxa" w:w="2880"/>
            <w:tcMar>
              <w:top w:w="75" w:type="dxa"/>
              <w:start w:w="90" w:type="dxa"/>
              <w:bottom w:w="75" w:type="dxa"/>
              <w:end w:w="90" w:type="dxa"/>
            </w:tcMar>
            <w:vAlign w:val="center"/>
          </w:tcPr>
          <w:p>
            <w:r>
              <w:rPr>
                <w:sz w:val="19"/>
              </w:rPr>
              <w:t>Sunscar Expanse</w:t>
            </w:r>
          </w:p>
        </w:tc>
        <w:tc>
          <w:tcPr>
            <w:tcW w:type="dxa" w:w="1440"/>
            <w:tcMar>
              <w:top w:w="75" w:type="dxa"/>
              <w:start w:w="90" w:type="dxa"/>
              <w:bottom w:w="75" w:type="dxa"/>
              <w:end w:w="90" w:type="dxa"/>
            </w:tcMar>
            <w:vAlign w:val="center"/>
          </w:tcPr>
          <w:p>
            <w:r>
              <w:rPr>
                <w:sz w:val="19"/>
              </w:rPr>
              <w:t>frontier_gate</w:t>
            </w:r>
          </w:p>
        </w:tc>
        <w:tc>
          <w:tcPr>
            <w:tcW w:type="dxa" w:w="1872"/>
            <w:tcMar>
              <w:top w:w="75" w:type="dxa"/>
              <w:start w:w="90" w:type="dxa"/>
              <w:bottom w:w="75" w:type="dxa"/>
              <w:end w:w="90" w:type="dxa"/>
            </w:tcMar>
            <w:vAlign w:val="center"/>
          </w:tcPr>
          <w:p>
            <w:r>
              <w:rPr>
                <w:sz w:val="19"/>
              </w:rPr>
              <w:t>Unknown / teased</w:t>
            </w:r>
          </w:p>
        </w:tc>
        <w:tc>
          <w:tcPr>
            <w:tcW w:type="dxa" w:w="4176"/>
            <w:tcMar>
              <w:top w:w="75" w:type="dxa"/>
              <w:start w:w="90" w:type="dxa"/>
              <w:bottom w:w="75" w:type="dxa"/>
              <w:end w:w="90" w:type="dxa"/>
            </w:tcMar>
            <w:vAlign w:val="center"/>
          </w:tcPr>
          <w:p>
            <w:r>
              <w:rPr>
                <w:sz w:val="19"/>
              </w:rPr>
              <w:t>Create aspirational frontier pressure and stronger clue families</w:t>
            </w:r>
          </w:p>
        </w:tc>
      </w:tr>
      <w:tr>
        <w:tc>
          <w:tcPr>
            <w:tcW w:type="dxa" w:w="2880"/>
            <w:tcMar>
              <w:top w:w="75" w:type="dxa"/>
              <w:start w:w="90" w:type="dxa"/>
              <w:bottom w:w="75" w:type="dxa"/>
              <w:end w:w="90" w:type="dxa"/>
            </w:tcMar>
            <w:vAlign w:val="center"/>
          </w:tcPr>
          <w:p>
            <w:r>
              <w:rPr>
                <w:sz w:val="19"/>
              </w:rPr>
              <w:t>Hollowspire Uplands</w:t>
            </w:r>
          </w:p>
        </w:tc>
        <w:tc>
          <w:tcPr>
            <w:tcW w:type="dxa" w:w="1440"/>
            <w:tcMar>
              <w:top w:w="75" w:type="dxa"/>
              <w:start w:w="90" w:type="dxa"/>
              <w:bottom w:w="75" w:type="dxa"/>
              <w:end w:w="90" w:type="dxa"/>
            </w:tcMar>
            <w:vAlign w:val="center"/>
          </w:tcPr>
          <w:p>
            <w:r>
              <w:rPr>
                <w:sz w:val="19"/>
              </w:rPr>
              <w:t>specialist</w:t>
            </w:r>
          </w:p>
        </w:tc>
        <w:tc>
          <w:tcPr>
            <w:tcW w:type="dxa" w:w="1872"/>
            <w:tcMar>
              <w:top w:w="75" w:type="dxa"/>
              <w:start w:w="90" w:type="dxa"/>
              <w:bottom w:w="75" w:type="dxa"/>
              <w:end w:w="90" w:type="dxa"/>
            </w:tcMar>
            <w:vAlign w:val="center"/>
          </w:tcPr>
          <w:p>
            <w:r>
              <w:rPr>
                <w:sz w:val="19"/>
              </w:rPr>
              <w:t>Unknown / teased</w:t>
            </w:r>
          </w:p>
        </w:tc>
        <w:tc>
          <w:tcPr>
            <w:tcW w:type="dxa" w:w="4176"/>
            <w:tcMar>
              <w:top w:w="75" w:type="dxa"/>
              <w:start w:w="90" w:type="dxa"/>
              <w:bottom w:w="75" w:type="dxa"/>
              <w:end w:w="90" w:type="dxa"/>
            </w:tcMar>
            <w:vAlign w:val="center"/>
          </w:tcPr>
          <w:p>
            <w:r>
              <w:rPr>
                <w:sz w:val="19"/>
              </w:rPr>
              <w:t>Signal mystery, verticality, and a second future-facing path</w:t>
            </w:r>
          </w:p>
        </w:tc>
      </w:tr>
    </w:tbl>
    <w:p/>
    <w:p>
      <w:pPr>
        <w:pStyle w:val="Heading1"/>
        <w:spacing w:before="160" w:after="60" w:line="276" w:lineRule="auto"/>
      </w:pPr>
      <w:r>
        <w:t>10. Near-term design implications</w:t>
      </w:r>
    </w:p>
    <w:p>
      <w:pPr>
        <w:pStyle w:val="ListBullet"/>
        <w:spacing w:before="0" w:after="40" w:line="276" w:lineRule="auto"/>
        <w:ind w:left="288"/>
      </w:pPr>
      <w:r>
        <w:t>Pause UI expansion whenever necessary to keep the high-level board structure aligned with the updated systems spine.</w:t>
      </w:r>
    </w:p>
    <w:p>
      <w:pPr>
        <w:pStyle w:val="ListBullet"/>
        <w:spacing w:before="0" w:after="40" w:line="276" w:lineRule="auto"/>
        <w:ind w:left="288"/>
      </w:pPr>
      <w:r>
        <w:t>The current Expedition Board may eventually conceptually evolve into a Ventures Board or Contracts Board, even if the working screen name lags behind during implementation.</w:t>
      </w:r>
    </w:p>
    <w:p>
      <w:pPr>
        <w:pStyle w:val="ListBullet"/>
        <w:spacing w:before="0" w:after="40" w:line="276" w:lineRule="auto"/>
        <w:ind w:left="288"/>
      </w:pPr>
      <w:r>
        <w:t>The next major design tasks after locking this canon should focus on patron / commission framing, mission-family structure, and how region knowledge modifies mission choice and outcomes.</w:t>
      </w:r>
    </w:p>
    <w:p>
      <w:pPr>
        <w:pStyle w:val="ListBullet"/>
        <w:spacing w:before="0" w:after="40" w:line="276" w:lineRule="auto"/>
        <w:ind w:left="288"/>
      </w:pPr>
      <w:r>
        <w:t>Existing region work, Codex direction, and authored region model remain relevant and should be reused, not discarded.</w:t>
      </w:r>
    </w:p>
    <w:p>
      <w:pPr>
        <w:pStyle w:val="Heading1"/>
        <w:spacing w:before="160" w:after="60" w:line="276" w:lineRule="auto"/>
      </w:pPr>
      <w:r>
        <w:t>11. Closing note</w:t>
      </w:r>
    </w:p>
    <w:p>
      <w:pPr>
        <w:spacing w:before="0" w:after="80" w:line="276" w:lineRule="auto"/>
      </w:pPr>
      <w:r>
        <w:t>This v2 canon is intentionally stricter than a brainstorm. Its job is to reduce design drift, protect the project from scope creep, and keep future milestone prompts aligned with a coherent long-term direction. Hall of Ventures should now be understood as a frontier contract guild game whose most distinctive long-term layer is still regional knowledge and exploratory progression.</w:t>
      </w:r>
    </w:p>
    <w:p>
      <w:pPr>
        <w:spacing w:before="0" w:after="80" w:line="276" w:lineRule="auto"/>
      </w:pPr>
      <w:r>
        <w:t>The previous design canon remains useful as a historical post-MVP artifact, but this document should now guide future system framing, world/mission generation decisions, and milestone spec work.</w:t>
      </w:r>
    </w:p>
    <w:p>
      <w:pPr>
        <w:pStyle w:val="Heading1"/>
      </w:pPr>
      <w:r>
        <w:t>12. Core economic loop (newly locked)</w:t>
      </w:r>
    </w:p>
    <w:p>
      <w:pPr/>
      <w:r>
        <w:t>The expedition loop and the commission loop should not both feel like alternate ways to mint the same resource. To keep their identities strong, Hall of Ventures now locks a deliberate economic asymmetry: independent expeditions do not generate gold directly, while commissions are the primary source of gold income. Expeditions are an investment and preparation loop; commissions are the monetization loop.</w:t>
      </w:r>
    </w:p>
    <w:p>
      <w:pPr>
        <w:pStyle w:val="Heading2"/>
      </w:pPr>
      <w:r>
        <w:t>Primary economic rule</w:t>
      </w:r>
    </w:p>
    <w:p>
      <w:pPr>
        <w:pStyle w:val="ListBullet"/>
      </w:pPr>
      <w:r>
        <w:t>Independent expeditions never directly generate gold.</w:t>
      </w:r>
    </w:p>
    <w:p>
      <w:pPr>
        <w:pStyle w:val="ListBullet"/>
      </w:pPr>
      <w:r>
        <w:t>Commissions are the primary gold-generation loop.</w:t>
      </w:r>
    </w:p>
    <w:p>
      <w:pPr>
        <w:pStyle w:val="ListBullet"/>
      </w:pPr>
      <w:r>
        <w:t>Expeditions spend gold to launch and return non-gold value such as regional knowledge, clues, Codex Fragments, collectibles, salvage, and future preparation resources or “supplies.”</w:t>
      </w:r>
    </w:p>
    <w:p>
      <w:pPr>
        <w:pStyle w:val="ListBullet"/>
      </w:pPr>
      <w:r>
        <w:t>Commissions convert readiness, supplies, officer fit, and institutional knowledge into gold, reputation, patron standing, and broader progression.</w:t>
      </w:r>
    </w:p>
    <w:p>
      <w:pPr>
        <w:pStyle w:val="Heading2"/>
      </w:pPr>
      <w:r>
        <w:t>Loop structure</w:t>
      </w:r>
    </w:p>
    <w:p>
      <w:pPr>
        <w:pStyle w:val="ListBullet"/>
      </w:pPr>
      <w:r>
        <w:t>Spend gold on expeditions to salvage, scrounge, loot, collect, and deepen knowledge of a region.</w:t>
      </w:r>
    </w:p>
    <w:p>
      <w:pPr>
        <w:pStyle w:val="ListBullet"/>
      </w:pPr>
      <w:r>
        <w:t>Use those expedition returns to improve preparation, unlock new possibilities, and make better-informed commission choices.</w:t>
      </w:r>
    </w:p>
    <w:p>
      <w:pPr>
        <w:pStyle w:val="ListBullet"/>
      </w:pPr>
      <w:r>
        <w:t>Spend supplies and other prep resources to launch commissions at an appropriate readiness level.</w:t>
      </w:r>
    </w:p>
    <w:p>
      <w:pPr>
        <w:pStyle w:val="ListBullet"/>
      </w:pPr>
      <w:r>
        <w:t>Earn gold, reputation, and patron progression from commissions, then reinvest that gold back into better expeditions and stronger venture capability.</w:t>
      </w:r>
    </w:p>
    <w:p>
      <w:pPr>
        <w:pStyle w:val="Heading2"/>
      </w:pPr>
      <w:r>
        <w:t>Preparation and supplies philosophy</w:t>
      </w:r>
    </w:p>
    <w:p>
      <w:pPr>
        <w:pStyle w:val="ListBullet"/>
      </w:pPr>
      <w:r>
        <w:t>Preparation should be tiered rather than binary. A venture may launch under-prepared, adequately prepared, or over-prepared.</w:t>
      </w:r>
    </w:p>
    <w:p>
      <w:pPr>
        <w:pStyle w:val="ListBullet"/>
      </w:pPr>
      <w:r>
        <w:t>No supplies or weak preparation should still allow some commissions to run, especially early ones, but outcomes should be worse and riskier.</w:t>
      </w:r>
    </w:p>
    <w:p>
      <w:pPr>
        <w:pStyle w:val="ListBullet"/>
      </w:pPr>
      <w:r>
        <w:t>Meeting requirements should produce the expected baseline result.</w:t>
      </w:r>
    </w:p>
    <w:p>
      <w:pPr>
        <w:pStyle w:val="ListBullet"/>
      </w:pPr>
      <w:r>
        <w:t>Over-preparing should improve the odds of better outcomes, safer completion, or bonus rewards rather than simply being mandatory tax.</w:t>
      </w:r>
    </w:p>
    <w:p>
      <w:pPr>
        <w:pStyle w:val="ListBullet"/>
      </w:pPr>
      <w:r>
        <w:t>This prevents the loop from becoming punitive while still making expedition-derived preparation matter.</w:t>
      </w:r>
    </w:p>
    <w:p>
      <w:pPr>
        <w:pStyle w:val="Heading2"/>
      </w:pPr>
      <w:r>
        <w:t>Why this rule is locked</w:t>
      </w:r>
    </w:p>
    <w:p>
      <w:pPr>
        <w:pStyle w:val="ListBullet"/>
      </w:pPr>
      <w:r>
        <w:t>It gives expeditions and commissions different emotional roles rather than making them flavor variants of the same income machine.</w:t>
      </w:r>
    </w:p>
    <w:p>
      <w:pPr>
        <w:pStyle w:val="ListBullet"/>
      </w:pPr>
      <w:r>
        <w:t>It strengthens player agency: invest now in knowledge and readiness, or cash out sooner through commissions.</w:t>
      </w:r>
    </w:p>
    <w:p>
      <w:pPr>
        <w:pStyle w:val="ListBullet"/>
      </w:pPr>
      <w:r>
        <w:t>It makes region mastery and expedition output genuinely relevant to contract success, not merely optional side content.</w:t>
      </w:r>
    </w:p>
    <w:p>
      <w:pPr>
        <w:pStyle w:val="ListBullet"/>
      </w:pPr>
      <w:r>
        <w:t>It supports richer balancing, because the game can separately tune investment cost, readiness quality, payout reliability, and long-term prestige growth.</w:t>
      </w:r>
    </w:p>
    <w:p>
      <w:pPr>
        <w:pStyle w:val="ListBullet"/>
      </w:pPr>
      <w:r>
        <w:t>It keeps both systems mutually necessary and therefore keeps players engaged with both loops over time.</w:t>
      </w:r>
    </w:p>
    <w:p>
      <w:pPr>
        <w:pStyle w:val="Heading1"/>
      </w:pPr>
      <w:r>
        <w:t>13. Commission system foundations</w:t>
      </w:r>
    </w:p>
    <w:p>
      <w:pPr/>
      <w:r>
        <w:t>Commissions are now locked as Hall of Ventures' primary gold-generation and patron-progression loop. They should feel operational, readable, and board-driven rather than like a passive quest log. They must be generated from the player's currently reachable world and presented as a curated, finite set of offers rather than an endless flat feed.</w:t>
      </w:r>
    </w:p>
    <w:p>
      <w:pPr>
        <w:pStyle w:val="Heading2"/>
      </w:pPr>
      <w:r>
        <w:t>Commission grammar (revised and locked)</w:t>
      </w:r>
    </w:p>
    <w:p>
      <w:pPr/>
      <w:r>
        <w:t>Patron -&gt; Commission Family -&gt; Brief Style -&gt; Region Eligibility -&gt; Objective -&gt; Requirement Profile -&gt; Operational Inputs -&gt; Duration Profile -&gt; Risk Profile -&gt; Outcome Profile -&gt; Reward Package -&gt; Board Tags -&gt; Presentation</w:t>
      </w:r>
    </w:p>
    <w:p>
      <w:pPr>
        <w:pStyle w:val="Heading2"/>
      </w:pPr>
      <w:r>
        <w:t>Core commission rules</w:t>
      </w:r>
    </w:p>
    <w:p>
      <w:pPr>
        <w:pStyle w:val="ListBullet"/>
      </w:pPr>
      <w:r>
        <w:t>Commission offers are generated only from the player's currently unlocked and serviceable regions.</w:t>
      </w:r>
    </w:p>
    <w:p>
      <w:pPr>
        <w:pStyle w:val="ListBullet"/>
      </w:pPr>
      <w:r>
        <w:t>Commissions are procedural but authored: random within curated rules, not pure chaos and not primarily handcrafted one-offs.</w:t>
      </w:r>
    </w:p>
    <w:p>
      <w:pPr>
        <w:pStyle w:val="ListBullet"/>
      </w:pPr>
      <w:r>
        <w:t>The visible commission board is finite. v1 starts at 3 visible offers, with expansion handled later through progression.</w:t>
      </w:r>
    </w:p>
    <w:p>
      <w:pPr>
        <w:pStyle w:val="ListBullet"/>
      </w:pPr>
      <w:r>
        <w:t>Accepting a commission means immediate dispatch and immediate commitment of operational resources. There is no staging area or accepted-but-unlaunched contract inventory.</w:t>
      </w:r>
    </w:p>
    <w:p>
      <w:pPr>
        <w:pStyle w:val="ListBullet"/>
      </w:pPr>
      <w:r>
        <w:t>When a commission is accepted, the board replenishes back toward its visible cap by generating a new offer for the emptied slot.</w:t>
      </w:r>
    </w:p>
    <w:p>
      <w:pPr>
        <w:pStyle w:val="ListBullet"/>
      </w:pPr>
      <w:r>
        <w:t>Standard commissions persist until accepted or refreshed. Event or special commissions may expire.</w:t>
      </w:r>
    </w:p>
    <w:p>
      <w:pPr>
        <w:pStyle w:val="ListBullet"/>
      </w:pPr>
      <w:r>
        <w:t>Players may influence commission type likelihood through progression systems, but this influence should remain weight-shifting rather than fully deterministic selection.</w:t>
      </w:r>
    </w:p>
    <w:p>
      <w:pPr>
        <w:pStyle w:val="ListBullet"/>
      </w:pPr>
      <w:r>
        <w:t>The board should remain healthy without heavy reroll dependence, even though rerolls may exist as premium or event-adjacent rewards later.</w:t>
      </w:r>
    </w:p>
    <w:p>
      <w:pPr>
        <w:pStyle w:val="Heading1"/>
      </w:pPr>
      <w:r>
        <w:t>14. Patron tiers and pools</w:t>
      </w:r>
    </w:p>
    <w:p>
      <w:pPr/>
      <w:r>
        <w:t>Patrons supply the social identity, tone, and broad reward logic of commissions. They should create a ladder from practical local work to prestigious sovereign commissions, while still keeping the board readable and authored.</w:t>
      </w:r>
    </w:p>
    <w:p>
      <w:pPr>
        <w:pStyle w:val="Heading2"/>
      </w:pPr>
      <w:r>
        <w:t>Tier 1 — Local patrons</w:t>
      </w:r>
    </w:p>
    <w:p>
      <w:pPr>
        <w:pStyle w:val="ListBullet"/>
      </w:pPr>
      <w:r>
        <w:t>Typical role: early-game bread-and-butter work, modest stakes, practical regional needs, lower-risk gold generation.</w:t>
      </w:r>
    </w:p>
    <w:p>
      <w:pPr>
        <w:pStyle w:val="ListBullet"/>
      </w:pPr>
      <w:r>
        <w:t>Representative pool: Village Elder, Local Merchant, Minor Noble Household, Border Reeve, Small Temple Chapter, Town Factor, Road Warden.</w:t>
      </w:r>
    </w:p>
    <w:p>
      <w:pPr>
        <w:pStyle w:val="ListBullet"/>
      </w:pPr>
      <w:r>
        <w:t>Typical family bias: Escort and Survey first, Retrieval next, Security less common.</w:t>
      </w:r>
    </w:p>
    <w:p>
      <w:pPr>
        <w:pStyle w:val="Heading2"/>
      </w:pPr>
      <w:r>
        <w:t>Tier 2 — Organized institutions</w:t>
      </w:r>
    </w:p>
    <w:p>
      <w:pPr>
        <w:pStyle w:val="ListBullet"/>
      </w:pPr>
      <w:r>
        <w:t>Typical role: recurring professional work with stronger thematic identity and more specialized asks.</w:t>
      </w:r>
    </w:p>
    <w:p>
      <w:pPr>
        <w:pStyle w:val="ListBullet"/>
      </w:pPr>
      <w:r>
        <w:t>Representative pool: Merchant Consortium, Jewelers' Guild, Mages' Guild, Scholars' Chapter, Surveyor's Office, Caravan League, Archive Conservators, Temple Treasury.</w:t>
      </w:r>
    </w:p>
    <w:p>
      <w:pPr>
        <w:pStyle w:val="ListBullet"/>
      </w:pPr>
      <w:r>
        <w:t>Typical family bias: Retrieval strongest, then Survey and Escort, with occasional Security work.</w:t>
      </w:r>
    </w:p>
    <w:p>
      <w:pPr>
        <w:pStyle w:val="Heading2"/>
      </w:pPr>
      <w:r>
        <w:t>Tier 3 — Regional powers</w:t>
      </w:r>
    </w:p>
    <w:p>
      <w:pPr>
        <w:pStyle w:val="ListBullet"/>
      </w:pPr>
      <w:r>
        <w:t>Typical role: higher-stakes work tied to routes, order, regional authority, or strategic access.</w:t>
      </w:r>
    </w:p>
    <w:p>
      <w:pPr>
        <w:pStyle w:val="ListBullet"/>
      </w:pPr>
      <w:r>
        <w:t>Representative pool: Regional Court, Frontier Quartermaster, Military Survey Office, Governor's Office, Border March Authority, Provincial Archives.</w:t>
      </w:r>
    </w:p>
    <w:p>
      <w:pPr>
        <w:pStyle w:val="ListBullet"/>
      </w:pPr>
      <w:r>
        <w:t>Typical family bias: Security and Escort strongest, with Retrieval and Survey still present.</w:t>
      </w:r>
    </w:p>
    <w:p>
      <w:pPr>
        <w:pStyle w:val="Heading2"/>
      </w:pPr>
      <w:r>
        <w:t>Tier 4 — Sovereign / grand faction patrons</w:t>
      </w:r>
    </w:p>
    <w:p>
      <w:pPr>
        <w:pStyle w:val="ListBullet"/>
      </w:pPr>
      <w:r>
        <w:t>Typical role: aspirational prestige work tied to advanced influence, powerful institutions, and late-game authority.</w:t>
      </w:r>
    </w:p>
    <w:p>
      <w:pPr>
        <w:pStyle w:val="ListBullet"/>
      </w:pPr>
      <w:r>
        <w:t>Representative pool: Royal Court, Imperial Envoy, Grand Mage Conclave, High Mercantile House, Sacred Synod, Crown Cartography Office, Sovereign Treasury.</w:t>
      </w:r>
    </w:p>
    <w:p>
      <w:pPr>
        <w:pStyle w:val="ListBullet"/>
      </w:pPr>
      <w:r>
        <w:t>Typical family bias: broad, prestigious, and flexible, with stronger payouts and more demanding readiness expectations.</w:t>
      </w:r>
    </w:p>
    <w:p>
      <w:pPr>
        <w:pStyle w:val="Heading1"/>
      </w:pPr>
      <w:r>
        <w:t>15. Operational inputs, crew, and prep tiers</w:t>
      </w:r>
    </w:p>
    <w:p>
      <w:pPr>
        <w:pStyle w:val="Heading2"/>
      </w:pPr>
      <w:r>
        <w:t>Supplies</w:t>
      </w:r>
    </w:p>
    <w:p>
      <w:pPr>
        <w:pStyle w:val="ListBullet"/>
      </w:pPr>
      <w:r>
        <w:t>v1 uses one actual consumable logistics resource: Supplies.</w:t>
      </w:r>
    </w:p>
    <w:p>
      <w:pPr>
        <w:pStyle w:val="ListBullet"/>
      </w:pPr>
      <w:r>
        <w:t>Commission copy may imply specialized preparation such as archive kits, provisions, marsh gear, or survey materials, but these remain flavor wrappers over the same underlying Supplies resource in v1.</w:t>
      </w:r>
    </w:p>
    <w:p>
      <w:pPr>
        <w:pStyle w:val="ListBullet"/>
      </w:pPr>
      <w:r>
        <w:t>Typed supply categories are a later expansion only if the core loop proves fun enough to justify added tracking complexity.</w:t>
      </w:r>
    </w:p>
    <w:p>
      <w:pPr>
        <w:pStyle w:val="Heading2"/>
      </w:pPr>
      <w:r>
        <w:t>Crew model</w:t>
      </w:r>
    </w:p>
    <w:p>
      <w:pPr>
        <w:pStyle w:val="ListBullet"/>
      </w:pPr>
      <w:r>
        <w:t>Crew exists as a pooled operational resource with Max Crew, Available Crew, Assigned Crew, and Recovering Crew states.</w:t>
      </w:r>
    </w:p>
    <w:p>
      <w:pPr>
        <w:pStyle w:val="ListBullet"/>
      </w:pPr>
      <w:r>
        <w:t>Dispatching a mission reserves crew from Available Crew. On completion, most crew returns, but poor preparation, higher risk, unfamiliar regions, or bad events can send some crew into Recovering.</w:t>
      </w:r>
    </w:p>
    <w:p>
      <w:pPr>
        <w:pStyle w:val="ListBullet"/>
      </w:pPr>
      <w:r>
        <w:t>Recovering Crew returns over time, including while the player is offline. Gold may accelerate crew recovery.</w:t>
      </w:r>
    </w:p>
    <w:p>
      <w:pPr>
        <w:pStyle w:val="ListBullet"/>
      </w:pPr>
      <w:r>
        <w:t>Crew depletion should create pressure, not paralysis. The system should support risky play and recovery, not harsh dead states.</w:t>
      </w:r>
    </w:p>
    <w:p>
      <w:pPr>
        <w:pStyle w:val="Heading2"/>
      </w:pPr>
      <w:r>
        <w:t>Prep-tier philosophy</w:t>
      </w:r>
    </w:p>
    <w:p>
      <w:pPr>
        <w:pStyle w:val="ListBullet"/>
      </w:pPr>
      <w:r>
        <w:t>Prep tier should be chosen through a pre-built selector UI rather than by manually entering raw values like 3 crew versus 5 crew versus 7 crew.</w:t>
      </w:r>
    </w:p>
    <w:p>
      <w:pPr>
        <w:pStyle w:val="ListBullet"/>
      </w:pPr>
      <w:r>
        <w:t>The intended v1 shape is a simple 3-step selector such as Lean / Standard / Reinforced or Under-Prepared / Prepared / Over-Prepared.</w:t>
      </w:r>
    </w:p>
    <w:p>
      <w:pPr>
        <w:pStyle w:val="ListBullet"/>
      </w:pPr>
      <w:r>
        <w:t>Prep tiers modify crew commitment, Supplies commitment, outcome weighting, crew stress, and bonus or negative event odds under the hood.</w:t>
      </w:r>
    </w:p>
    <w:p>
      <w:pPr>
        <w:pStyle w:val="ListBullet"/>
      </w:pPr>
      <w:r>
        <w:t>Rare or special items should not be consumed per prep tier. Instead they should act as global mission modifiers, such as reducing duration or crew stress, rather than becoming a second hidden supplies system.</w:t>
      </w:r>
    </w:p>
    <w:p>
      <w:pPr>
        <w:pStyle w:val="Heading2"/>
      </w:pPr>
      <w:r>
        <w:t>First requirement tags</w:t>
      </w:r>
    </w:p>
    <w:p>
      <w:pPr>
        <w:pStyle w:val="ListBullet"/>
      </w:pPr>
      <w:r>
        <w:t>Officer tags: combat_officer, merchant_officer, scholar_officer, scout_officer.</w:t>
      </w:r>
    </w:p>
    <w:p>
      <w:pPr>
        <w:pStyle w:val="ListBullet"/>
      </w:pPr>
      <w:r>
        <w:t>Mission suitability tags: escort_capable, survey_capable, retrieval_capable, security_capable.</w:t>
      </w:r>
    </w:p>
    <w:p>
      <w:pPr>
        <w:pStyle w:val="ListBullet"/>
      </w:pPr>
      <w:r>
        <w:t>Environmental / prep tags: marsh_ready, desert_ready, highland_ready, archive_handling.</w:t>
      </w:r>
    </w:p>
    <w:p>
      <w:pPr>
        <w:pStyle w:val="ListBullet"/>
      </w:pPr>
      <w:r>
        <w:t>Region knowledge tags: region_knowledge_&lt;region_id&gt;_1 and region_knowledge_&lt;region_id&gt;_2 as the first useful granularity band.</w:t>
      </w:r>
    </w:p>
    <w:p>
      <w:pPr>
        <w:pStyle w:val="Heading1"/>
      </w:pPr>
      <w:r>
        <w:t>16. Commission board composition and objective-template scaffolding</w:t>
      </w:r>
    </w:p>
    <w:p>
      <w:pPr>
        <w:pStyle w:val="Heading2"/>
      </w:pPr>
      <w:r>
        <w:t>Board composition rules</w:t>
      </w:r>
    </w:p>
    <w:p>
      <w:pPr>
        <w:pStyle w:val="ListBullet"/>
      </w:pPr>
      <w:r>
        <w:t>The board should not be three fully independent random rolls. It should be curated randomness with soft composition rules.</w:t>
      </w:r>
    </w:p>
    <w:p>
      <w:pPr>
        <w:pStyle w:val="ListBullet"/>
      </w:pPr>
      <w:r>
        <w:t>Try to avoid duplicate commission families when valid alternatives exist.</w:t>
      </w:r>
    </w:p>
    <w:p>
      <w:pPr>
        <w:pStyle w:val="ListBullet"/>
      </w:pPr>
      <w:r>
        <w:t>Try to avoid all offers clustering into the same risk band, patron source, or brief style unless the reachable world is still very narrow.</w:t>
      </w:r>
    </w:p>
    <w:p>
      <w:pPr>
        <w:pStyle w:val="ListBullet"/>
      </w:pPr>
      <w:r>
        <w:t>Try not to collapse all visible commissions into the same region if the player has multiple unlocked regions.</w:t>
      </w:r>
    </w:p>
    <w:p>
      <w:pPr>
        <w:pStyle w:val="ListBullet"/>
      </w:pPr>
      <w:r>
        <w:t>Whenever possible, keep one slightly more interesting slot on the board: better payout, rarer patron, unusual region, or stronger hook.</w:t>
      </w:r>
    </w:p>
    <w:p>
      <w:pPr>
        <w:pStyle w:val="ListBullet"/>
      </w:pPr>
      <w:r>
        <w:t>When one commission is accepted, refill only the emptied slot and run the composition checks against the remaining visible offers rather than regenerating the whole board.</w:t>
      </w:r>
    </w:p>
    <w:p>
      <w:pPr>
        <w:pStyle w:val="Heading2"/>
      </w:pPr>
      <w:r>
        <w:t>First four commission families</w:t>
      </w:r>
    </w:p>
    <w:p>
      <w:pPr>
        <w:pStyle w:val="ListBullet"/>
      </w:pPr>
      <w:r>
        <w:t>Retrieval — recover, secure, or extract something of value.</w:t>
      </w:r>
    </w:p>
    <w:p>
      <w:pPr>
        <w:pStyle w:val="ListBullet"/>
      </w:pPr>
      <w:r>
        <w:t>Escort — protect a person, caravan, convoy, or sensitive shipment during travel.</w:t>
      </w:r>
    </w:p>
    <w:p>
      <w:pPr>
        <w:pStyle w:val="ListBullet"/>
      </w:pPr>
      <w:r>
        <w:t>Survey — chart, inspect, verify, or assess a route, site, or region.</w:t>
      </w:r>
    </w:p>
    <w:p>
      <w:pPr>
        <w:pStyle w:val="ListBullet"/>
      </w:pPr>
      <w:r>
        <w:t>Security — secure a location or route, or remove a threat in abstracted off-screen form.</w:t>
      </w:r>
    </w:p>
    <w:p>
      <w:pPr>
        <w:pStyle w:val="Heading2"/>
      </w:pPr>
      <w:r>
        <w:t>Outcome profile rules</w:t>
      </w:r>
    </w:p>
    <w:p>
      <w:pPr>
        <w:pStyle w:val="ListBullet"/>
      </w:pPr>
      <w:r>
        <w:t>Excellent — boosted or full payout, strong standing gain, very low crew stress, chance of bonus upside.</w:t>
      </w:r>
    </w:p>
    <w:p>
      <w:pPr>
        <w:pStyle w:val="ListBullet"/>
      </w:pPr>
      <w:r>
        <w:t>Solid — expected baseline result, normal payout, normal standing gain, most crew return cleanly.</w:t>
      </w:r>
    </w:p>
    <w:p>
      <w:pPr>
        <w:pStyle w:val="ListBullet"/>
      </w:pPr>
      <w:r>
        <w:t>Strained — reduced payout, reduced standing gain, noticeable crew sent to Recovering, weaker upside.</w:t>
      </w:r>
    </w:p>
    <w:p>
      <w:pPr>
        <w:pStyle w:val="ListBullet"/>
      </w:pPr>
      <w:r>
        <w:t>Poor — heavily reduced payout, little or no standing gain, substantial crew stress, small chance of true attrition if the game later needs it.</w:t>
      </w:r>
    </w:p>
    <w:p>
      <w:pPr>
        <w:pStyle w:val="ListBullet"/>
      </w:pPr>
      <w:r>
        <w:t>Outcome bands should be driven mainly by prep tier, requirement fit, region knowledge, and risk profile rather than binary pass/fail checks.</w:t>
      </w:r>
    </w:p>
    <w:p>
      <w:pPr>
        <w:pStyle w:val="Heading2"/>
      </w:pPr>
      <w:r>
        <w:t>Objective-template scaffolding (v1 starting set)</w:t>
      </w:r>
    </w:p>
    <w:p>
      <w:pPr>
        <w:pStyle w:val="ListBullet"/>
      </w:pPr>
      <w:r>
        <w:t>Retrieval templates: Recover Records, Reclaim Heirloom, Extract Valuable Material, Salvage Sealed Goods, Recover Missing Samples.</w:t>
      </w:r>
    </w:p>
    <w:p>
      <w:pPr>
        <w:pStyle w:val="ListBullet"/>
      </w:pPr>
      <w:r>
        <w:t>Escort templates: Guard Caravan, Escort Person of Interest, Protect Sensitive Transport, Convoy Support, Extraction Escort.</w:t>
      </w:r>
    </w:p>
    <w:p>
      <w:pPr>
        <w:pStyle w:val="ListBullet"/>
      </w:pPr>
      <w:r>
        <w:t>Survey templates: Chart Route, Verify Passage, Assess Site Condition, Identify New Access, Mark and Record.</w:t>
      </w:r>
    </w:p>
    <w:p>
      <w:pPr>
        <w:pStyle w:val="ListBullet"/>
      </w:pPr>
      <w:r>
        <w:t>Security templates: Clear Route Threat, Secure Site Perimeter, Protect Local Assets, Suppress Raider Activity, Guard Work Team.</w:t>
      </w:r>
    </w:p>
    <w:p>
      <w:pPr>
        <w:pStyle w:val="ListBullet"/>
      </w:pPr>
      <w:r>
        <w:t>These templates should remain modular authored scaffolding, not long handcrafted questlines. Their job is to produce a board that feels coherent, varied, and region-aware.</w:t>
      </w:r>
    </w:p>
    <w:p>
      <w:pPr>
        <w:pStyle w:val="Heading2"/>
      </w:pPr>
      <w:r>
        <w:t>Immediate design consequence</w:t>
      </w:r>
    </w:p>
    <w:p>
      <w:pPr/>
      <w:r>
        <w:t>The next milestone after locking commissions should not jump straight into full implementation breadth. The first practical build target should be a Commission Foundation slice that establishes the board, patron context, commission family variety, operational inputs, and outcome logic in a deliberately narrow v1 form.</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35F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5F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D2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35F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