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5943600" cy="2286000"/>
            <wp:docPr id="1" name="Picture 1" descr="PrimeArcTech workbench with workflow maps, system diagrams, and prototype materi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-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" w:hAnsi="Arial"/>
          <w:b/>
          <w:i w:val="0"/>
          <w:color w:val="D8643E"/>
          <w:sz w:val="17"/>
        </w:rPr>
        <w:t>APPLIED AI SYSTEMS STUDIO</w:t>
      </w:r>
    </w:p>
    <w:p>
      <w:pPr>
        <w:keepNext w:val="0"/>
        <w:spacing w:before="0" w:after="200" w:line="230" w:lineRule="auto"/>
        <w:jc w:val="center"/>
      </w:pPr>
      <w:r>
        <w:rPr>
          <w:rFonts w:ascii="Georgia" w:hAnsi="Georgia"/>
          <w:b/>
          <w:i w:val="0"/>
          <w:color w:val="111315"/>
          <w:sz w:val="56"/>
        </w:rPr>
        <w:t>Bring us the work your team should not be doing by hand.</w:t>
      </w:r>
    </w:p>
    <w:p>
      <w:pPr>
        <w:keepNext w:val="0"/>
        <w:spacing w:before="0" w:after="240" w:line="293" w:lineRule="auto"/>
        <w:jc w:val="center"/>
      </w:pPr>
      <w:r>
        <w:rPr>
          <w:rFonts w:ascii="Arial" w:hAnsi="Arial"/>
          <w:b w:val="0"/>
          <w:i w:val="0"/>
          <w:color w:val="23272B"/>
          <w:sz w:val="26"/>
        </w:rPr>
        <w:t>PrimeArcTech turns costly workflows, credible AI product ideas, and partner briefs into controlled software that completes real work.</w:t>
      </w:r>
    </w:p>
    <w:p>
      <w:pPr>
        <w:keepNext w:val="0"/>
        <w:spacing w:before="0" w:after="200" w:line="240" w:lineRule="auto"/>
        <w:jc w:val="center"/>
      </w:pPr>
      <w:r>
        <w:rPr>
          <w:rFonts w:ascii="Segoe Print" w:hAnsi="Segoe Print"/>
          <w:b w:val="0"/>
          <w:i w:val="0"/>
          <w:color w:val="D8643E"/>
          <w:sz w:val="21"/>
        </w:rPr>
        <w:t>one valuable loop first</w:t>
      </w:r>
    </w:p>
    <w:p>
      <w:pPr>
        <w:keepNext w:val="0"/>
        <w:spacing w:before="80" w:after="200" w:line="276" w:lineRule="auto"/>
        <w:ind w:left="173" w:right="173"/>
        <w:jc w:val="left"/>
        <w:shd w:fill="23272B"/>
      </w:pPr>
      <w:r>
        <w:rPr>
          <w:rFonts w:ascii="Arial" w:hAnsi="Arial"/>
          <w:b/>
          <w:color w:val="D8643E"/>
          <w:sz w:val="17"/>
        </w:rPr>
        <w:t xml:space="preserve">  START HERE  </w:t>
      </w:r>
      <w:r>
        <w:rPr>
          <w:rFonts w:ascii="Arial" w:hAnsi="Arial"/>
          <w:b/>
          <w:color w:val="FFFFFF"/>
          <w:sz w:val="22"/>
        </w:rPr>
        <w:br/>
        <w:t xml:space="preserve">  Free AI Workflow Audit: identify the best opportunity, smallest useful scope, key risks, and next sensible move.  </w:t>
      </w:r>
    </w:p>
    <w:p>
      <w:pPr>
        <w:keepNext w:val="0"/>
        <w:spacing w:before="0" w:after="0" w:line="264" w:lineRule="auto"/>
        <w:jc w:val="center"/>
      </w:pPr>
      <w:r>
        <w:rPr>
          <w:rFonts w:ascii="Arial" w:hAnsi="Arial"/>
          <w:b/>
          <w:i w:val="0"/>
          <w:color w:val="6D7479"/>
          <w:sz w:val="18"/>
        </w:rPr>
        <w:t>For operating teams  /  product founders  /  agencies and consultancies</w:t>
      </w:r>
    </w:p>
    <w:p>
      <w:r>
        <w:br w:type="page"/>
      </w:r>
    </w:p>
    <w:p>
      <w:pPr>
        <w:keepNext w:val="0"/>
        <w:spacing w:before="0" w:after="140" w:line="264" w:lineRule="auto"/>
      </w:pPr>
      <w:r>
        <w:rPr>
          <w:rFonts w:ascii="Arial" w:hAnsi="Arial"/>
          <w:b/>
          <w:i w:val="0"/>
          <w:color w:val="D8643E"/>
          <w:sz w:val="17"/>
        </w:rPr>
        <w:t>CHOOSE YOUR STARTING POINT</w:t>
      </w:r>
    </w:p>
    <w:p>
      <w:pPr>
        <w:keepNext w:val="0"/>
        <w:spacing w:before="0" w:after="180" w:line="235" w:lineRule="auto"/>
      </w:pPr>
      <w:r>
        <w:rPr>
          <w:rFonts w:ascii="Georgia" w:hAnsi="Georgia"/>
          <w:b/>
          <w:i w:val="0"/>
          <w:color w:val="111315"/>
          <w:sz w:val="48"/>
        </w:rPr>
        <w:t>AI is useful only when it owns a clear piece of work.</w:t>
      </w:r>
    </w:p>
    <w:p>
      <w:pPr>
        <w:keepNext w:val="0"/>
        <w:spacing w:before="0" w:after="280" w:line="300" w:lineRule="auto"/>
      </w:pPr>
      <w:r>
        <w:rPr>
          <w:rFonts w:ascii="Arial" w:hAnsi="Arial"/>
          <w:b w:val="0"/>
          <w:i w:val="0"/>
          <w:color w:val="23272B"/>
          <w:sz w:val="23"/>
        </w:rPr>
        <w:t>You do not need a technical specification. You need a costly pattern, a visible consequence, and an owner who knows what good looks like.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9"/>
              </w:rPr>
              <w:t>OPERATING BOTTLENECK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9"/>
              </w:rPr>
              <w:t>AI PRODUCT IDEA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9"/>
              </w:rPr>
              <w:t>PARTNER DELIVERY</w:t>
            </w:r>
          </w:p>
        </w:tc>
      </w:tr>
      <w:tr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shd w:fill="F6F5F1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/>
                <w:color w:val="111315"/>
                <w:sz w:val="18"/>
              </w:rPr>
              <w:t>Calls, inboxes, documents, routing, approvals, or follow-up consume skilled time and still drop work.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shd w:fill="F6F5F1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/>
                <w:color w:val="111315"/>
                <w:sz w:val="18"/>
              </w:rPr>
              <w:t>The demo is promising. The product still needs policy, tools, failure paths, and a credible route to production.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shd w:fill="F6F5F1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/>
                <w:color w:val="111315"/>
                <w:sz w:val="18"/>
              </w:rPr>
              <w:t>Your client expects AI capability. You need specialist execution behind your relationship, with clean handoff and discretion.</w:t>
            </w:r>
          </w:p>
        </w:tc>
      </w:tr>
    </w:tbl>
    <w:p>
      <w:pPr>
        <w:keepNext w:val="0"/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5943600" cy="2048256"/>
            <wp:docPr id="2" name="Picture 2" descr="Illustrated workflow showing signal, policy decision, tool action, human handoff, and evidence rece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y-workflow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76" w:lineRule="auto"/>
        <w:ind w:left="173" w:right="173"/>
        <w:jc w:val="left"/>
        <w:shd w:fill="F6F5F1"/>
      </w:pPr>
      <w:r>
        <w:rPr>
          <w:rFonts w:ascii="Arial" w:hAnsi="Arial"/>
          <w:b/>
          <w:color w:val="D8643E"/>
          <w:sz w:val="17"/>
        </w:rPr>
        <w:t xml:space="preserve">  OUR FILTER  </w:t>
      </w:r>
      <w:r>
        <w:rPr>
          <w:rFonts w:ascii="Arial" w:hAnsi="Arial"/>
          <w:b/>
          <w:color w:val="111315"/>
          <w:sz w:val="22"/>
        </w:rPr>
        <w:br/>
        <w:t xml:space="preserve">  If the outcome cannot be verified, the risk cannot be bounded, or a simpler tool already solves it, we will say so.  </w:t>
      </w:r>
    </w:p>
    <w:p>
      <w:r>
        <w:br w:type="page"/>
      </w:r>
    </w:p>
    <w:p>
      <w:pPr>
        <w:keepNext w:val="0"/>
        <w:spacing w:before="0" w:after="140" w:line="264" w:lineRule="auto"/>
      </w:pPr>
      <w:r>
        <w:rPr>
          <w:rFonts w:ascii="Arial" w:hAnsi="Arial"/>
          <w:b/>
          <w:i w:val="0"/>
          <w:color w:val="D8643E"/>
          <w:sz w:val="17"/>
        </w:rPr>
        <w:t>WHAT MAKES THE WORK TRUSTWORTHY</w:t>
      </w:r>
    </w:p>
    <w:p>
      <w:pPr>
        <w:keepNext w:val="0"/>
        <w:spacing w:before="0" w:after="160" w:line="235" w:lineRule="auto"/>
      </w:pPr>
      <w:r>
        <w:rPr>
          <w:rFonts w:ascii="Georgia" w:hAnsi="Georgia"/>
          <w:b/>
          <w:i w:val="0"/>
          <w:color w:val="111315"/>
          <w:sz w:val="48"/>
        </w:rPr>
        <w:t>We ship the operating layer around the model.</w:t>
      </w:r>
    </w:p>
    <w:p>
      <w:pPr>
        <w:keepNext w:val="0"/>
        <w:spacing w:before="0" w:after="220" w:line="298" w:lineRule="auto"/>
      </w:pPr>
      <w:r>
        <w:rPr>
          <w:rFonts w:ascii="Arial" w:hAnsi="Arial"/>
          <w:b w:val="0"/>
          <w:i w:val="0"/>
          <w:color w:val="23272B"/>
          <w:sz w:val="23"/>
        </w:rPr>
        <w:t>A model response is not a system. Real work needs context, tools, permissions, human exceptions, tests, and evidence of what happened.</w:t>
      </w:r>
    </w:p>
    <w:p>
      <w:pPr>
        <w:keepNext w:val="0"/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5943600" cy="2359152"/>
            <wp:docPr id="3" name="Picture 3" descr="PrimeArcTech proof archive showing architecture, safety policy, adversarial tests, and failure-state receip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-proo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40" w:lineRule="auto"/>
        <w:jc w:val="left"/>
      </w:pPr>
      <w:r>
        <w:rPr>
          <w:rFonts w:ascii="Segoe Print" w:hAnsi="Segoe Print"/>
          <w:b w:val="0"/>
          <w:i w:val="0"/>
          <w:color w:val="D8643E"/>
          <w:sz w:val="21"/>
        </w:rPr>
        <w:t>Artifacts before adjectives.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D8643E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11315"/>
                <w:sz w:val="18"/>
              </w:rPr>
              <w:t>FRAME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PROTOTYPE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ATTACK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SHIP</w:t>
            </w:r>
          </w:p>
        </w:tc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MONITOR</w:t>
            </w:r>
          </w:p>
        </w:tc>
      </w:tr>
      <w:tr>
        <w:tc>
          <w:tcPr>
            <w:tcW w:type="dxa" w:w="1872"/>
            <w:tcMar>
              <w:top w:w="110" w:type="dxa"/>
              <w:start w:w="80" w:type="dxa"/>
              <w:bottom w:w="110" w:type="dxa"/>
              <w:end w:w="80" w:type="dxa"/>
            </w:tcMar>
            <w:shd w:fill="F6F5F1"/>
          </w:tcPr>
          <w:p>
            <w:pPr>
              <w:keepNext w:val="0"/>
              <w:spacing w:before="0" w:after="0" w:line="278" w:lineRule="auto"/>
              <w:jc w:val="center"/>
            </w:pPr>
            <w:r>
              <w:rPr>
                <w:rFonts w:ascii="Arial" w:hAnsi="Arial"/>
                <w:color w:val="23272B"/>
                <w:sz w:val="16"/>
              </w:rPr>
              <w:t>Workflow map</w:t>
              <w:br/>
              <w:t>Success condition</w:t>
            </w:r>
          </w:p>
        </w:tc>
        <w:tc>
          <w:tcPr>
            <w:tcW w:type="dxa" w:w="1872"/>
            <w:tcMar>
              <w:top w:w="110" w:type="dxa"/>
              <w:start w:w="80" w:type="dxa"/>
              <w:bottom w:w="110" w:type="dxa"/>
              <w:end w:w="80" w:type="dxa"/>
            </w:tcMar>
            <w:shd w:fill="F6F5F1"/>
          </w:tcPr>
          <w:p>
            <w:pPr>
              <w:keepNext w:val="0"/>
              <w:spacing w:before="0" w:after="0" w:line="278" w:lineRule="auto"/>
              <w:jc w:val="center"/>
            </w:pPr>
            <w:r>
              <w:rPr>
                <w:rFonts w:ascii="Arial" w:hAnsi="Arial"/>
                <w:color w:val="23272B"/>
                <w:sz w:val="16"/>
              </w:rPr>
              <w:t>Smallest useful loop</w:t>
              <w:br/>
              <w:t>Working behavior</w:t>
            </w:r>
          </w:p>
        </w:tc>
        <w:tc>
          <w:tcPr>
            <w:tcW w:type="dxa" w:w="1872"/>
            <w:tcMar>
              <w:top w:w="110" w:type="dxa"/>
              <w:start w:w="80" w:type="dxa"/>
              <w:bottom w:w="110" w:type="dxa"/>
              <w:end w:w="80" w:type="dxa"/>
            </w:tcMar>
            <w:shd w:fill="F6F5F1"/>
          </w:tcPr>
          <w:p>
            <w:pPr>
              <w:keepNext w:val="0"/>
              <w:spacing w:before="0" w:after="0" w:line="278" w:lineRule="auto"/>
              <w:jc w:val="center"/>
            </w:pPr>
            <w:r>
              <w:rPr>
                <w:rFonts w:ascii="Arial" w:hAnsi="Arial"/>
                <w:color w:val="23272B"/>
                <w:sz w:val="16"/>
              </w:rPr>
              <w:t>Edge cases</w:t>
              <w:br/>
              <w:t>Failure injection</w:t>
            </w:r>
          </w:p>
        </w:tc>
        <w:tc>
          <w:tcPr>
            <w:tcW w:type="dxa" w:w="1872"/>
            <w:tcMar>
              <w:top w:w="110" w:type="dxa"/>
              <w:start w:w="80" w:type="dxa"/>
              <w:bottom w:w="110" w:type="dxa"/>
              <w:end w:w="80" w:type="dxa"/>
            </w:tcMar>
            <w:shd w:fill="F6F5F1"/>
          </w:tcPr>
          <w:p>
            <w:pPr>
              <w:keepNext w:val="0"/>
              <w:spacing w:before="0" w:after="0" w:line="278" w:lineRule="auto"/>
              <w:jc w:val="center"/>
            </w:pPr>
            <w:r>
              <w:rPr>
                <w:rFonts w:ascii="Arial" w:hAnsi="Arial"/>
                <w:color w:val="23272B"/>
                <w:sz w:val="16"/>
              </w:rPr>
              <w:t>Deployment</w:t>
              <w:br/>
              <w:t>Ownership + runbook</w:t>
            </w:r>
          </w:p>
        </w:tc>
        <w:tc>
          <w:tcPr>
            <w:tcW w:type="dxa" w:w="1872"/>
            <w:tcMar>
              <w:top w:w="110" w:type="dxa"/>
              <w:start w:w="80" w:type="dxa"/>
              <w:bottom w:w="110" w:type="dxa"/>
              <w:end w:w="80" w:type="dxa"/>
            </w:tcMar>
            <w:shd w:fill="F6F5F1"/>
          </w:tcPr>
          <w:p>
            <w:pPr>
              <w:keepNext w:val="0"/>
              <w:spacing w:before="0" w:after="0" w:line="278" w:lineRule="auto"/>
              <w:jc w:val="center"/>
            </w:pPr>
            <w:r>
              <w:rPr>
                <w:rFonts w:ascii="Arial" w:hAnsi="Arial"/>
                <w:color w:val="23272B"/>
                <w:sz w:val="16"/>
              </w:rPr>
              <w:t>Receipts</w:t>
              <w:br/>
              <w:t>Review + change log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Calibri" w:hAnsi="Calibri"/>
          <w:color w:val="D8643E"/>
        </w:rPr>
        <w:t>What leaves the studio</w:t>
      </w:r>
    </w:p>
    <w:p>
      <w:pPr>
        <w:pStyle w:val="ListBullet"/>
        <w:keepNext w:val="0"/>
        <w:spacing w:before="0" w:after="60" w:line="278" w:lineRule="auto"/>
        <w:ind w:left="720" w:hanging="360"/>
      </w:pPr>
      <w:r>
        <w:rPr>
          <w:rFonts w:ascii="Calibri" w:hAnsi="Calibri"/>
          <w:color w:val="111315"/>
          <w:sz w:val="21"/>
        </w:rPr>
        <w:t>Working software connected to the agreed tools and data.</w:t>
      </w:r>
    </w:p>
    <w:p>
      <w:pPr>
        <w:pStyle w:val="ListBullet"/>
        <w:keepNext w:val="0"/>
        <w:spacing w:before="0" w:after="60" w:line="278" w:lineRule="auto"/>
        <w:ind w:left="720" w:hanging="360"/>
      </w:pPr>
      <w:r>
        <w:rPr>
          <w:rFonts w:ascii="Calibri" w:hAnsi="Calibri"/>
          <w:color w:val="111315"/>
          <w:sz w:val="21"/>
        </w:rPr>
        <w:t>Boundary policy covering what the system may do, must refuse, and must hand back.</w:t>
      </w:r>
    </w:p>
    <w:p>
      <w:pPr>
        <w:pStyle w:val="ListBullet"/>
        <w:keepNext w:val="0"/>
        <w:spacing w:before="0" w:after="60" w:line="278" w:lineRule="auto"/>
        <w:ind w:left="720" w:hanging="360"/>
      </w:pPr>
      <w:r>
        <w:rPr>
          <w:rFonts w:ascii="Calibri" w:hAnsi="Calibri"/>
          <w:color w:val="111315"/>
          <w:sz w:val="21"/>
        </w:rPr>
        <w:t>Adversarial test record, failure paths, operator receipt, and launch runbook.</w:t>
      </w:r>
    </w:p>
    <w:p>
      <w:pPr>
        <w:pStyle w:val="ListBullet"/>
        <w:keepNext w:val="0"/>
        <w:spacing w:before="0" w:after="60" w:line="278" w:lineRule="auto"/>
        <w:ind w:left="720" w:hanging="360"/>
      </w:pPr>
      <w:r>
        <w:rPr>
          <w:rFonts w:ascii="Calibri" w:hAnsi="Calibri"/>
          <w:color w:val="111315"/>
          <w:sz w:val="21"/>
        </w:rPr>
        <w:t>Direct ownership from framing through deployment - no handoff to a mystery delivery layer.</w:t>
      </w:r>
    </w:p>
    <w:p>
      <w:r>
        <w:br w:type="page"/>
      </w:r>
    </w:p>
    <w:p>
      <w:pPr>
        <w:keepNext w:val="0"/>
        <w:spacing w:before="0" w:after="140" w:line="264" w:lineRule="auto"/>
      </w:pPr>
      <w:r>
        <w:rPr>
          <w:rFonts w:ascii="Arial" w:hAnsi="Arial"/>
          <w:b/>
          <w:i w:val="0"/>
          <w:color w:val="D8643E"/>
          <w:sz w:val="17"/>
        </w:rPr>
        <w:t>PROOF OF WORK</w:t>
      </w:r>
    </w:p>
    <w:p>
      <w:pPr>
        <w:keepNext w:val="0"/>
        <w:spacing w:before="0" w:after="160" w:line="235" w:lineRule="auto"/>
      </w:pPr>
      <w:r>
        <w:rPr>
          <w:rFonts w:ascii="Georgia" w:hAnsi="Georgia"/>
          <w:b/>
          <w:i w:val="0"/>
          <w:color w:val="111315"/>
          <w:sz w:val="48"/>
        </w:rPr>
        <w:t>FieldRelay proves we build beyond the pitch.</w:t>
      </w:r>
    </w:p>
    <w:p>
      <w:pPr>
        <w:keepNext w:val="0"/>
        <w:spacing w:before="0" w:after="200" w:line="295" w:lineRule="auto"/>
      </w:pPr>
      <w:r>
        <w:rPr>
          <w:rFonts w:ascii="Arial" w:hAnsi="Arial"/>
          <w:b w:val="0"/>
          <w:i w:val="0"/>
          <w:color w:val="23272B"/>
          <w:sz w:val="22"/>
        </w:rPr>
        <w:t>FieldRelay is our first owned product: a managed voice system for missed and after-hours home-service calls. It is one proving ground for our standard - not the limit of our studio.</w:t>
      </w:r>
    </w:p>
    <w:p>
      <w:pPr>
        <w:keepNext w:val="0"/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5943600" cy="2523744"/>
            <wp:docPr id="4" name="Picture 4" descr="FieldRelay voice instrument with live waveform, call transcript, and dispatcher rece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-fieldre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8"/>
              </w:rPr>
              <w:t>WHAT IT DOES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8"/>
              </w:rPr>
              <w:t>WHAT IT REFUSES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8"/>
              </w:rPr>
              <w:t>WHAT PEOPLE RECEIVE</w:t>
            </w:r>
          </w:p>
        </w:tc>
      </w:tr>
      <w:tr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6F5F1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color w:val="111315"/>
                <w:sz w:val="18"/>
              </w:rPr>
              <w:t>Answers, screens danger, qualifies, validates service area, creates a provisional outcome, and requests human handoff.</w:t>
            </w:r>
          </w:p>
        </w:tc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6F5F1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color w:val="111315"/>
                <w:sz w:val="18"/>
              </w:rPr>
              <w:t>No diagnosis. No repair instructions. No firm estimate. No invented booking, transfer, or provider success.</w:t>
            </w:r>
          </w:p>
        </w:tc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6F5F1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color w:val="111315"/>
                <w:sz w:val="18"/>
              </w:rPr>
              <w:t>Live transcript, policy events, provenance, failure state, and a structured dispatcher receipt for the next action.</w:t>
            </w:r>
          </w:p>
        </w:tc>
      </w:tr>
    </w:tbl>
    <w:p>
      <w:pPr>
        <w:keepNext w:val="0"/>
        <w:spacing w:before="80" w:after="200" w:line="276" w:lineRule="auto"/>
        <w:ind w:left="173" w:right="173"/>
        <w:jc w:val="left"/>
        <w:shd w:fill="23272B"/>
      </w:pPr>
      <w:r>
        <w:rPr>
          <w:rFonts w:ascii="Arial" w:hAnsi="Arial"/>
          <w:b/>
          <w:color w:val="D8643E"/>
          <w:sz w:val="17"/>
        </w:rPr>
        <w:t xml:space="preserve">  WHY THIS MATTERS  </w:t>
      </w:r>
      <w:r>
        <w:rPr>
          <w:rFonts w:ascii="Arial" w:hAnsi="Arial"/>
          <w:b/>
          <w:color w:val="FFFFFF"/>
          <w:sz w:val="22"/>
        </w:rPr>
        <w:br/>
        <w:t xml:space="preserve">  You can challenge the voice system, inspect its decisions, and see the receipt. Capability becomes visible before a sales claim is required.  </w:t>
      </w:r>
    </w:p>
    <w:p>
      <w:pPr>
        <w:keepNext w:val="0"/>
        <w:spacing w:before="0" w:after="0" w:line="264" w:lineRule="auto"/>
      </w:pPr>
      <w:r>
        <w:rPr>
          <w:rFonts w:ascii="Arial" w:hAnsi="Arial"/>
          <w:b/>
          <w:i w:val="0"/>
          <w:color w:val="111315"/>
          <w:sz w:val="19"/>
        </w:rPr>
        <w:t xml:space="preserve">See the live sandbox: </w:t>
      </w:r>
      <w:hyperlink r:id="rId17">
        <w:r>
          <w:rPr>
            <w:color w:val="D8643E"/>
            <w:u w:val="single"/>
          </w:rPr>
          <w:t>primearc.tech/fieldrelay/demo</w:t>
        </w:r>
      </w:hyperlink>
    </w:p>
    <w:p>
      <w:r>
        <w:br w:type="page"/>
      </w:r>
    </w:p>
    <w:p>
      <w:pPr>
        <w:keepNext w:val="0"/>
        <w:spacing w:before="0" w:after="140" w:line="264" w:lineRule="auto"/>
      </w:pPr>
      <w:r>
        <w:rPr>
          <w:rFonts w:ascii="Arial" w:hAnsi="Arial"/>
          <w:b/>
          <w:i w:val="0"/>
          <w:color w:val="D8643E"/>
          <w:sz w:val="17"/>
        </w:rPr>
        <w:t>THE FIRST ENGAGEMENT</w:t>
      </w:r>
    </w:p>
    <w:p>
      <w:pPr>
        <w:keepNext w:val="0"/>
        <w:spacing w:before="0" w:after="160" w:line="235" w:lineRule="auto"/>
      </w:pPr>
      <w:r>
        <w:rPr>
          <w:rFonts w:ascii="Georgia" w:hAnsi="Georgia"/>
          <w:b/>
          <w:i w:val="0"/>
          <w:color w:val="111315"/>
          <w:sz w:val="48"/>
        </w:rPr>
        <w:t>Start with one workflow. Leave with a decision.</w:t>
      </w:r>
    </w:p>
    <w:p>
      <w:pPr>
        <w:keepNext w:val="0"/>
        <w:spacing w:before="0" w:after="200" w:line="295" w:lineRule="auto"/>
      </w:pPr>
      <w:r>
        <w:rPr>
          <w:rFonts w:ascii="Arial" w:hAnsi="Arial"/>
          <w:b w:val="0"/>
          <w:i w:val="0"/>
          <w:color w:val="23272B"/>
          <w:sz w:val="22"/>
        </w:rPr>
        <w:t>The free AI Workflow Audit is a fit review, not a disguised project. It gives both sides enough clarity to decide whether building makes sense.</w:t>
      </w:r>
    </w:p>
    <w:p>
      <w:pPr>
        <w:keepNext w:val="0"/>
        <w:spacing w:before="0" w:after="200" w:line="240" w:lineRule="auto"/>
      </w:pPr>
      <w:r>
        <w:drawing>
          <wp:inline xmlns:a="http://schemas.openxmlformats.org/drawingml/2006/main" xmlns:pic="http://schemas.openxmlformats.org/drawingml/2006/picture">
            <wp:extent cx="5943600" cy="2048256"/>
            <wp:docPr id="5" name="Picture 5" descr="Illustrated AI Workflow Audit sheet listing opportunity, scope, human controls, and next-move deci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y-audit-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9"/>
              </w:rPr>
              <w:t>YOU BRING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D8643E"/>
                <w:sz w:val="19"/>
              </w:rPr>
              <w:t>PRIMEARCTECH RETURNS</w:t>
            </w:r>
          </w:p>
        </w:tc>
      </w:tr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  <w:shd w:fill="F6F5F1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/>
                <w:color w:val="111315"/>
                <w:sz w:val="18"/>
              </w:rPr>
              <w:t>One repeated workflow or product brief.</w:t>
              <w:br/>
              <w:t>What happens today.</w:t>
              <w:br/>
              <w:t>What failure costs.</w:t>
              <w:br/>
              <w:t>Who owns the outcome.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  <w:shd w:fill="F6F5F1"/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/>
                <w:color w:val="111315"/>
                <w:sz w:val="18"/>
              </w:rPr>
              <w:t>Best opportunity worth pursuing.</w:t>
              <w:br/>
              <w:t>Smallest useful system scope.</w:t>
              <w:br/>
              <w:t>Key risks and human controls.</w:t>
              <w:br/>
              <w:t>Build, buy, narrow, or stop recommendation.</w:t>
            </w:r>
          </w:p>
        </w:tc>
      </w:tr>
    </w:tbl>
    <w:p>
      <w:pPr>
        <w:keepNext w:val="0"/>
        <w:spacing w:before="80" w:after="200" w:line="276" w:lineRule="auto"/>
        <w:ind w:left="173" w:right="173"/>
        <w:jc w:val="left"/>
        <w:shd w:fill="F6F5F1"/>
      </w:pPr>
      <w:r>
        <w:rPr>
          <w:rFonts w:ascii="Arial" w:hAnsi="Arial"/>
          <w:b/>
          <w:color w:val="D8643E"/>
          <w:sz w:val="17"/>
        </w:rPr>
        <w:t xml:space="preserve">  RISK REVERSAL  </w:t>
      </w:r>
      <w:r>
        <w:rPr>
          <w:rFonts w:ascii="Arial" w:hAnsi="Arial"/>
          <w:b/>
          <w:color w:val="111315"/>
          <w:sz w:val="22"/>
        </w:rPr>
        <w:br/>
        <w:t xml:space="preserve">  No contract. No automated sales sequence. No promise that every workflow needs AI. If the fit is weak, the honest answer is no.  </w:t>
      </w:r>
    </w:p>
    <w:p>
      <w:pPr>
        <w:keepNext w:val="0"/>
        <w:spacing w:before="0" w:after="60" w:line="264" w:lineRule="auto"/>
      </w:pPr>
      <w:r>
        <w:rPr>
          <w:rFonts w:ascii="Arial" w:hAnsi="Arial"/>
          <w:b/>
          <w:i w:val="0"/>
          <w:color w:val="111315"/>
          <w:sz w:val="19"/>
        </w:rPr>
        <w:t>Good fit: repeated work, clear owner, verifiable action, meaningful consequence.</w:t>
      </w:r>
    </w:p>
    <w:p>
      <w:pPr>
        <w:keepNext w:val="0"/>
        <w:spacing w:before="0" w:after="160" w:line="264" w:lineRule="auto"/>
      </w:pPr>
      <w:r>
        <w:rPr>
          <w:rFonts w:ascii="Arial" w:hAnsi="Arial"/>
          <w:b/>
          <w:i w:val="0"/>
          <w:color w:val="6D7479"/>
          <w:sz w:val="19"/>
        </w:rPr>
        <w:t>Poor fit: AI theatre, vague chatbot briefs, guaranteed revenue demands, or no owner for exceptions.</w:t>
      </w:r>
    </w:p>
    <w:p>
      <w:pPr>
        <w:keepNext w:val="0"/>
        <w:spacing w:before="0" w:after="160" w:line="240" w:lineRule="auto"/>
        <w:jc w:val="left"/>
      </w:pPr>
      <w:r>
        <w:rPr>
          <w:rFonts w:ascii="Segoe Print" w:hAnsi="Segoe Print"/>
          <w:b w:val="0"/>
          <w:i w:val="0"/>
          <w:color w:val="D8643E"/>
          <w:sz w:val="21"/>
        </w:rPr>
        <w:t>Direct build or discreet partner delivery.</w:t>
      </w:r>
    </w:p>
    <w:p>
      <w:pPr>
        <w:keepNext w:val="0"/>
        <w:spacing w:before="0" w:after="60" w:line="264" w:lineRule="auto"/>
      </w:pPr>
      <w:r>
        <w:rPr>
          <w:rFonts w:ascii="Arial" w:hAnsi="Arial"/>
          <w:b/>
          <w:i w:val="0"/>
          <w:color w:val="111315"/>
          <w:sz w:val="23"/>
        </w:rPr>
        <w:t xml:space="preserve">GET FREE AI WORKFLOW AUDIT  </w:t>
      </w:r>
      <w:hyperlink r:id="rId19">
        <w:r>
          <w:rPr>
            <w:color w:val="D8643E"/>
            <w:u w:val="single"/>
          </w:rPr>
          <w:t>primearc.tech/build-brief</w:t>
        </w:r>
      </w:hyperlink>
    </w:p>
    <w:p>
      <w:pPr>
        <w:keepNext w:val="0"/>
        <w:spacing w:before="0" w:after="0" w:line="288" w:lineRule="auto"/>
      </w:pPr>
      <w:r>
        <w:rPr>
          <w:rFonts w:ascii="Arial" w:hAnsi="Arial"/>
          <w:b w:val="0"/>
          <w:i w:val="0"/>
          <w:color w:val="6D7479"/>
          <w:sz w:val="18"/>
        </w:rPr>
        <w:t>If fit exists, next step is a scoped implementation proposal. Pricing stays tied to real scope, risk, and ownership.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color w:val="6D7479"/>
        <w:sz w:val="17"/>
      </w:rPr>
      <w:t xml:space="preserve">Page </w:t>
    </w:r>
    <w:r>
      <w:rPr>
        <w:rFonts w:ascii="Calibri" w:hAnsi="Calibri"/>
        <w:color w:val="6D747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color w:val="6D7479"/>
        <w:sz w:val="17"/>
      </w:rPr>
      <w:t xml:space="preserve">Page </w:t>
    </w:r>
    <w:r>
      <w:rPr>
        <w:rFonts w:ascii="Calibri" w:hAnsi="Calibri"/>
        <w:color w:val="6D747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center"/>
    </w:pPr>
    <w:r>
      <w:rPr>
        <w:rFonts w:ascii="Arial" w:hAnsi="Arial"/>
        <w:b/>
        <w:color w:val="6D7479"/>
        <w:sz w:val="18"/>
      </w:rPr>
      <w:t>PrimeArcTech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right"/>
      </w:tabs>
      <w:spacing w:before="0" w:after="0" w:line="240" w:lineRule="auto"/>
    </w:pPr>
    <w:r>
      <w:rPr>
        <w:rFonts w:ascii="Arial" w:hAnsi="Arial"/>
        <w:b/>
        <w:color w:val="6D7479"/>
        <w:sz w:val="17"/>
      </w:rPr>
      <w:t>PrimeArcTech</w:t>
    </w:r>
    <w:r>
      <w:rPr>
        <w:rFonts w:ascii="Arial" w:hAnsi="Arial"/>
        <w:b/>
        <w:color w:val="6D7479"/>
        <w:sz w:val="17"/>
      </w:rPr>
      <w:tab/>
      <w:t>Customer + Partner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 w:before="0"/>
      <w:jc w:val="left"/>
    </w:pPr>
    <w:rPr>
      <w:rFonts w:ascii="Arial" w:hAnsi="Arial"/>
      <w:color w:val="1113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D86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D864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2327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primearc.tech/fieldrelay/demo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primearc.tech/build-bri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PrimeArcTech | Customer and Partner Brief</dc:title>
  <dc:subject>A customer-facing pitch for applied AI system design and delivery</dc:subject>
  <dc:creator>PrimeArcTech</dc:creator>
  <cp:keywords>PrimeArcTech, applied AI, FieldRelay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