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552"/>
        <w:gridCol w:w="1559"/>
        <w:gridCol w:w="1701"/>
        <w:gridCol w:w="1842"/>
        <w:gridCol w:w="2836"/>
      </w:tblGrid>
      <w:tr>
        <w:trPr>
          <w:trHeight w:val="1" w:hRule="atLeast"/>
          <w:jc w:val="left"/>
        </w:trPr>
        <w:tc>
          <w:tcPr>
            <w:tcW w:w="10490" w:type="dxa"/>
            <w:gridSpan w:val="5"/>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tabs>
                <w:tab w:val="left" w:pos="708" w:leader="none"/>
                <w:tab w:val="right" w:pos="9356" w:leader="none"/>
              </w:tabs>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ESCOLA  POLITÉCNICA</w:t>
            </w:r>
          </w:p>
        </w:tc>
      </w:tr>
      <w:tr>
        <w:trPr>
          <w:trHeight w:val="1" w:hRule="atLeast"/>
          <w:jc w:val="left"/>
        </w:trPr>
        <w:tc>
          <w:tcPr>
            <w:tcW w:w="10490" w:type="dxa"/>
            <w:gridSpan w:val="5"/>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tabs>
                <w:tab w:val="left" w:pos="708" w:leader="none"/>
                <w:tab w:val="right" w:pos="9356" w:leader="none"/>
              </w:tabs>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CURSO: Engenharia de Computação</w:t>
            </w:r>
          </w:p>
        </w:tc>
      </w:tr>
      <w:tr>
        <w:trPr>
          <w:trHeight w:val="189" w:hRule="auto"/>
          <w:jc w:val="left"/>
        </w:trPr>
        <w:tc>
          <w:tcPr>
            <w:tcW w:w="7654" w:type="dxa"/>
            <w:gridSpan w:val="4"/>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tabs>
                <w:tab w:val="left" w:pos="708" w:leader="none"/>
                <w:tab w:val="right" w:pos="9356" w:leader="none"/>
              </w:tabs>
              <w:suppressAutoHyphens w:val="true"/>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COMPONENTE CURRICULAR:</w:t>
            </w:r>
            <w:r>
              <w:rPr>
                <w:rFonts w:ascii="Calibri" w:hAnsi="Calibri" w:cs="Calibri" w:eastAsia="Calibri"/>
                <w:color w:val="auto"/>
                <w:spacing w:val="0"/>
                <w:position w:val="0"/>
                <w:sz w:val="24"/>
                <w:shd w:fill="auto" w:val="clear"/>
              </w:rPr>
              <w:t xml:space="preserve"> PI: Sistemas Inteligentes e Aprendizado de Máquina</w:t>
            </w:r>
          </w:p>
        </w:tc>
        <w:tc>
          <w:tcPr>
            <w:tcW w:w="2836"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tabs>
                <w:tab w:val="left" w:pos="708" w:leader="none"/>
                <w:tab w:val="right" w:pos="9356" w:leader="none"/>
              </w:tabs>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CÓDIGO:</w:t>
            </w:r>
            <w:r>
              <w:rPr>
                <w:rFonts w:ascii="Calibri" w:hAnsi="Calibri" w:cs="Calibri" w:eastAsia="Calibri"/>
                <w:color w:val="auto"/>
                <w:spacing w:val="0"/>
                <w:position w:val="0"/>
                <w:sz w:val="24"/>
                <w:shd w:fill="auto" w:val="clear"/>
              </w:rPr>
              <w:t xml:space="preserve"> 13134</w:t>
            </w:r>
          </w:p>
        </w:tc>
      </w:tr>
      <w:tr>
        <w:trPr>
          <w:trHeight w:val="407" w:hRule="auto"/>
          <w:jc w:val="left"/>
        </w:trPr>
        <w:tc>
          <w:tcPr>
            <w:tcW w:w="2552"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tabs>
                <w:tab w:val="left" w:pos="708" w:leader="none"/>
                <w:tab w:val="left" w:pos="3345" w:leader="none"/>
              </w:tabs>
              <w:suppressAutoHyphens w:val="true"/>
              <w:spacing w:before="0" w:after="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CARGA HORÁRIA TOTAL DO COMPONENTE CURRICULAR:</w:t>
            </w:r>
          </w:p>
        </w:tc>
        <w:tc>
          <w:tcPr>
            <w:tcW w:w="1559"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tabs>
                <w:tab w:val="left" w:pos="708" w:leader="none"/>
                <w:tab w:val="left" w:pos="3345" w:leader="none"/>
              </w:tabs>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 Teórica</w:t>
            </w:r>
          </w:p>
          <w:p>
            <w:pPr>
              <w:tabs>
                <w:tab w:val="left" w:pos="708" w:leader="none"/>
                <w:tab w:val="left" w:pos="3345" w:leader="none"/>
              </w:tabs>
              <w:suppressAutoHyphens w:val="true"/>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38</w:t>
            </w:r>
          </w:p>
        </w:tc>
        <w:tc>
          <w:tcPr>
            <w:tcW w:w="1701"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 Prática</w:t>
            </w:r>
          </w:p>
          <w:p>
            <w:pPr>
              <w:suppressAutoHyphens w:val="true"/>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38</w:t>
            </w:r>
          </w:p>
        </w:tc>
        <w:tc>
          <w:tcPr>
            <w:tcW w:w="1842"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 Autônoma</w:t>
            </w:r>
          </w:p>
          <w:p>
            <w:pPr>
              <w:suppressAutoHyphens w:val="true"/>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20</w:t>
            </w:r>
          </w:p>
        </w:tc>
        <w:tc>
          <w:tcPr>
            <w:tcW w:w="2836" w:type="dxa"/>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uppressAutoHyphens w:val="true"/>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CH Extensão</w:t>
            </w:r>
          </w:p>
          <w:p>
            <w:pPr>
              <w:suppressAutoHyphens w:val="true"/>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45</w:t>
            </w:r>
          </w:p>
        </w:tc>
      </w:tr>
      <w:tr>
        <w:trPr>
          <w:trHeight w:val="564" w:hRule="auto"/>
          <w:jc w:val="left"/>
        </w:trPr>
        <w:tc>
          <w:tcPr>
            <w:tcW w:w="10490" w:type="dxa"/>
            <w:gridSpan w:val="5"/>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DOCENTE(S):  </w:t>
            </w:r>
            <w:r>
              <w:rPr>
                <w:rFonts w:ascii="Calibri" w:hAnsi="Calibri" w:cs="Calibri" w:eastAsia="Calibri"/>
                <w:color w:val="auto"/>
                <w:spacing w:val="0"/>
                <w:position w:val="0"/>
                <w:sz w:val="24"/>
                <w:shd w:fill="auto" w:val="clear"/>
              </w:rPr>
              <w:t xml:space="preserve">Fernando Soares de Aguiar Neto</w:t>
            </w:r>
          </w:p>
        </w:tc>
      </w:tr>
      <w:tr>
        <w:trPr>
          <w:trHeight w:val="565" w:hRule="auto"/>
          <w:jc w:val="left"/>
        </w:trPr>
        <w:tc>
          <w:tcPr>
            <w:tcW w:w="10490" w:type="dxa"/>
            <w:gridSpan w:val="5"/>
            <w:tcBorders>
              <w:top w:val="single" w:color="000000" w:sz="12"/>
              <w:left w:val="single" w:color="000000" w:sz="12"/>
              <w:bottom w:val="single" w:color="000000" w:sz="12"/>
              <w:right w:val="single" w:color="000000" w:sz="12"/>
            </w:tcBorders>
            <w:shd w:color="000000" w:fill="ffffff" w:val="clear"/>
            <w:tcMar>
              <w:left w:w="70" w:type="dxa"/>
              <w:right w:w="70" w:type="dxa"/>
            </w:tcMar>
            <w:vAlign w:val="top"/>
          </w:tcPr>
          <w:p>
            <w:pPr>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NOME DO ALUNO (A): Mateus Navarro Bella Cruz</w:t>
            </w:r>
          </w:p>
        </w:tc>
      </w:tr>
    </w:tbl>
    <w:p>
      <w:pPr>
        <w:suppressAutoHyphens w:val="true"/>
        <w:spacing w:before="0" w:after="0" w:line="360"/>
        <w:ind w:right="0" w:left="0" w:firstLine="0"/>
        <w:jc w:val="both"/>
        <w:rPr>
          <w:rFonts w:ascii="Calibri" w:hAnsi="Calibri" w:cs="Calibri" w:eastAsia="Calibri"/>
          <w:color w:val="auto"/>
          <w:spacing w:val="0"/>
          <w:position w:val="0"/>
          <w:sz w:val="16"/>
          <w:shd w:fill="auto" w:val="clear"/>
        </w:rPr>
      </w:pPr>
    </w:p>
    <w:p>
      <w:pPr>
        <w:suppressAutoHyphens w:val="true"/>
        <w:spacing w:before="0" w:after="0" w:line="360"/>
        <w:ind w:right="0" w:left="0" w:firstLine="0"/>
        <w:jc w:val="both"/>
        <w:rPr>
          <w:rFonts w:ascii="Calibri" w:hAnsi="Calibri" w:cs="Calibri" w:eastAsia="Calibri"/>
          <w:color w:val="auto"/>
          <w:spacing w:val="0"/>
          <w:position w:val="0"/>
          <w:sz w:val="16"/>
          <w:shd w:fill="auto" w:val="clear"/>
        </w:rPr>
      </w:pPr>
    </w:p>
    <w:p>
      <w:pPr>
        <w:numPr>
          <w:ilvl w:val="0"/>
          <w:numId w:val="24"/>
        </w:numPr>
        <w:tabs>
          <w:tab w:val="left" w:pos="708" w:leader="none"/>
          <w:tab w:val="left" w:pos="3334" w:leader="none"/>
        </w:tabs>
        <w:suppressAutoHyphens w:val="true"/>
        <w:spacing w:before="0" w:after="0" w:line="360"/>
        <w:ind w:right="264" w:left="431" w:hanging="360"/>
        <w:jc w:val="left"/>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IDENTIFICAÇÃO  </w:t>
      </w:r>
      <w:r>
        <w:rPr>
          <w:rFonts w:ascii="Calibri" w:hAnsi="Calibri" w:cs="Calibri" w:eastAsia="Calibri"/>
          <w:color w:val="auto"/>
          <w:spacing w:val="0"/>
          <w:position w:val="0"/>
          <w:sz w:val="22"/>
          <w:shd w:fill="D9D9D9" w:val="clear"/>
        </w:rPr>
        <w:tab/>
      </w: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1.1 Nome (Comunidade Externa, Parceiro ou Cliente):  População em Geral (Dpto Comunicação PUC-Campinas)</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tabs>
                <w:tab w:val="left" w:pos="0" w:leader="none"/>
              </w:tabs>
              <w:suppressAutoHyphens w:val="true"/>
              <w:spacing w:before="0" w:after="0" w:line="360"/>
              <w:ind w:right="0" w:left="431" w:hanging="36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Número de pessoas envolvidas                                         Total:                     n/a                    Específica: n/a</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tabs>
                <w:tab w:val="left" w:pos="0" w:leader="none"/>
              </w:tabs>
              <w:suppressAutoHyphens w:val="true"/>
              <w:spacing w:before="0" w:after="0" w:line="360"/>
              <w:ind w:right="0" w:left="431"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Objetivos Específicos</w:t>
            </w:r>
          </w:p>
          <w:p>
            <w:pPr>
              <w:suppressAutoHyphens w:val="true"/>
              <w:spacing w:before="0" w:after="0" w:line="360"/>
              <w:ind w:right="0" w:left="431"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Difundir os conceitos de inteligência artificial utilizados em jogos como o xadrez.</w:t>
            </w:r>
          </w:p>
          <w:p>
            <w:pPr>
              <w:suppressAutoHyphens w:val="true"/>
              <w:spacing w:before="0" w:after="0" w:line="360"/>
              <w:ind w:right="0" w:left="431"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Compare as capacidades de pesquisa computacional com as capacidades humanas.</w:t>
            </w:r>
          </w:p>
          <w:p>
            <w:pPr>
              <w:suppressAutoHyphens w:val="true"/>
              <w:spacing w:before="0" w:after="0" w:line="360"/>
              <w:ind w:right="0" w:left="431"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Explicar as vantagens e limitações dos algoritmos de pesquisa no contexto dos jogos.</w:t>
            </w:r>
          </w:p>
        </w:tc>
      </w:tr>
    </w:tbl>
    <w:p>
      <w:pPr>
        <w:numPr>
          <w:ilvl w:val="0"/>
          <w:numId w:val="34"/>
        </w:numPr>
        <w:tabs>
          <w:tab w:val="left" w:pos="708" w:leader="none"/>
          <w:tab w:val="left" w:pos="3334" w:leader="none"/>
        </w:tabs>
        <w:suppressAutoHyphens w:val="true"/>
        <w:spacing w:before="0" w:after="0" w:line="360"/>
        <w:ind w:right="264" w:left="431" w:hanging="360"/>
        <w:jc w:val="left"/>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DESCRIÇÃO E ANÁLISE DAS ATIVIDADES </w:t>
      </w:r>
      <w:r>
        <w:rPr>
          <w:rFonts w:ascii="Calibri" w:hAnsi="Calibri" w:cs="Calibri" w:eastAsia="Calibri"/>
          <w:color w:val="auto"/>
          <w:spacing w:val="0"/>
          <w:position w:val="0"/>
          <w:sz w:val="22"/>
          <w:shd w:fill="D9D9D9" w:val="clear"/>
        </w:rPr>
        <w:tab/>
      </w: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2.1 Registro de datas e quantidade de horas das atividades  </w:t>
              <w:br/>
            </w:r>
            <w:r>
              <w:rPr>
                <w:rFonts w:ascii="Calibri" w:hAnsi="Calibri" w:cs="Calibri" w:eastAsia="Calibri"/>
                <w:color w:val="auto"/>
                <w:spacing w:val="0"/>
                <w:position w:val="0"/>
                <w:sz w:val="24"/>
                <w:shd w:fill="auto" w:val="clear"/>
              </w:rPr>
              <w:t xml:space="preserve">Pesquisa de Algoritmo de Xadrex</w:t>
              <w:tab/>
              <w:t xml:space="preserve">                 14/11/2024 a 20/11/2024 </w:t>
              <w:tab/>
              <w:t xml:space="preserve">                  10h</w:t>
            </w:r>
          </w:p>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Desenvolver Texto Promocional</w:t>
              <w:tab/>
              <w:t xml:space="preserve">                 21/11/2024 a 27/11/2024</w:t>
              <w:tab/>
              <w:t xml:space="preserve">                  15h</w:t>
            </w:r>
          </w:p>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Revisão de texto e simplificação do conteúdo   28/11/2024 a 04/11/2024</w:t>
              <w:tab/>
              <w:t xml:space="preserve">                  10h</w:t>
            </w:r>
          </w:p>
          <w:p>
            <w:pPr>
              <w:suppressAutoHyphens w:val="true"/>
              <w:spacing w:before="0" w:after="0" w:line="36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Revisão do conteúdo e verificação técnica</w:t>
              <w:tab/>
              <w:t xml:space="preserve">     05/12/2024 a 11/12/2024</w:t>
              <w:tab/>
              <w:t xml:space="preserve">                  10h</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s>
              <w:suppressAutoHyphens w:val="true"/>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Recursos e Estratégias utilizadas </w:t>
            </w:r>
          </w:p>
          <w:p>
            <w:pPr>
              <w:tabs>
                <w:tab w:val="left" w:pos="0" w:leader="none"/>
              </w:tabs>
              <w:suppressAutoHyphens w:val="true"/>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Recursos Computacionais: Artigos científicos, vídeos explicativos sobre Minimax e poda alfa-beta, e material de leitura de sites como Chess.com.</w:t>
            </w:r>
          </w:p>
          <w:p>
            <w:pPr>
              <w:tabs>
                <w:tab w:val="left" w:pos="0" w:leader="none"/>
              </w:tabs>
              <w:suppressAutoHyphens w:val="true"/>
              <w:spacing w:before="0" w:after="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Estratégias de ensino: Simplificação de conceitos técnicos para semplificar a compreensão de um público leigo, utilizando exemplos e analogias textuais.</w:t>
            </w:r>
          </w:p>
          <w:p>
            <w:pPr>
              <w:tabs>
                <w:tab w:val="left" w:pos="0" w:leader="none"/>
              </w:tabs>
              <w:suppressAutoHyphens w:val="true"/>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Ferramentas: Google Docs para redação e pesquisa online de fontes confiáveis.</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2.3 Relato descritivo e analítico  </w:t>
            </w:r>
          </w:p>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texto de divulgação científica, tendo como tema "Por que o computador sempre vence no xadrez?", buscou explicar como algoritmos permitem que máquinas analisem bilhões de possibilidades em segundos, superando os limites humanos. Foi estudo conceitos de algoritmos de busca (como Minimax e poda alfa-beta) e comparações entre o desempenho humano e computacional.</w:t>
            </w:r>
          </w:p>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36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 maior desafio foi tornar o conteúdo acessível, reduzindo jargões técnicos e priorizando exemplos práticos. A experiência ajudou para desenvolver habilidades de comunicação com o públicos não especializado.</w:t>
            </w:r>
          </w:p>
        </w:tc>
      </w:tr>
    </w:tbl>
    <w:p>
      <w:pPr>
        <w:numPr>
          <w:ilvl w:val="0"/>
          <w:numId w:val="43"/>
        </w:numPr>
        <w:tabs>
          <w:tab w:val="left" w:pos="708" w:leader="none"/>
          <w:tab w:val="left" w:pos="3334" w:leader="none"/>
        </w:tabs>
        <w:suppressAutoHyphens w:val="true"/>
        <w:spacing w:before="0" w:after="0" w:line="360"/>
        <w:ind w:right="264" w:left="431" w:hanging="360"/>
        <w:jc w:val="left"/>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AVALIAÇÃO DAS ATIVIDADES DESENVOLVIDAS </w:t>
      </w:r>
      <w:r>
        <w:rPr>
          <w:rFonts w:ascii="Calibri" w:hAnsi="Calibri" w:cs="Calibri" w:eastAsia="Calibri"/>
          <w:color w:val="auto"/>
          <w:spacing w:val="0"/>
          <w:position w:val="0"/>
          <w:sz w:val="22"/>
          <w:shd w:fill="D9D9D9" w:val="clear"/>
        </w:rPr>
        <w:tab/>
      </w: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Apreciação geral do discente e apontamento das potencialidades e fragilidades do processo. Comentários sobre a experiência vivida.</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 desenvolvimento do texto foi uma oportunidade única para apresentar o conceito de IA em linguagem acessível. A principal dificuldade foi simplificar os algoritmos como Minimax sem perder a precisão técnica. Apesar disso, o resultado final conseguiu atender ao objetivo de instruir um público não técnico.</w:t>
            </w:r>
          </w:p>
        </w:tc>
      </w:tr>
    </w:tbl>
    <w:p>
      <w:pPr>
        <w:numPr>
          <w:ilvl w:val="0"/>
          <w:numId w:val="47"/>
        </w:numPr>
        <w:tabs>
          <w:tab w:val="left" w:pos="708" w:leader="none"/>
          <w:tab w:val="left" w:pos="3334" w:leader="none"/>
        </w:tabs>
        <w:suppressAutoHyphens w:val="true"/>
        <w:spacing w:before="0" w:after="0" w:line="360"/>
        <w:ind w:right="264" w:left="431" w:hanging="360"/>
        <w:jc w:val="left"/>
        <w:rPr>
          <w:rFonts w:ascii="Calibri" w:hAnsi="Calibri" w:cs="Calibri" w:eastAsia="Calibri"/>
          <w:b/>
          <w:color w:val="auto"/>
          <w:spacing w:val="0"/>
          <w:position w:val="0"/>
          <w:sz w:val="22"/>
          <w:shd w:fill="D9D9D9" w:val="clear"/>
        </w:rPr>
      </w:pPr>
      <w:r>
        <w:rPr>
          <w:rFonts w:ascii="Calibri" w:hAnsi="Calibri" w:cs="Calibri" w:eastAsia="Calibri"/>
          <w:b/>
          <w:color w:val="auto"/>
          <w:spacing w:val="0"/>
          <w:position w:val="0"/>
          <w:sz w:val="22"/>
          <w:shd w:fill="D9D9D9" w:val="clear"/>
        </w:rPr>
        <w:t xml:space="preserve">PRODUTO FINAL</w:t>
      </w:r>
      <w:r>
        <w:rPr>
          <w:rFonts w:ascii="Calibri" w:hAnsi="Calibri" w:cs="Calibri" w:eastAsia="Calibri"/>
          <w:color w:val="auto"/>
          <w:spacing w:val="0"/>
          <w:position w:val="0"/>
          <w:sz w:val="22"/>
          <w:shd w:fill="D9D9D9" w:val="clear"/>
        </w:rPr>
        <w:tab/>
      </w:r>
    </w:p>
    <w:tbl>
      <w:tblPr/>
      <w:tblGrid>
        <w:gridCol w:w="10490"/>
      </w:tblGrid>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2"/>
                <w:shd w:fill="auto" w:val="clear"/>
              </w:rPr>
              <w:t xml:space="preserve">4.1 Resumo  </w:t>
            </w:r>
          </w:p>
          <w:p>
            <w:pPr>
              <w:suppressAutoHyphens w:val="true"/>
              <w:spacing w:before="0" w:after="0" w:line="36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2"/>
                <w:shd w:fill="auto" w:val="clear"/>
              </w:rPr>
              <w:t xml:space="preserve">O texto "Por que o computador sempre vence no xadrez?" mostra de forma simplificada como os algoritmos de busca, como Minimax e poda alfa-beta, funcionam para analisar movimentos e prever resultados no xadrez. O conteúdo apresenta as vantagens computacionais, enquanto explora as diferenças com a tomada de decisão humana.</w:t>
            </w:r>
          </w:p>
        </w:tc>
      </w:tr>
      <w:tr>
        <w:trPr>
          <w:trHeight w:val="1" w:hRule="atLeast"/>
          <w:jc w:val="left"/>
        </w:trPr>
        <w:tc>
          <w:tcPr>
            <w:tcW w:w="10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1"/>
              </w:numPr>
              <w:tabs>
                <w:tab w:val="left" w:pos="0" w:leader="none"/>
              </w:tabs>
              <w:suppressAutoHyphens w:val="true"/>
              <w:spacing w:before="0" w:after="0" w:line="360"/>
              <w:ind w:right="0" w:left="431" w:hanging="431"/>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Evidências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https://github.com/Navas1000/APRENDIZADO-DE-MAQUINAS/tree/main</w:t>
              </w:r>
            </w:hyperlink>
          </w:p>
        </w:tc>
      </w:tr>
    </w:tbl>
    <w:p>
      <w:pPr>
        <w:suppressAutoHyphens w:val="true"/>
        <w:spacing w:before="0" w:after="0" w:line="36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4">
    <w:abstractNumId w:val="36"/>
  </w:num>
  <w:num w:numId="29">
    <w:abstractNumId w:val="30"/>
  </w:num>
  <w:num w:numId="31">
    <w:abstractNumId w:val="24"/>
  </w:num>
  <w:num w:numId="34">
    <w:abstractNumId w:val="18"/>
  </w:num>
  <w:num w:numId="43">
    <w:abstractNumId w:val="12"/>
  </w:num>
  <w:num w:numId="47">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Navas1000/APRENDIZADO-DE-MAQUINAS/tree/mai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