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552"/>
        <w:gridCol w:w="1559"/>
        <w:gridCol w:w="1701"/>
        <w:gridCol w:w="1842"/>
        <w:gridCol w:w="2836"/>
      </w:tblGrid>
      <w:tr>
        <w:trPr>
          <w:trHeight w:val="1" w:hRule="atLeast"/>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ESCOLA  POLITÉCNICA</w:t>
            </w:r>
          </w:p>
        </w:tc>
      </w:tr>
      <w:tr>
        <w:trPr>
          <w:trHeight w:val="1" w:hRule="atLeast"/>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CURSO: Engenharia de Computação</w:t>
            </w:r>
          </w:p>
        </w:tc>
      </w:tr>
      <w:tr>
        <w:trPr>
          <w:trHeight w:val="189" w:hRule="auto"/>
          <w:jc w:val="left"/>
        </w:trPr>
        <w:tc>
          <w:tcPr>
            <w:tcW w:w="7654" w:type="dxa"/>
            <w:gridSpan w:val="4"/>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right" w:pos="9356" w:leader="none"/>
              </w:tabs>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COMPONENTE CURRICULAR:</w:t>
            </w:r>
            <w:r>
              <w:rPr>
                <w:rFonts w:ascii="Calibri" w:hAnsi="Calibri" w:cs="Calibri" w:eastAsia="Calibri"/>
                <w:color w:val="auto"/>
                <w:spacing w:val="0"/>
                <w:position w:val="0"/>
                <w:sz w:val="24"/>
                <w:shd w:fill="auto" w:val="clear"/>
              </w:rPr>
              <w:t xml:space="preserve"> PI: Sistemas Inteligentes e Aprendizado de Máquina</w:t>
            </w:r>
          </w:p>
        </w:tc>
        <w:tc>
          <w:tcPr>
            <w:tcW w:w="2836"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CÓDIGO:</w:t>
            </w:r>
            <w:r>
              <w:rPr>
                <w:rFonts w:ascii="Calibri" w:hAnsi="Calibri" w:cs="Calibri" w:eastAsia="Calibri"/>
                <w:color w:val="auto"/>
                <w:spacing w:val="0"/>
                <w:position w:val="0"/>
                <w:sz w:val="24"/>
                <w:shd w:fill="auto" w:val="clear"/>
              </w:rPr>
              <w:t xml:space="preserve"> 13134</w:t>
            </w:r>
          </w:p>
        </w:tc>
      </w:tr>
      <w:tr>
        <w:trPr>
          <w:trHeight w:val="407" w:hRule="auto"/>
          <w:jc w:val="left"/>
        </w:trPr>
        <w:tc>
          <w:tcPr>
            <w:tcW w:w="2552"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left" w:pos="3345" w:leader="none"/>
              </w:tabs>
              <w:suppressAutoHyphens w:val="true"/>
              <w:spacing w:before="0" w:after="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CARGA HORÁRIA TOTAL DO COMPONENTE CURRICULAR:</w:t>
            </w:r>
          </w:p>
        </w:tc>
        <w:tc>
          <w:tcPr>
            <w:tcW w:w="1559"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left" w:pos="3345" w:leader="none"/>
              </w:tabs>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Teórica</w:t>
            </w:r>
          </w:p>
          <w:p>
            <w:pPr>
              <w:tabs>
                <w:tab w:val="left" w:pos="708" w:leader="none"/>
                <w:tab w:val="left" w:pos="3345" w:leader="none"/>
              </w:tabs>
              <w:suppressAutoHyphens w:val="true"/>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38</w:t>
            </w:r>
          </w:p>
        </w:tc>
        <w:tc>
          <w:tcPr>
            <w:tcW w:w="1701"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Prática</w:t>
            </w:r>
          </w:p>
          <w:p>
            <w:pPr>
              <w:suppressAutoHyphens w:val="true"/>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38</w:t>
            </w:r>
          </w:p>
        </w:tc>
        <w:tc>
          <w:tcPr>
            <w:tcW w:w="1842"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Autônoma</w:t>
            </w:r>
          </w:p>
          <w:p>
            <w:pPr>
              <w:suppressAutoHyphens w:val="true"/>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w:t>
            </w:r>
          </w:p>
        </w:tc>
        <w:tc>
          <w:tcPr>
            <w:tcW w:w="2836"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Extensão</w:t>
            </w:r>
          </w:p>
          <w:p>
            <w:pPr>
              <w:suppressAutoHyphens w:val="true"/>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45</w:t>
            </w:r>
          </w:p>
        </w:tc>
      </w:tr>
      <w:tr>
        <w:trPr>
          <w:trHeight w:val="564" w:hRule="auto"/>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DOCENTE(S):  </w:t>
            </w:r>
            <w:r>
              <w:rPr>
                <w:rFonts w:ascii="Calibri" w:hAnsi="Calibri" w:cs="Calibri" w:eastAsia="Calibri"/>
                <w:color w:val="auto"/>
                <w:spacing w:val="0"/>
                <w:position w:val="0"/>
                <w:sz w:val="24"/>
                <w:shd w:fill="auto" w:val="clear"/>
              </w:rPr>
              <w:t xml:space="preserve">Fernando Soares de Aguiar Neto</w:t>
            </w:r>
          </w:p>
        </w:tc>
      </w:tr>
      <w:tr>
        <w:trPr>
          <w:trHeight w:val="565" w:hRule="auto"/>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NOME DO ALUNO (A): Mateus Navarro Bella Cruz</w:t>
            </w:r>
          </w:p>
        </w:tc>
      </w:tr>
    </w:tbl>
    <w:p>
      <w:pPr>
        <w:suppressAutoHyphens w:val="true"/>
        <w:spacing w:before="0" w:after="0" w:line="360"/>
        <w:ind w:right="0" w:left="0" w:firstLine="0"/>
        <w:jc w:val="both"/>
        <w:rPr>
          <w:rFonts w:ascii="Calibri" w:hAnsi="Calibri" w:cs="Calibri" w:eastAsia="Calibri"/>
          <w:color w:val="auto"/>
          <w:spacing w:val="0"/>
          <w:position w:val="0"/>
          <w:sz w:val="16"/>
          <w:shd w:fill="auto" w:val="clear"/>
        </w:rPr>
      </w:pPr>
    </w:p>
    <w:p>
      <w:pPr>
        <w:suppressAutoHyphens w:val="true"/>
        <w:spacing w:before="0" w:after="0" w:line="360"/>
        <w:ind w:right="0" w:left="0" w:firstLine="0"/>
        <w:jc w:val="both"/>
        <w:rPr>
          <w:rFonts w:ascii="Calibri" w:hAnsi="Calibri" w:cs="Calibri" w:eastAsia="Calibri"/>
          <w:color w:val="auto"/>
          <w:spacing w:val="0"/>
          <w:position w:val="0"/>
          <w:sz w:val="16"/>
          <w:shd w:fill="auto" w:val="clear"/>
        </w:rPr>
      </w:pPr>
    </w:p>
    <w:p>
      <w:pPr>
        <w:numPr>
          <w:ilvl w:val="0"/>
          <w:numId w:val="24"/>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IDENTIFICAÇÃO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 Nome (Comunidade Externa, Parceiro ou Cliente):  População em Geral (Dpto Comunicação PUC-Campinas)</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tabs>
                <w:tab w:val="left" w:pos="0" w:leader="none"/>
              </w:tabs>
              <w:suppressAutoHyphens w:val="true"/>
              <w:spacing w:before="0" w:after="0" w:line="360"/>
              <w:ind w:right="0" w:left="431" w:hanging="36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Número de pessoas envolvidas                                         Total:                     n/a                    Específica: n/a</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tabs>
                <w:tab w:val="left" w:pos="0" w:leader="none"/>
              </w:tabs>
              <w:suppressAutoHyphens w:val="true"/>
              <w:spacing w:before="0" w:after="0" w:line="360"/>
              <w:ind w:right="0" w:left="431"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 Específicos</w:t>
            </w:r>
          </w:p>
          <w:p>
            <w:pPr>
              <w:suppressAutoHyphens w:val="true"/>
              <w:spacing w:before="0" w:after="0" w:line="360"/>
              <w:ind w:right="0" w:left="43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Difundir os conceitos de inteligência artificial utilizados em jogos como o xadrez.</w:t>
            </w:r>
          </w:p>
          <w:p>
            <w:pPr>
              <w:suppressAutoHyphens w:val="true"/>
              <w:spacing w:before="0" w:after="0" w:line="360"/>
              <w:ind w:right="0" w:left="43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as capacidades de pesquisa computacional com as capacidades humanas.</w:t>
            </w:r>
          </w:p>
          <w:p>
            <w:pPr>
              <w:suppressAutoHyphens w:val="true"/>
              <w:spacing w:before="0" w:after="0" w:line="360"/>
              <w:ind w:right="0" w:left="431"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Explicar as vantagens e limitações dos algoritmos de pesquisa no contexto dos jogos.</w:t>
            </w:r>
          </w:p>
        </w:tc>
      </w:tr>
    </w:tbl>
    <w:p>
      <w:pPr>
        <w:numPr>
          <w:ilvl w:val="0"/>
          <w:numId w:val="34"/>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DESCRIÇÃO E ANÁLISE DAS ATIVIDADES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2.1 Registro de datas e quantidade de horas das atividades  </w:t>
              <w:br/>
            </w:r>
            <w:r>
              <w:rPr>
                <w:rFonts w:ascii="Calibri" w:hAnsi="Calibri" w:cs="Calibri" w:eastAsia="Calibri"/>
                <w:color w:val="auto"/>
                <w:spacing w:val="0"/>
                <w:position w:val="0"/>
                <w:sz w:val="24"/>
                <w:shd w:fill="auto" w:val="clear"/>
              </w:rPr>
              <w:t xml:space="preserve">Pesquisa de Algoritmo de Xadrex</w:t>
              <w:tab/>
              <w:t xml:space="preserve">                 14/11/2024 a 20/11/2024 </w:t>
              <w:tab/>
              <w:t xml:space="preserve">                  10h</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Desenvolver Texto Promocional</w:t>
              <w:tab/>
              <w:t xml:space="preserve">                 21/11/2024 a 27/11/2024</w:t>
              <w:tab/>
              <w:t xml:space="preserve">                  15h</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Revisão de texto e simplificação do conteúdo   28/11/2024 a 04/11/2024</w:t>
              <w:tab/>
              <w:t xml:space="preserve">                  10h</w:t>
            </w:r>
          </w:p>
          <w:p>
            <w:pPr>
              <w:suppressAutoHyphens w:val="true"/>
              <w:spacing w:before="0" w:after="0" w:line="36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Revisão do conteúdo e verificação técnica</w:t>
              <w:tab/>
              <w:t xml:space="preserve">     05/12/2024 a 11/12/2024</w:t>
              <w:tab/>
              <w:t xml:space="preserve">                  10h</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e Estratégias utilizadas </w:t>
            </w:r>
          </w:p>
          <w:p>
            <w:pPr>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Computacionais: Artigos científicos, vídeos explicativos sobre Minimax e poda alfa-beta, e material de leitura de sites como Chess.com.</w:t>
            </w:r>
          </w:p>
          <w:p>
            <w:pPr>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Estratégias de ensino: Simplificação de conceitos técnicos para semplificar a compreensão de um público leigo, utilizando exemplos e analogias textuais.</w:t>
            </w:r>
          </w:p>
          <w:p>
            <w:pPr>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Ferramentas: Google Docs para redação e pesquisa online de fontes confiáveis.</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2.3 Relato descritivo e analítico  </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texto de divulgação científica, tendo como tema "Por que o computador sempre vence no xadrez?", buscou explicar como algoritmos permitem que máquinas analisem bilhões de possibilidades em segundos, superando os limites humanos. Foi estudo conceitos de algoritmos de busca (como Minimax e poda alfa-beta) e comparações entre o desempenho humano e computacional.</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36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 maior desafio foi tornar o conteúdo acessível, reduzindo jargões técnicos e priorizando exemplos práticos. A experiência ajudou para desenvolver habilidades de comunicação com o públicos não especializado.</w:t>
            </w:r>
          </w:p>
        </w:tc>
      </w:tr>
    </w:tbl>
    <w:p>
      <w:pPr>
        <w:numPr>
          <w:ilvl w:val="0"/>
          <w:numId w:val="43"/>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AVALIAÇÃO DAS ATIVIDADES DESENVOLVIDAS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Apreciação geral do discente e apontamento das potencialidades e fragilidades do processo. Comentários sobre a experiência vivida.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 desenvolvimento do texto foi uma oportunidade única para apresentar o conceito de IA em linguagem acessível. A principal dificuldade foi simplificar os algoritmos como Minimax sem perder a precisão técnica. Apesar disso, o resultado final conseguiu atender ao objetivo de instruir um público não técnico.</w:t>
            </w:r>
          </w:p>
        </w:tc>
      </w:tr>
    </w:tbl>
    <w:p>
      <w:pPr>
        <w:numPr>
          <w:ilvl w:val="0"/>
          <w:numId w:val="47"/>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PRODUTO FINAL</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2"/>
                <w:shd w:fill="auto" w:val="clear"/>
              </w:rPr>
              <w:t xml:space="preserve">4.1 Resumo  </w:t>
            </w:r>
          </w:p>
          <w:p>
            <w:pPr>
              <w:suppressAutoHyphen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O texto "Por que o computador sempre vence no xadrez?" mostra de forma simplificada como os algoritmos de busca, como Minimax e poda alfa-beta, funcionam para analisar movimentos e prever resultados no xadrez. O conteúdo apresenta as vantagens computacionais, enquanto explora as diferenças com a tomada de decisão humana.</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2"/>
              </w:numPr>
              <w:tabs>
                <w:tab w:val="left" w:pos="0" w:leader="none"/>
              </w:tabs>
              <w:suppressAutoHyphens w:val="true"/>
              <w:spacing w:before="0" w:after="0" w:line="360"/>
              <w:ind w:right="0" w:left="431" w:hanging="431"/>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Evidências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https://github.com/Navas1000/APRENDIZADO-DE-MAQUINAS/tree/main</w:t>
              </w:r>
            </w:hyperlink>
          </w:p>
        </w:tc>
      </w:tr>
    </w:tbl>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4">
    <w:abstractNumId w:val="36"/>
  </w:num>
  <w:num w:numId="29">
    <w:abstractNumId w:val="30"/>
  </w:num>
  <w:num w:numId="31">
    <w:abstractNumId w:val="24"/>
  </w:num>
  <w:num w:numId="34">
    <w:abstractNumId w:val="18"/>
  </w:num>
  <w:num w:numId="43">
    <w:abstractNumId w:val="12"/>
  </w:num>
  <w:num w:numId="47">
    <w:abstractNumId w:val="6"/>
  </w: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avas1000/APRENDIZADO-DE-MAQUINAS/tree/ma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