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E69E3" w:rsidRPr="00AC5421" w:rsidRDefault="00680CB9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61, 62 - </w:t>
      </w:r>
      <w:hyperlink r:id="rId5" w:history="1">
        <w:r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https://economy-web.org/?p=204</w:t>
        </w:r>
      </w:hyperlink>
    </w:p>
    <w:p w:rsidR="00173691" w:rsidRPr="00AC5421" w:rsidRDefault="00314795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>8, 9, 36 – ներքևում</w:t>
      </w: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56, 57, 58, 59 – ՏՊԿ, </w:t>
      </w:r>
    </w:p>
    <w:p w:rsidR="007E69E3" w:rsidRPr="00AC5421" w:rsidRDefault="00AC5421">
      <w:pPr>
        <w:rPr>
          <w:rFonts w:ascii="Sylfaen" w:hAnsi="Sylfaen"/>
          <w:sz w:val="20"/>
          <w:szCs w:val="20"/>
          <w:lang w:val="hy-AM"/>
        </w:rPr>
      </w:pPr>
      <w:hyperlink r:id="rId6" w:history="1">
        <w:r w:rsidR="007E69E3"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https://www.arlis.am/DocumentView.aspx?DocID=143894</w:t>
        </w:r>
      </w:hyperlink>
    </w:p>
    <w:p w:rsidR="007E69E3" w:rsidRPr="00AC5421" w:rsidRDefault="00AC5421">
      <w:pPr>
        <w:rPr>
          <w:rFonts w:ascii="Sylfaen" w:hAnsi="Sylfaen"/>
          <w:sz w:val="20"/>
          <w:szCs w:val="20"/>
          <w:lang w:val="hy-AM"/>
        </w:rPr>
      </w:pPr>
      <w:hyperlink r:id="rId7" w:history="1">
        <w:r w:rsidR="007E69E3"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https://www.arlis.am/documentview.aspx?docid=75497</w:t>
        </w:r>
      </w:hyperlink>
    </w:p>
    <w:p w:rsidR="007E69E3" w:rsidRPr="00AC5421" w:rsidRDefault="00AC5421">
      <w:pPr>
        <w:rPr>
          <w:rFonts w:ascii="Sylfaen" w:hAnsi="Sylfaen"/>
          <w:sz w:val="20"/>
          <w:szCs w:val="20"/>
          <w:lang w:val="hy-AM"/>
        </w:rPr>
      </w:pPr>
      <w:hyperlink r:id="rId8" w:history="1">
        <w:r w:rsidR="007E69E3"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https://www.arlis.am/documentview.aspx?docid=49156</w:t>
        </w:r>
      </w:hyperlink>
    </w:p>
    <w:p w:rsidR="007E69E3" w:rsidRPr="00AC5421" w:rsidRDefault="00AC5421">
      <w:pPr>
        <w:rPr>
          <w:rFonts w:ascii="Sylfaen" w:hAnsi="Sylfaen"/>
          <w:sz w:val="20"/>
          <w:szCs w:val="20"/>
          <w:lang w:val="hy-AM"/>
        </w:rPr>
      </w:pPr>
      <w:hyperlink r:id="rId9" w:history="1">
        <w:r w:rsidR="007E69E3"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https://paara.am/wp-content/uploads/2012/06/qnarik-vardanyan-gayane-avagyan.pdf</w:t>
        </w:r>
      </w:hyperlink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60 - </w:t>
      </w:r>
      <w:hyperlink r:id="rId10" w:history="1">
        <w:r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https://www.cba.am/am/SitePages/statmonetaryfinancial.aspx</w:t>
        </w:r>
      </w:hyperlink>
      <w:r w:rsidRPr="00AC5421">
        <w:rPr>
          <w:rFonts w:ascii="Sylfaen" w:hAnsi="Sylfaen"/>
          <w:sz w:val="20"/>
          <w:szCs w:val="20"/>
          <w:lang w:val="hy-AM"/>
        </w:rPr>
        <w:t xml:space="preserve"> </w:t>
      </w:r>
    </w:p>
    <w:p w:rsidR="007E69E3" w:rsidRPr="00AC5421" w:rsidRDefault="00AC5421">
      <w:pPr>
        <w:rPr>
          <w:rFonts w:ascii="Sylfaen" w:hAnsi="Sylfaen"/>
          <w:sz w:val="20"/>
          <w:szCs w:val="20"/>
          <w:lang w:val="hy-AM"/>
        </w:rPr>
      </w:pPr>
      <w:hyperlink r:id="rId11" w:history="1">
        <w:r w:rsidR="007E69E3"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https://armstat.am/file/article/sv_01_23a_310.pdf</w:t>
        </w:r>
      </w:hyperlink>
      <w:r w:rsidR="007E69E3" w:rsidRPr="00AC5421">
        <w:rPr>
          <w:rFonts w:ascii="Sylfaen" w:hAnsi="Sylfaen"/>
          <w:sz w:val="20"/>
          <w:szCs w:val="20"/>
          <w:lang w:val="hy-AM"/>
        </w:rPr>
        <w:t xml:space="preserve"> </w:t>
      </w:r>
    </w:p>
    <w:p w:rsidR="007E69E3" w:rsidRPr="00AC5421" w:rsidRDefault="00AC5421">
      <w:pPr>
        <w:rPr>
          <w:rFonts w:ascii="Sylfaen" w:hAnsi="Sylfaen"/>
          <w:sz w:val="20"/>
          <w:szCs w:val="20"/>
          <w:lang w:val="hy-AM"/>
        </w:rPr>
      </w:pPr>
      <w:hyperlink r:id="rId12" w:history="1">
        <w:r w:rsidR="007E69E3"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https://www.cba.am/AM/pperiodicals/Stability%20report_2022.pdf</w:t>
        </w:r>
      </w:hyperlink>
      <w:r w:rsidR="007E69E3" w:rsidRPr="00AC5421">
        <w:rPr>
          <w:rFonts w:ascii="Sylfaen" w:hAnsi="Sylfaen"/>
          <w:sz w:val="20"/>
          <w:szCs w:val="20"/>
          <w:lang w:val="hy-AM"/>
        </w:rPr>
        <w:t xml:space="preserve"> </w:t>
      </w: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63 – </w:t>
      </w:r>
      <w:hyperlink r:id="rId13" w:history="1">
        <w:r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https://mineconomy.am/media/16887/4586.pdf</w:t>
        </w:r>
      </w:hyperlink>
      <w:r w:rsidRPr="00AC5421">
        <w:rPr>
          <w:rFonts w:ascii="Sylfaen" w:hAnsi="Sylfaen"/>
          <w:sz w:val="20"/>
          <w:szCs w:val="20"/>
          <w:lang w:val="hy-AM"/>
        </w:rPr>
        <w:t xml:space="preserve"> </w:t>
      </w: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>70, 71, 79 – ՏՊԿ</w:t>
      </w: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72 - </w:t>
      </w:r>
      <w:hyperlink r:id="rId14" w:history="1">
        <w:r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https://www.mlsa.am/?page_id=10224</w:t>
        </w:r>
      </w:hyperlink>
      <w:r w:rsidRPr="00AC5421">
        <w:rPr>
          <w:rFonts w:ascii="Sylfaen" w:hAnsi="Sylfaen"/>
          <w:sz w:val="20"/>
          <w:szCs w:val="20"/>
          <w:lang w:val="hy-AM"/>
        </w:rPr>
        <w:t xml:space="preserve"> </w:t>
      </w: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>73 – քո դիպլոմայինը))</w:t>
      </w: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74 - </w:t>
      </w:r>
      <w:hyperlink r:id="rId15" w:history="1">
        <w:r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https://www.arlis.am/documentview.aspx?docid=128628</w:t>
        </w:r>
      </w:hyperlink>
      <w:r w:rsidRPr="00AC5421">
        <w:rPr>
          <w:rFonts w:ascii="Sylfaen" w:hAnsi="Sylfaen"/>
          <w:sz w:val="20"/>
          <w:szCs w:val="20"/>
          <w:lang w:val="hy-AM"/>
        </w:rPr>
        <w:t xml:space="preserve"> </w:t>
      </w: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75 - </w:t>
      </w:r>
      <w:r w:rsidRPr="00AC5421">
        <w:rPr>
          <w:rFonts w:ascii="Sylfaen" w:hAnsi="Sylfaen"/>
          <w:sz w:val="20"/>
          <w:szCs w:val="20"/>
          <w:lang w:val="hy-AM"/>
        </w:rPr>
        <w:fldChar w:fldCharType="begin"/>
      </w:r>
      <w:r w:rsidRPr="00AC5421">
        <w:rPr>
          <w:rFonts w:ascii="Sylfaen" w:hAnsi="Sylfaen"/>
          <w:sz w:val="20"/>
          <w:szCs w:val="20"/>
          <w:lang w:val="hy-AM"/>
        </w:rPr>
        <w:instrText xml:space="preserve"> HYPERLINK "https://escs.am/am/news/11602 </w:instrText>
      </w:r>
    </w:p>
    <w:p w:rsidR="007E69E3" w:rsidRPr="00AC5421" w:rsidRDefault="007E69E3">
      <w:pPr>
        <w:rPr>
          <w:rStyle w:val="Hyperlink"/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instrText xml:space="preserve">76" </w:instrText>
      </w:r>
      <w:r w:rsidRPr="00AC5421">
        <w:rPr>
          <w:rFonts w:ascii="Sylfaen" w:hAnsi="Sylfaen"/>
          <w:sz w:val="20"/>
          <w:szCs w:val="20"/>
          <w:lang w:val="hy-AM"/>
        </w:rPr>
        <w:fldChar w:fldCharType="separate"/>
      </w:r>
      <w:r w:rsidRPr="00AC5421">
        <w:rPr>
          <w:rStyle w:val="Hyperlink"/>
          <w:rFonts w:ascii="Sylfaen" w:hAnsi="Sylfaen"/>
          <w:sz w:val="20"/>
          <w:szCs w:val="20"/>
          <w:lang w:val="hy-AM"/>
        </w:rPr>
        <w:t xml:space="preserve">https://escs.am/am/news/11602 </w:t>
      </w: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Style w:val="Hyperlink"/>
          <w:rFonts w:ascii="Sylfaen" w:hAnsi="Sylfaen"/>
          <w:sz w:val="20"/>
          <w:szCs w:val="20"/>
          <w:lang w:val="hy-AM"/>
        </w:rPr>
        <w:t>76</w:t>
      </w:r>
      <w:r w:rsidRPr="00AC5421">
        <w:rPr>
          <w:rFonts w:ascii="Sylfaen" w:hAnsi="Sylfaen"/>
          <w:sz w:val="20"/>
          <w:szCs w:val="20"/>
          <w:lang w:val="hy-AM"/>
        </w:rPr>
        <w:fldChar w:fldCharType="end"/>
      </w:r>
      <w:r w:rsidRPr="00AC5421">
        <w:rPr>
          <w:rFonts w:ascii="Sylfaen" w:hAnsi="Sylfaen"/>
          <w:sz w:val="20"/>
          <w:szCs w:val="20"/>
          <w:lang w:val="hy-AM"/>
        </w:rPr>
        <w:t xml:space="preserve"> - </w:t>
      </w:r>
      <w:r w:rsidRPr="00AC5421">
        <w:rPr>
          <w:rFonts w:ascii="Sylfaen" w:hAnsi="Sylfaen"/>
          <w:sz w:val="20"/>
          <w:szCs w:val="20"/>
          <w:lang w:val="hy-AM"/>
        </w:rPr>
        <w:fldChar w:fldCharType="begin"/>
      </w:r>
      <w:r w:rsidRPr="00AC5421">
        <w:rPr>
          <w:rFonts w:ascii="Sylfaen" w:hAnsi="Sylfaen"/>
          <w:sz w:val="20"/>
          <w:szCs w:val="20"/>
          <w:lang w:val="hy-AM"/>
        </w:rPr>
        <w:instrText xml:space="preserve"> HYPERLINK "https://mineconomy.am/media/16887/4586.pdf </w:instrText>
      </w:r>
    </w:p>
    <w:p w:rsidR="007E69E3" w:rsidRPr="00AC5421" w:rsidRDefault="007E69E3">
      <w:pPr>
        <w:rPr>
          <w:rStyle w:val="Hyperlink"/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instrText xml:space="preserve">77" </w:instrText>
      </w:r>
      <w:r w:rsidRPr="00AC5421">
        <w:rPr>
          <w:rFonts w:ascii="Sylfaen" w:hAnsi="Sylfaen"/>
          <w:sz w:val="20"/>
          <w:szCs w:val="20"/>
          <w:lang w:val="hy-AM"/>
        </w:rPr>
        <w:fldChar w:fldCharType="separate"/>
      </w:r>
      <w:r w:rsidRPr="00AC5421">
        <w:rPr>
          <w:rStyle w:val="Hyperlink"/>
          <w:rFonts w:ascii="Sylfaen" w:hAnsi="Sylfaen"/>
          <w:sz w:val="20"/>
          <w:szCs w:val="20"/>
          <w:lang w:val="hy-AM"/>
        </w:rPr>
        <w:t xml:space="preserve">https://mineconomy.am/media/16887/4586.pdf </w:t>
      </w: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Style w:val="Hyperlink"/>
          <w:rFonts w:ascii="Sylfaen" w:hAnsi="Sylfaen"/>
          <w:sz w:val="20"/>
          <w:szCs w:val="20"/>
          <w:lang w:val="hy-AM"/>
        </w:rPr>
        <w:t>77</w:t>
      </w:r>
      <w:r w:rsidRPr="00AC5421">
        <w:rPr>
          <w:rFonts w:ascii="Sylfaen" w:hAnsi="Sylfaen"/>
          <w:sz w:val="20"/>
          <w:szCs w:val="20"/>
          <w:lang w:val="hy-AM"/>
        </w:rPr>
        <w:fldChar w:fldCharType="end"/>
      </w:r>
      <w:r w:rsidRPr="00AC5421">
        <w:rPr>
          <w:rFonts w:ascii="Sylfaen" w:hAnsi="Sylfaen"/>
          <w:sz w:val="20"/>
          <w:szCs w:val="20"/>
          <w:lang w:val="hy-AM"/>
        </w:rPr>
        <w:t xml:space="preserve">, 78 - </w:t>
      </w:r>
      <w:hyperlink r:id="rId16" w:history="1">
        <w:r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https://www.arlis.am/documentview.aspx?docid=165211</w:t>
        </w:r>
      </w:hyperlink>
      <w:r w:rsidRPr="00AC5421">
        <w:rPr>
          <w:rFonts w:ascii="Sylfaen" w:hAnsi="Sylfaen"/>
          <w:sz w:val="20"/>
          <w:szCs w:val="20"/>
          <w:lang w:val="hy-AM"/>
        </w:rPr>
        <w:t xml:space="preserve"> </w:t>
      </w:r>
    </w:p>
    <w:p w:rsidR="007E69E3" w:rsidRPr="00AC5421" w:rsidRDefault="00AC5421">
      <w:pPr>
        <w:rPr>
          <w:rFonts w:ascii="Sylfaen" w:hAnsi="Sylfaen"/>
          <w:sz w:val="20"/>
          <w:szCs w:val="20"/>
          <w:lang w:val="hy-AM"/>
        </w:rPr>
      </w:pPr>
      <w:hyperlink r:id="rId17" w:history="1">
        <w:r w:rsidR="007E69E3"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https://www.arlis.am/documentview.aspx?docID=73271</w:t>
        </w:r>
      </w:hyperlink>
      <w:r w:rsidR="007E69E3" w:rsidRPr="00AC5421">
        <w:rPr>
          <w:rFonts w:ascii="Sylfaen" w:hAnsi="Sylfaen"/>
          <w:sz w:val="20"/>
          <w:szCs w:val="20"/>
          <w:lang w:val="hy-AM"/>
        </w:rPr>
        <w:t xml:space="preserve"> </w:t>
      </w:r>
    </w:p>
    <w:p w:rsidR="007E69E3" w:rsidRPr="00AC5421" w:rsidRDefault="007E69E3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80 - </w:t>
      </w:r>
      <w:hyperlink r:id="rId18" w:history="1">
        <w:r w:rsidRPr="00AC5421">
          <w:rPr>
            <w:rStyle w:val="Hyperlink"/>
            <w:rFonts w:ascii="Sylfaen" w:hAnsi="Sylfaen"/>
            <w:sz w:val="20"/>
            <w:szCs w:val="20"/>
            <w:lang w:val="hy-AM"/>
          </w:rPr>
          <w:t>https://etd.nla.am/4147/1/015_TATEV-SEXMAGIR.pdf</w:t>
        </w:r>
      </w:hyperlink>
      <w:r w:rsidRPr="00AC5421">
        <w:rPr>
          <w:rFonts w:ascii="Sylfaen" w:hAnsi="Sylfaen"/>
          <w:sz w:val="20"/>
          <w:szCs w:val="20"/>
          <w:lang w:val="hy-AM"/>
        </w:rPr>
        <w:t xml:space="preserve"> </w:t>
      </w:r>
    </w:p>
    <w:p w:rsidR="00173691" w:rsidRPr="00AC5421" w:rsidRDefault="00173691">
      <w:pPr>
        <w:rPr>
          <w:rFonts w:ascii="Sylfaen" w:hAnsi="Sylfaen"/>
          <w:sz w:val="20"/>
          <w:szCs w:val="20"/>
          <w:lang w:val="hy-AM"/>
        </w:rPr>
      </w:pPr>
    </w:p>
    <w:p w:rsidR="007E69E3" w:rsidRPr="00AC5421" w:rsidRDefault="007E69E3">
      <w:pPr>
        <w:rPr>
          <w:rFonts w:ascii="Sylfaen" w:eastAsiaTheme="minorEastAsia" w:hAnsi="Sylfaen"/>
          <w:b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b/>
          <w:sz w:val="20"/>
          <w:szCs w:val="20"/>
          <w:lang w:val="hy-AM"/>
        </w:rPr>
        <w:br w:type="page"/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center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b/>
          <w:sz w:val="20"/>
          <w:szCs w:val="20"/>
          <w:lang w:val="hy-AM"/>
        </w:rPr>
        <w:lastRenderedPageBreak/>
        <w:t>36.</w:t>
      </w: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Ինֆլյացիայի և գործազրկության միջև ընտրությունը կարճ և երկար ժամկետներում:  Մոդելի զարգացումները: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center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Հիստերեզիս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Ֆիլիպսի կորը ցույց է տալիս ինֆլյացիայի և գործազրկության հարաբերակցությունը և ամբողջական առաջարկի ներկայացման այլընտրանքային տարբերակն է: Այդ պատճառով էլ կարող ենք ամբողջական առաջարկի մոդելը դիտարկել որպես ֆիլիպսի կորի տեսական հիմնավորում: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Ըստ Ֆիլիպսի՝ ինֆլյացիայի մակարդակը կախված է 3 գործոնից.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ա)  սպասվող ինֆլյացիայից՝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</m:oMath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բ) պարբերաշրջանային գործազրկությունից, այսինք փաստացի և բնական գործազրկությունների շեղումից,  (ս – ս*)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գ) ամբողջական առաջարկի ցնցումներից՝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>ε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 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π = </m:t>
        </m:r>
        <m:sSup>
          <m:sSupPr>
            <m:ctrlPr>
              <w:rPr>
                <w:rFonts w:ascii="Cambria Math" w:eastAsiaTheme="minorEastAsia" w:hAnsi="Cambria Math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p>
            <m:r>
              <m:rPr>
                <m:sty m:val="p"/>
              </m:rP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–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>β (u-u*)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+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>ε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,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β </m:t>
        </m:r>
        <m:r>
          <w:rPr>
            <w:rFonts w:ascii="Cambria Math" w:eastAsiaTheme="minorEastAsia" w:hAnsi="Cambria Math"/>
            <w:sz w:val="20"/>
            <w:szCs w:val="20"/>
            <w:lang w:val="hy-AM"/>
          </w:rPr>
          <m:t>&gt;0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 (ուշադրություն դարձնել  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>β-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ից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առաջ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դրված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(-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) նշանին ) :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Ցույց տալու համար, որ ամբողջական առաջարկի հավասարումը և ֆիլիպսի կորը ըստ էության արտացոլում են նույն կախվածությունը, AS –ի հավասարումը՝ 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Y =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</m:t>
        </m:r>
        <m:bar>
          <m:barPr>
            <m:pos m:val="top"/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bar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Y</m:t>
            </m:r>
          </m:e>
        </m:bar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+ α </m:t>
        </m:r>
        <m:d>
          <m:d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d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 xml:space="preserve">P- 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0"/>
                    <w:szCs w:val="20"/>
                    <w:lang w:val="hy-AM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0"/>
                    <w:szCs w:val="20"/>
                    <w:lang w:val="hy-AM"/>
                  </w:rPr>
                  <m:t>P</m:t>
                </m:r>
              </m:e>
              <m:sup>
                <m:r>
                  <w:rPr>
                    <w:rFonts w:ascii="Cambria Math" w:eastAsiaTheme="minorEastAsia" w:hAnsi="Cambria Math"/>
                    <w:sz w:val="20"/>
                    <w:szCs w:val="20"/>
                    <w:lang w:val="hy-AM"/>
                  </w:rPr>
                  <m:t>e</m:t>
                </m:r>
              </m:sup>
            </m:sSup>
          </m:e>
        </m:d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, գրենք այսպես.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P =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P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+ </m:t>
        </m:r>
        <m:f>
          <m:f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fPr>
          <m:num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α</m:t>
            </m:r>
          </m:den>
        </m:f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( Y - </w:t>
      </w:r>
      <m:oMath>
        <m:bar>
          <m:barPr>
            <m:pos m:val="top"/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bar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Y</m:t>
            </m:r>
          </m:e>
        </m:ba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)  և հավասարման 2 մասից հանենք նախորդ տարվա գների մակարդակը՝ </w:t>
      </w:r>
      <m:oMath>
        <m:sSub>
          <m:sSub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b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P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-1</m:t>
            </m:r>
          </m:sub>
        </m:sSub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 , կստանանք .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P - </w:t>
      </w:r>
      <m:oMath>
        <m:sSub>
          <m:sSub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b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P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-1</m:t>
            </m:r>
          </m:sub>
        </m:sSub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= </m:t>
        </m:r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P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- </m:t>
        </m:r>
        <m:sSub>
          <m:sSub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b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P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-1</m:t>
            </m:r>
          </m:sub>
        </m:sSub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+ </m:t>
        </m:r>
        <m:f>
          <m:f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fPr>
          <m:num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α</m:t>
            </m:r>
          </m:den>
        </m:f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( Y - </w:t>
      </w:r>
      <m:oMath>
        <m:bar>
          <m:barPr>
            <m:pos m:val="top"/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bar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Y</m:t>
            </m:r>
          </m:e>
        </m:ba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)  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(P - </w:t>
      </w:r>
      <m:oMath>
        <m:sSub>
          <m:sSub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b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P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-1</m:t>
            </m:r>
          </m:sub>
        </m:sSub>
        <m:r>
          <w:rPr>
            <w:rFonts w:ascii="Cambria Math" w:eastAsiaTheme="minorEastAsia" w:hAnsi="Cambria Math"/>
            <w:sz w:val="20"/>
            <w:szCs w:val="20"/>
            <w:lang w:val="hy-AM"/>
          </w:rPr>
          <m:t>)-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ն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ինֆլյացիայի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տեմպն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է՝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 π</m:t>
        </m:r>
      </m:oMath>
    </w:p>
    <w:p w:rsidR="00173691" w:rsidRPr="00AC5421" w:rsidRDefault="00AC542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(P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- </m:t>
        </m:r>
        <m:sSub>
          <m:sSub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b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P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-1</m:t>
            </m:r>
          </m:sub>
        </m:sSub>
        <m:r>
          <w:rPr>
            <w:rFonts w:ascii="Cambria Math" w:eastAsiaTheme="minorEastAsia" w:hAnsi="Cambria Math"/>
            <w:sz w:val="20"/>
            <w:szCs w:val="20"/>
            <w:lang w:val="hy-AM"/>
          </w:rPr>
          <m:t>)</m:t>
        </m:r>
      </m:oMath>
      <w:r w:rsidR="00173691" w:rsidRPr="00AC5421">
        <w:rPr>
          <w:rFonts w:ascii="Sylfaen" w:eastAsiaTheme="minorEastAsia" w:hAnsi="Sylfaen"/>
          <w:i/>
          <w:sz w:val="20"/>
          <w:szCs w:val="20"/>
          <w:lang w:val="hy-AM"/>
        </w:rPr>
        <w:t xml:space="preserve">- </w:t>
      </w:r>
      <w:r w:rsidR="00173691" w:rsidRPr="00AC5421">
        <w:rPr>
          <w:rFonts w:ascii="Sylfaen" w:eastAsiaTheme="minorEastAsia" w:hAnsi="Sylfaen"/>
          <w:sz w:val="20"/>
          <w:szCs w:val="20"/>
          <w:lang w:val="hy-AM"/>
        </w:rPr>
        <w:t xml:space="preserve">ն ինֆլյացիայի սպասվող տեմպն է՝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 </m:t>
        </m:r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</m:oMath>
      <w:r w:rsidR="00173691" w:rsidRPr="00AC5421">
        <w:rPr>
          <w:rFonts w:ascii="Sylfaen" w:eastAsiaTheme="minorEastAsia" w:hAnsi="Sylfaen"/>
          <w:sz w:val="20"/>
          <w:szCs w:val="20"/>
          <w:lang w:val="hy-AM"/>
        </w:rPr>
        <w:t xml:space="preserve">, 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>π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+ </m:t>
        </m:r>
        <m:f>
          <m:f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fPr>
          <m:num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α</m:t>
            </m:r>
          </m:den>
        </m:f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( Y - </w:t>
      </w:r>
      <m:oMath>
        <m:bar>
          <m:barPr>
            <m:pos m:val="top"/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bar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Y</m:t>
            </m:r>
          </m:e>
        </m:ba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)  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Ըստ Օուկենի օրենքի կարող ենք  </w:t>
      </w:r>
      <m:oMath>
        <m:f>
          <m:f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fPr>
          <m:num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α</m:t>
            </m:r>
          </m:den>
        </m:f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( Y - </w:t>
      </w:r>
      <m:oMath>
        <m:bar>
          <m:barPr>
            <m:pos m:val="top"/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bar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Y</m:t>
            </m:r>
          </m:e>
        </m:ba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)  փոխարինել  –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>β (u-u*)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- ով: Կստանանք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π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–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>β (u-u*)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, ավելացնենք նաև գների մակարդակի վրա ազդող արտաքին գործոնը՝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 ε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– ն, կստանանք Ֆիլիպսի կորը.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>π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–</w:t>
      </w:r>
      <m:oMath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β </m:t>
        </m:r>
        <m:d>
          <m:dPr>
            <m:ctrlPr>
              <w:rPr>
                <w:rFonts w:ascii="Cambria Math" w:eastAsiaTheme="minorEastAsia" w:hAnsi="Cambria Math"/>
                <w:sz w:val="20"/>
                <w:szCs w:val="20"/>
                <w:lang w:val="hy-AM"/>
              </w:rPr>
            </m:ctrlPr>
          </m:dPr>
          <m:e>
            <m:r>
              <m:rPr>
                <m:sty m:val="p"/>
              </m:rP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u-u*</m:t>
            </m:r>
          </m:e>
        </m:d>
        <m:r>
          <w:rPr>
            <w:rFonts w:ascii="Cambria Math" w:eastAsiaTheme="minorEastAsia" w:hAnsi="Cambria Math"/>
            <w:sz w:val="20"/>
            <w:szCs w:val="20"/>
            <w:lang w:val="hy-AM"/>
          </w:rPr>
          <m:t>+ ε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,   եթե տեղի է ունենում AS –ի դրական շոկ, ապա  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ε&lt;0     </m:t>
        </m:r>
        <m:r>
          <w:rPr>
            <w:rFonts w:ascii="Sylfaen" w:eastAsiaTheme="minorEastAsia" w:hAnsi="Sylfaen" w:cs="Sylfaen"/>
            <w:sz w:val="20"/>
            <w:szCs w:val="20"/>
            <w:lang w:val="hy-AM"/>
          </w:rPr>
          <m:t>և</m:t>
        </m:r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  π  ↓ 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,  (և հակառակը):</w:t>
      </w:r>
    </w:p>
    <w:p w:rsidR="00173691" w:rsidRPr="00AC5421" w:rsidRDefault="00173691" w:rsidP="00173691">
      <w:pPr>
        <w:tabs>
          <w:tab w:val="left" w:pos="7365"/>
        </w:tabs>
        <w:spacing w:after="0" w:line="360" w:lineRule="auto"/>
        <w:jc w:val="both"/>
        <w:rPr>
          <w:rFonts w:ascii="Sylfaen" w:eastAsiaTheme="minorEastAsia" w:hAnsi="Sylfaen"/>
          <w:i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i/>
          <w:noProof/>
          <w:sz w:val="20"/>
          <w:szCs w:val="20"/>
          <w:lang w:val="hy-AM"/>
        </w:rPr>
        <w:drawing>
          <wp:anchor distT="0" distB="0" distL="114300" distR="114300" simplePos="0" relativeHeight="251659264" behindDoc="1" locked="0" layoutInCell="1" allowOverlap="1" wp14:anchorId="568634CE" wp14:editId="75A4B493">
            <wp:simplePos x="0" y="0"/>
            <wp:positionH relativeFrom="column">
              <wp:posOffset>3811</wp:posOffset>
            </wp:positionH>
            <wp:positionV relativeFrom="paragraph">
              <wp:posOffset>1271</wp:posOffset>
            </wp:positionV>
            <wp:extent cx="3676650" cy="2114972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png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87978" cy="212148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i/>
          <w:sz w:val="20"/>
          <w:szCs w:val="20"/>
          <w:lang w:val="hy-AM"/>
        </w:rPr>
        <w:t xml:space="preserve">                                        </w:t>
      </w:r>
      <m:oMath>
        <m:sSubSup>
          <m:sSub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b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1</m:t>
            </m:r>
          </m:sub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bSup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&lt; </m:t>
        </m:r>
        <m:sSubSup>
          <m:sSub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b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2</m:t>
            </m:r>
          </m:sub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bSup>
      </m:oMath>
      <w:r w:rsidRPr="00AC5421">
        <w:rPr>
          <w:rFonts w:ascii="Sylfaen" w:eastAsiaTheme="minorEastAsia" w:hAnsi="Sylfaen"/>
          <w:i/>
          <w:sz w:val="20"/>
          <w:szCs w:val="20"/>
          <w:lang w:val="hy-AM"/>
        </w:rPr>
        <w:t xml:space="preserve"> , եթե 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>ε</m:t>
        </m:r>
      </m:oMath>
      <w:r w:rsidRPr="00AC5421">
        <w:rPr>
          <w:rFonts w:ascii="Sylfaen" w:eastAsiaTheme="minorEastAsia" w:hAnsi="Sylfaen"/>
          <w:i/>
          <w:sz w:val="20"/>
          <w:szCs w:val="20"/>
          <w:lang w:val="hy-AM"/>
        </w:rPr>
        <w:t xml:space="preserve">  </w:t>
      </w:r>
      <w:r w:rsidRPr="00AC5421">
        <w:rPr>
          <w:rFonts w:ascii="Sylfaen" w:eastAsiaTheme="minorEastAsia" w:hAnsi="Sylfaen"/>
          <w:sz w:val="20"/>
          <w:szCs w:val="20"/>
          <w:lang w:val="hy-AM"/>
        </w:rPr>
        <w:t>փոփոխվում է,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ապա կորը  տեղաշարժվում է: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  <w:lang w:val="hy-AM"/>
        </w:rPr>
      </w:pP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  <w:lang w:val="hy-AM"/>
        </w:rPr>
      </w:pP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  <w:lang w:val="hy-AM"/>
        </w:rPr>
      </w:pP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lastRenderedPageBreak/>
        <w:t>Ֆիլիպսի կորը ցույց է տալիս գործազրկության և ինֆլյացիայի կապը կարճաժամկետում և չի կարող օգտագործվել երկարաժամկետ փոփոխությունները գնահատելու համար: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noProof/>
          <w:sz w:val="20"/>
          <w:szCs w:val="20"/>
          <w:lang w:val="hy-AM"/>
        </w:rPr>
        <w:drawing>
          <wp:anchor distT="0" distB="0" distL="114300" distR="114300" simplePos="0" relativeHeight="251660288" behindDoc="0" locked="0" layoutInCell="1" allowOverlap="1" wp14:anchorId="4AB06CBA" wp14:editId="6D48090A">
            <wp:simplePos x="0" y="0"/>
            <wp:positionH relativeFrom="column">
              <wp:posOffset>13335</wp:posOffset>
            </wp:positionH>
            <wp:positionV relativeFrom="paragraph">
              <wp:posOffset>1475105</wp:posOffset>
            </wp:positionV>
            <wp:extent cx="2628900" cy="1947029"/>
            <wp:effectExtent l="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2.png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35013" cy="195155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AC5421">
        <w:rPr>
          <w:rFonts w:ascii="Sylfaen" w:eastAsiaTheme="minorEastAsia" w:hAnsi="Sylfaen"/>
          <w:sz w:val="20"/>
          <w:szCs w:val="20"/>
          <w:lang w:val="hy-AM"/>
        </w:rPr>
        <w:t>AD- ն խթանելու միջոցով գործազրկության կրճատմանն ուղղված տնտեսական քաղաքականությունն արդյունավետ է այնքան ժամանակ, քա</w:t>
      </w:r>
      <w:bookmarkStart w:id="0" w:name="_GoBack"/>
      <w:bookmarkEnd w:id="0"/>
      <w:r w:rsidRPr="00AC5421">
        <w:rPr>
          <w:rFonts w:ascii="Sylfaen" w:eastAsiaTheme="minorEastAsia" w:hAnsi="Sylfaen"/>
          <w:sz w:val="20"/>
          <w:szCs w:val="20"/>
          <w:lang w:val="hy-AM"/>
        </w:rPr>
        <w:t>նի դեռ տնտեսական գործակալները չեն փոխել իրենց ինֆլյացիոն սպասումները, օրինակ չեն պահանջում անվանական աշխատավարձի բարձրացում ի պատասխան խթանող քաղաքականության արդյունքում P-ի բարձրացման: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Եթե տնտեսությունը մեկնարկում է A կետից, 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որտեղ գործազրկության մակարդակը U*  է՝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բնական գործազրկություն, 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right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ապա AD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>↑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կբերի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 xml:space="preserve"> 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Y –ի  և զբաղվածության ավելացման: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P – ն կաճի, բայց աշխատավարձը կմնա նույնը՝ պայմանագրերում ֆիքսվածի չափ (այն պայմանով, որ սպասվող ինֆլյացիան հավասար է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 </m:t>
        </m:r>
        <m:sSubSup>
          <m:sSub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b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1</m:t>
            </m:r>
          </m:sub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bSup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-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ի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):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Ձեռնարկությունների շահույթները կավելանան, ինչը շահավետ կդարձնի արտադրանքի թողարկման ավելացումը, դա կարտահայտվի տեղաշարժով A-ից B: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Սակայն, P- ի բարձրացման ֆոնին   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- </m:t>
        </m:r>
        <m:r>
          <m:rPr>
            <m:sty m:val="p"/>
          </m:rPr>
          <w:rPr>
            <w:rFonts w:ascii="Sylfaen" w:eastAsiaTheme="minorEastAsia" w:hAnsi="Sylfaen" w:cs="Sylfaen"/>
            <w:sz w:val="20"/>
            <w:szCs w:val="20"/>
            <w:lang w:val="hy-AM"/>
          </w:rPr>
          <m:t>ն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    կփոխվի, կավելանան այլ ծախսերն ու աշխատավարձերը, թողարկման ավելացման խթանները կվերանան, գործազրկությունը նորից կաճի՝ մինչև U* մակարդակ և տնտեսությունը կանցնի  Ֆիլիպսի նոր կորի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 </m:t>
        </m:r>
        <m:sSubSup>
          <m:sSub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b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π</m:t>
            </m:r>
          </m:e>
          <m:sub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2</m:t>
            </m:r>
          </m:sub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bSup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– ի պայմաններում (կորը կտեղաշարժվի աջ-վերև), իսկ տնտեսությունը կանցնի C կետին: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Մենք նորից կունենանք Y  և U*, բայց ավելի բարձր ինֆլյացիայի պայմաններում: Այսպիսով, գալիս ենք այն հետևության, որ AD –ի խթանման քաղաքականությունը միայն կարճաժամկետ էֆեկտ է տալիս: Այդ փորձերի կրկնությունը վերջին հաշվով կբերի միայն ինֆլյացիայի հետագա աճի: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noProof/>
          <w:sz w:val="20"/>
          <w:szCs w:val="20"/>
          <w:lang w:val="hy-AM" w:eastAsia="en-GB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Ռ.Լուկասը 18 երկրների փորձի ուսումնասիրության հիման վրա ցույց տվեց, որ անգամ AD-ի խթանման կարճաժամկետ էֆեկտը կանհետանա, եթե ԿԲ-ն և կառավարությունը կրկնեն տնտեսական աճի խթանման փորձերը՝ M-ի աճի միջոցով: Նա ցույց տվեց, որ համեմատաբար կայուն P ունեցող երկրներում՝ ԱՄՆ, Գերմանիա, խթանող քաղաքականությունը կարող է ունենալ նշանաակալի սկզբնական արդյունք, ավելացնել Y-ը և զբաղվածությունը, համեմատաբար ցածր ինֆլյացիայի պայմաններում: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Սակայն բարդ և անկայուն ինֆլյացիայով երկրներում՝ Արգենտինա, Պարագվայ, այդ քաղաքականությունը 0-ական արդյունք է տալիս, 0-ական իրական աճ, անվանական Y-ի աճ՝ գների մակարդակի բարձրացման հաշվին: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ind w:right="4676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Այսպիսով, երկարաժամկետում AD-ի խթանումը, որը սովորաբար 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ind w:right="4676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noProof/>
          <w:sz w:val="20"/>
          <w:szCs w:val="20"/>
          <w:lang w:val="hy-AM"/>
        </w:rPr>
        <w:drawing>
          <wp:anchor distT="0" distB="0" distL="114300" distR="114300" simplePos="0" relativeHeight="251661312" behindDoc="0" locked="0" layoutInCell="1" allowOverlap="1" wp14:anchorId="7F8FACEE" wp14:editId="45EA20AB">
            <wp:simplePos x="0" y="0"/>
            <wp:positionH relativeFrom="column">
              <wp:posOffset>3019425</wp:posOffset>
            </wp:positionH>
            <wp:positionV relativeFrom="paragraph">
              <wp:posOffset>-438150</wp:posOffset>
            </wp:positionV>
            <wp:extent cx="2847975" cy="2190750"/>
            <wp:effectExtent l="19050" t="0" r="952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3.png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7975" cy="2190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ուղեկցվում է M-ի ավելացմամբ, չի բերում գործազրկության մակարդակի կրճատման և իրական թողարկման ավելացման և ազդում է P-ի վրա, այսինքն </w:t>
      </w:r>
      <w:r w:rsidRPr="00AC5421">
        <w:rPr>
          <w:rFonts w:ascii="Sylfaen" w:eastAsiaTheme="minorEastAsia" w:hAnsi="Sylfaen"/>
          <w:sz w:val="20"/>
          <w:szCs w:val="20"/>
          <w:lang w:val="hy-AM"/>
        </w:rPr>
        <w:lastRenderedPageBreak/>
        <w:t xml:space="preserve">ֆիլիպսի կորը դառնում է ուղղահայաց՝ U*  մակարդակում:        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Ֆիլիպսի կորն իր անունը ստացել է բրիտանացի գիտնական Ա.Ֆիլիպսի անունից, որը 1958թ. բացահայտեց հակադարձ կախվածությունն անվանական աշխատավարձի աճի և գործազրկության մակարդակի աճի միջև: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Այսօր ֆիլիպսի կորը, որն օգտագործվում է, տարբերվում է իր սկզբնօրինակից 3 ուղղությամբ.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ա) աշխատավարձի աճի տեմպերը փոխարինված են ինֆլյացիայի տեմպերով,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բ) ներառված է </w:t>
      </w: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  <w:lang w:val="hy-AM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 xml:space="preserve">  π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  <w:lang w:val="hy-AM"/>
              </w:rPr>
              <m:t>e</m:t>
            </m:r>
          </m:sup>
        </m:sSup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>-ն     (շնորհիվ ֆրիդմենի և Ֆելպսի), կարևորելու համար սպասումների դերը AS –ի վերլուծություններում,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գ) ներառված է </w:t>
      </w:r>
      <m:oMath>
        <m:r>
          <w:rPr>
            <w:rFonts w:ascii="Cambria Math" w:eastAsiaTheme="minorEastAsia" w:hAnsi="Cambria Math"/>
            <w:sz w:val="20"/>
            <w:szCs w:val="20"/>
            <w:lang w:val="hy-AM"/>
          </w:rPr>
          <m:t xml:space="preserve">  </m:t>
        </m:r>
        <m:r>
          <m:rPr>
            <m:sty m:val="p"/>
          </m:rPr>
          <w:rPr>
            <w:rFonts w:ascii="Cambria Math" w:eastAsiaTheme="minorEastAsia" w:hAnsi="Cambria Math"/>
            <w:sz w:val="20"/>
            <w:szCs w:val="20"/>
            <w:lang w:val="hy-AM"/>
          </w:rPr>
          <m:t>ε</m:t>
        </m:r>
      </m:oMath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– ը, երբ 70-աակն թթ-ին OПЕК-ը բարձրացրեց նավթի համաշխարհային գները, տնտեսագետները ակսեցին մեծ ուշադրություն դարձնել տնտեսական շոկերի հետևանքներին: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</w:p>
    <w:p w:rsidR="00173691" w:rsidRPr="00AC5421" w:rsidRDefault="00173691" w:rsidP="00173691">
      <w:pPr>
        <w:tabs>
          <w:tab w:val="left" w:pos="5760"/>
        </w:tabs>
        <w:spacing w:after="0" w:line="360" w:lineRule="auto"/>
        <w:rPr>
          <w:rFonts w:ascii="Sylfaen" w:eastAsiaTheme="minorEastAsia" w:hAnsi="Sylfaen"/>
          <w:sz w:val="20"/>
          <w:szCs w:val="20"/>
          <w:lang w:val="hy-AM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  <w:lang w:val="hy-AM"/>
            </w:rPr>
            <m:t>***</m:t>
          </m:r>
        </m:oMath>
      </m:oMathPara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Տնտեսական տատանումների քննարկումները հիմնված են &lt;&lt;բնական մակարդակի վարկած&gt;&gt; անունը ստացած ենթադրության վրա, որը նշանակում է, որ AD –ի տատանումներն ազդում են միայն թողարկման և զբաղվածության </w:t>
      </w:r>
      <w:r w:rsidRPr="00AC5421">
        <w:rPr>
          <w:rFonts w:ascii="Sylfaen" w:eastAsiaTheme="minorEastAsia" w:hAnsi="Sylfaen"/>
          <w:b/>
          <w:sz w:val="20"/>
          <w:szCs w:val="20"/>
          <w:lang w:val="hy-AM"/>
        </w:rPr>
        <w:t>ընթացիկ</w:t>
      </w: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 մեծությունների վրա: Երկարաժամկետում տնտեսությունը վերադառնում է դասական մոդելով նկարագրված թողարկման, զբաղվածության և գործազրկության բնական մակարդակներին: 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&lt;&lt;Բնական մակարդակի վարկած&gt;&gt; - ը թույլ է տալիս առանձնացնել (առանձին դիտարկել) իրադարձությունները, որոնք տեղի են ունենում տնտեսությունում՝ կարճ և երկար ժամանակահատվածներում: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Մի շարք տնտեսագետներ կասկած տակ դնելով &lt;&lt;վարկածը&gt;&gt;, գտնում են, որ AD-ի տատանումները կարող են ազդել Y-ի և զբաղվածության մակարդակի վրա նաև երկարաժամկետում: Նրանք մատնացույց են անում մի շարք  մեխանիզմներ, որոնց միջոցով անկումն անուղղելի վնաս կհասցնի տնտեսությանը՝ ազդելով գործազրկության բնական մակարդակի վրա: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Հիստերեզիս – նշանակում է անցյալ իրադարձությւնների երկաարժամկետ ազդեցությունը տնտեսական փոփոխականների բնական արժեքների վրա: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Օրինակ. Անկումը կարող է ունենալ երկարատև հետևանքներ, եթե փոխվեն գործազուրկ դարձած անձանց անձնական բնութագրերը՝ որակավորման, հմտությունների կորուստ, ինչը կխանգարի աշխատանք գտնել նաև անկումից հետո: Դա կմեծացնի ֆրիկցիոն գործազրկությունը: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 xml:space="preserve">Անկման մյուս երկարատև էֆեկտն այն է, որ գործազուրկ դարձած աշխատողներն էլ չեն կարող ազդել աշխատավարձի մակարդակի սահմանման վրա (չեն լինի արհկոմի անդամ): 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t>Ինսայդերներն անընդհատ կձգտեն բարձրացնել աշխատավարձը (շահագրգռված չլինելով գործազրկության կրճատմամբ) և սպասման գործազրկությունը կավելանա:</w:t>
      </w:r>
    </w:p>
    <w:p w:rsidR="00173691" w:rsidRPr="00AC5421" w:rsidRDefault="00173691" w:rsidP="00173691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lastRenderedPageBreak/>
        <w:t>Այնուամենայնիվ, հիստերեզիսը վիճելի դրույթ է, բայց կարևոր՝ հաշվի առնելու համար:</w:t>
      </w:r>
    </w:p>
    <w:p w:rsidR="00314795" w:rsidRPr="00AC5421" w:rsidRDefault="00314795">
      <w:pPr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br w:type="page"/>
      </w:r>
    </w:p>
    <w:p w:rsidR="00173691" w:rsidRPr="00AC5421" w:rsidRDefault="00314795" w:rsidP="00314795">
      <w:pPr>
        <w:jc w:val="center"/>
        <w:rPr>
          <w:rFonts w:ascii="Sylfaen" w:hAnsi="Sylfaen"/>
          <w:b/>
          <w:sz w:val="20"/>
          <w:szCs w:val="20"/>
          <w:lang w:val="hy-AM"/>
        </w:rPr>
      </w:pPr>
      <w:r w:rsidRPr="00AC5421">
        <w:rPr>
          <w:rFonts w:ascii="Sylfaen" w:hAnsi="Sylfaen"/>
          <w:b/>
          <w:sz w:val="20"/>
          <w:szCs w:val="20"/>
          <w:lang w:val="hy-AM"/>
        </w:rPr>
        <w:lastRenderedPageBreak/>
        <w:t>9 Փոլ Ռոմերի, Յան Թինբերգենի և MRW (Մենքյու, Դ. Ռոմեր, Ուեյլ) տնտեսական աճի մոդելների ընդհանուր բնութագրերը:</w:t>
      </w:r>
    </w:p>
    <w:p w:rsidR="00314795" w:rsidRPr="00AC5421" w:rsidRDefault="00314795" w:rsidP="00314795">
      <w:pPr>
        <w:autoSpaceDE w:val="0"/>
        <w:autoSpaceDN w:val="0"/>
        <w:adjustRightInd w:val="0"/>
        <w:spacing w:after="0" w:line="360" w:lineRule="auto"/>
        <w:jc w:val="both"/>
        <w:rPr>
          <w:rFonts w:ascii="Sylfaen" w:eastAsia="Times New Roman" w:hAnsi="Sylfaen" w:cs="Arial"/>
          <w:sz w:val="20"/>
          <w:szCs w:val="20"/>
          <w:lang w:val="hy-AM"/>
        </w:rPr>
      </w:pPr>
      <w:r w:rsidRPr="00AC5421">
        <w:rPr>
          <w:rFonts w:ascii="Sylfaen" w:hAnsi="Sylfaen" w:cs="Arial"/>
          <w:noProof/>
          <w:sz w:val="20"/>
          <w:szCs w:val="20"/>
          <w:lang w:val="hy-AM"/>
        </w:rPr>
        <w:t>Արտադրության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գործոնների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ամբողջական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արտադրողականության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գնահատման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առաջին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փորձերն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առաջարկվել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են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Թինբերգենի</w:t>
      </w:r>
      <w:r w:rsidRPr="00AC5421">
        <w:rPr>
          <w:rStyle w:val="FootnoteReference"/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և Սթիգլերի  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աշխատանքներում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: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Այս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բնագավառում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լայն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տարածում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ունեն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Սոլոուի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,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Քենդրիկի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,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Դենիսոնի,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Գրիլիխեսի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ու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Ջորգենսոնի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,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Ռոբերտ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Լուկասի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, </w:t>
      </w:r>
      <w:r w:rsidRPr="00AC5421">
        <w:rPr>
          <w:rFonts w:ascii="Sylfaen" w:hAnsi="Sylfaen" w:cs="Arial"/>
          <w:noProof/>
          <w:sz w:val="20"/>
          <w:szCs w:val="20"/>
          <w:lang w:val="hy-AM"/>
        </w:rPr>
        <w:t>Գուսարովայի</w:t>
      </w:r>
      <w:r w:rsidRPr="00AC5421">
        <w:rPr>
          <w:rFonts w:ascii="Sylfaen" w:hAnsi="Sylfaen"/>
          <w:noProof/>
          <w:sz w:val="20"/>
          <w:szCs w:val="20"/>
          <w:lang w:val="hy-AM"/>
        </w:rPr>
        <w:t xml:space="preserve">, </w:t>
      </w:r>
      <w:r w:rsidRPr="00AC5421">
        <w:rPr>
          <w:rFonts w:ascii="Sylfaen" w:hAnsi="Sylfaen" w:cs="Arial"/>
          <w:bCs/>
          <w:sz w:val="20"/>
          <w:szCs w:val="20"/>
          <w:lang w:val="hy-AM"/>
        </w:rPr>
        <w:t>Ռոմերի</w:t>
      </w:r>
      <w:r w:rsidRPr="00AC5421">
        <w:rPr>
          <w:rFonts w:ascii="Sylfaen" w:hAnsi="Sylfaen"/>
          <w:bCs/>
          <w:sz w:val="20"/>
          <w:szCs w:val="20"/>
          <w:lang w:val="hy-AM"/>
        </w:rPr>
        <w:t xml:space="preserve">, </w:t>
      </w:r>
      <w:r w:rsidRPr="00AC5421">
        <w:rPr>
          <w:rFonts w:ascii="Sylfaen" w:eastAsia="Times New Roman" w:hAnsi="Sylfaen" w:cs="Arial"/>
          <w:sz w:val="20"/>
          <w:szCs w:val="20"/>
          <w:lang w:val="hy-AM"/>
        </w:rPr>
        <w:t>Ջ</w:t>
      </w:r>
      <w:r w:rsidRPr="00AC5421">
        <w:rPr>
          <w:rFonts w:ascii="Sylfaen" w:eastAsia="Times New Roman" w:hAnsi="Sylfaen" w:cs="Arial LatArm"/>
          <w:sz w:val="20"/>
          <w:szCs w:val="20"/>
          <w:lang w:val="hy-AM"/>
        </w:rPr>
        <w:t xml:space="preserve">. </w:t>
      </w:r>
      <w:r w:rsidRPr="00AC5421">
        <w:rPr>
          <w:rFonts w:ascii="Sylfaen" w:eastAsia="Times New Roman" w:hAnsi="Sylfaen" w:cs="Arial"/>
          <w:sz w:val="20"/>
          <w:szCs w:val="20"/>
          <w:lang w:val="hy-AM"/>
        </w:rPr>
        <w:t>Բրաունի</w:t>
      </w:r>
      <w:r w:rsidRPr="00AC5421">
        <w:rPr>
          <w:rFonts w:ascii="Sylfaen" w:eastAsia="Times New Roman" w:hAnsi="Sylfaen" w:cs="ArialArmenian"/>
          <w:sz w:val="20"/>
          <w:szCs w:val="20"/>
          <w:lang w:val="hy-AM"/>
        </w:rPr>
        <w:t xml:space="preserve">  </w:t>
      </w:r>
      <w:r w:rsidRPr="00AC5421">
        <w:rPr>
          <w:rFonts w:ascii="Sylfaen" w:eastAsia="Times New Roman" w:hAnsi="Sylfaen" w:cs="Arial"/>
          <w:sz w:val="20"/>
          <w:szCs w:val="20"/>
          <w:lang w:val="hy-AM"/>
        </w:rPr>
        <w:t>աշխատությունները:</w:t>
      </w:r>
    </w:p>
    <w:p w:rsidR="00314795" w:rsidRPr="00AC5421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highlight w:val="yellow"/>
          <w:lang w:val="hy-AM"/>
        </w:rPr>
      </w:pPr>
      <w:r w:rsidRPr="00AC5421">
        <w:rPr>
          <w:rFonts w:ascii="Sylfaen" w:hAnsi="Sylfaen"/>
          <w:sz w:val="20"/>
          <w:szCs w:val="20"/>
          <w:highlight w:val="yellow"/>
          <w:lang w:val="hy-AM"/>
        </w:rPr>
        <w:t xml:space="preserve">Էնդոգեն աճի տեսությունները մշակվել են 1980-ական թվականներին, որը հիմնականում պայմանավորված է այդ ժամանակահատվածում էկզոգեն աճի տեսությունների թույլ կիրառություն ունենալու հանգամանքով և առաջ քաշված նոր հարցադրումներին վերջիններիս կողմից պատասխանելու սահմանափակ հնարավորություններով, որոնցից Ջեֆրեյ Պարկերն առանձացնում է հետևյալները. </w:t>
      </w:r>
    </w:p>
    <w:p w:rsidR="00314795" w:rsidRPr="00AC5421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highlight w:val="yellow"/>
          <w:lang w:val="hy-AM"/>
        </w:rPr>
      </w:pPr>
      <w:r w:rsidRPr="00AC5421">
        <w:rPr>
          <w:rFonts w:ascii="Sylfaen" w:hAnsi="Sylfaen"/>
          <w:sz w:val="20"/>
          <w:szCs w:val="20"/>
          <w:highlight w:val="yellow"/>
          <w:lang w:val="hy-AM"/>
        </w:rPr>
        <w:t xml:space="preserve">1. Էգզոգեն աճի տեսությունները չեն պատասխանում այն հարցին, թե ինչու է տնտեսական աճի տեմպը փոփոխվում տարբեր ժամանակահատվածներում, ինչը բխում է տնտեսական աճի էկզոգեն մեկնաբանության տրամաբանությունից </w:t>
      </w:r>
    </w:p>
    <w:p w:rsidR="00314795" w:rsidRPr="00AC5421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highlight w:val="yellow"/>
          <w:lang w:val="hy-AM"/>
        </w:rPr>
      </w:pPr>
      <w:r w:rsidRPr="00AC5421">
        <w:rPr>
          <w:rFonts w:ascii="Sylfaen" w:hAnsi="Sylfaen"/>
          <w:sz w:val="20"/>
          <w:szCs w:val="20"/>
          <w:highlight w:val="yellow"/>
          <w:lang w:val="hy-AM"/>
        </w:rPr>
        <w:t>2. Էգզոգեն աճի տեսությունները հնարավորություն չեն տալիս բացահայտելու երկրների և տարածաշրջանների միջև մեկ շնչին ընկնող եկամուտների զգալի և տևական տարբերությունները</w:t>
      </w:r>
    </w:p>
    <w:p w:rsidR="00314795" w:rsidRPr="00AC5421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highlight w:val="yellow"/>
          <w:lang w:val="hy-AM"/>
        </w:rPr>
        <w:t>3. Նորդասական տեսաբանների կողմից մշակված մոդելները համապատասխան մեխանիզմներ չեն առաջարկում խնայողությունների և ներդրումների ազդեցությունը կայուն երկարաժամկետ աճի վրա բնութագրելու համար:</w:t>
      </w:r>
    </w:p>
    <w:p w:rsidR="00314795" w:rsidRPr="00AC5421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Տնտեսական աճի վրա տեխնոլոգիական գործոնի էկզոգեն տեսությունների քննադատությամբ են հանդես եկել Գրոսմանը և Հելփմանը։ Նրանք գտնում են, որ «էկզոգեն տեսությունները չեն բնորոշում իրական աշխարհի կայուն աճի մեխանիզմները»։ Հղում կատարելով մի շարք հեղինակների՝ Գրոսմանը և Հելփմանն ընդունում են, որ «տեխնոլոգիական փոփոխությունները երկարաժամկետում հանդես են գալիս որպես կենսամակարդակի բարձրացման շարժիչ ուժ»։ </w:t>
      </w:r>
      <w:r w:rsidRPr="00AC5421">
        <w:rPr>
          <w:rFonts w:ascii="Sylfaen" w:hAnsi="Sylfaen"/>
          <w:sz w:val="20"/>
          <w:szCs w:val="20"/>
          <w:highlight w:val="yellow"/>
          <w:lang w:val="hy-AM"/>
        </w:rPr>
        <w:t>Էնդոգեն աճի տեսությունները տնտեսության երկարաժամկետ աճը պայմանավորում են ներծին գործոնների ազդեցությամբ, որի ակունքներում կանգնած են Փ. Ռոմերը և Ռ. Լուկասը</w:t>
      </w:r>
      <w:r w:rsidRPr="00AC5421">
        <w:rPr>
          <w:rFonts w:ascii="Sylfaen" w:hAnsi="Sylfaen"/>
          <w:sz w:val="20"/>
          <w:szCs w:val="20"/>
          <w:lang w:val="hy-AM"/>
        </w:rPr>
        <w:t xml:space="preserve">: Ռոմերի կողմից մշակված աճի տեսության հիմքում ընկած է տեխնոլոգիական գործոնը, որն էնդոգեն փոփոխական է և հանդիսանում է տնտեսական գործակալների կողմից կայացված որոշումների արդյունք: Նա տնտեսության մեջ տեխնոլոգիական գործոնի իրացումը բաժանում է 3 հիմնական փուլերի` </w:t>
      </w:r>
    </w:p>
    <w:p w:rsidR="00314795" w:rsidRPr="00AC5421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>1. Հետազոտությունների փուլ, որտեղ նախկինում կուտակված գիտելիքները, համակցվելով առկա մարդկային կապիտալին, ի հայտ են բերում նոր գիտելիքներ,</w:t>
      </w:r>
    </w:p>
    <w:p w:rsidR="00314795" w:rsidRPr="00AC5421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 2. Միջանկյալ ապրանքների արտադրության փուլ, որտեղ նոր գիտելիքներն ունեն նյութաիրային տեսք (օրինակ` թողարկվում են արդյունաբերական նմուշներ, ապրանքային նշաններ և այլն) և, որպես կանոն, արտոնագրվում են` ապահովելով գյուտի նկատմամբ դրա սեփականատիրոջ սեփականության իրավունքի իրավական պաշտպանությունը,</w:t>
      </w:r>
    </w:p>
    <w:p w:rsidR="00314795" w:rsidRPr="00AC5421" w:rsidRDefault="00314795" w:rsidP="00314795">
      <w:pPr>
        <w:spacing w:after="0" w:line="360" w:lineRule="auto"/>
        <w:ind w:firstLine="360"/>
        <w:jc w:val="both"/>
        <w:rPr>
          <w:rFonts w:ascii="Sylfaen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lastRenderedPageBreak/>
        <w:t xml:space="preserve"> 3. Վերջնական ապրանքների արտադրության փուլ, որտեղ նախորդ փուլում ձևավորված և արտոնագրերում առարկայացած նորարարությունների ու գյուտերի, մարդկային կապիտալի և աշխատուժի համակցման միջոցով թողարկվում են վերջնական սպառման ապրանքներն ու ծառայությունները:</w:t>
      </w: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hAnsi="Sylfaen"/>
          <w:sz w:val="20"/>
          <w:szCs w:val="20"/>
          <w:lang w:val="hy-AM"/>
        </w:rPr>
        <w:t xml:space="preserve">Ռոմերի տնտեսական աճի մոդելի հիմքում ընկած է Կոբ-Դուգլասի արտադրական ֆունկցիան, որից վերջինս տարբերվում է մոդելի համար կատարված ենթադրություններով: Մասնավորապես, հեղինակն առանձնացնում է մարդկային կապիտալն աշխատուժից և գտնում, որ նոր գիտելիքների ստեղծման շարժիչ ուժը մարդկային կապիտալն է, իսկ աշխատուժին վերագրվում է բացառապես ֆիզիկական աշխատանք կատարելու հնարավորությունը: Գիտելիքները տարբերակվում են մրցակցայինի (որն առարկայանում է մարդկային կապիտալի մեջ) և ոչ մրցակցայինի (որը տեխնոլոգիական բաղադրիչն է և կարող է անվերջ աճել): Դրանք քանակապես չափվում են արտոնագրերի թվաքանակով: Մոդելի հիմնական թերություններից է տեխնոլոգիական առաջադիմություն ապահովելու գործում աշխատուժի և ֆիզիկական կապիտալի դերի անտեսումը նոր գիտելիքների ստեղծման մեջ, ինչը իրատեսական չէ, հատկապես ֆիզիկական կապիտալի մասով: Պատահական չէ երկրների կողմից հսկայածավալ ֆինանսական ռեսուրսների ուղղորդումը գիտության ոլորտ, որը գալիս է հիմնավորելու վերոնշյալ պնդումը: Չնայած որպես մոդելի առավելություն կարելի է մատնանշել միկրոմակարդակից ագրեգավորման միջոցով մակրոմոդելավորումը, այնուամենայնիվ կատարված ենթադրությունները զգալիորեն սահմանափակում են վերջինիս գործնական կիրառության ուղիները: Որպես մոդելի հիմնական սահմանափակումներ են հանդես գալիս հետևյալները` բնակչության թվաքանակը և աշխատուժի առաջարկը հաստատուն են, մարդկային կապիտալը չի փոփոխվում, այսինքն` ժամանակի ընթացքում ձեռքբերված գիտելիքներն ու փորձը հավասար են զրոյի, նոր գիտելիքների ստեղծումը պայմանավորված է բացառապես մարդկային կապիտալով: Ի տարբերություն Ռոմերի` տնտեսական աճի վրա տեխնոլոգիական գործոնի գնահատմանը` Ռ. Լուկասի աճի մոդելի հիմքում ընկած է մարդկային կապիտալը, որի կուտակումը նպաստում է ինչպես աշխատուժի, այնպես էլ ֆիզիկական կապիտալի արտադրողականության բարձրացմանը: Լուկասի առաջադրած գաղափարը զերծ չի մնացել բուռն քննադատություններից: Մասնավորապես քննադատության առարկա է դարձել այն հարցը, թե ինչ ձևով է մարդկային կապիտալն ազդում տնտեսական աճի վրա: Եթե Ռոմերի մոդելում մարդկային կապիտալի գործունեության արդյունքը այս կամ այն կերպ առարկայանում է տեխնոլոգիական գործոնի մեջ, ինչը դրսևորվում է որպես մարդկային կապիտալի գնահատման միջոց և քիչ թե շատ չափելի կամ ընկալելի դառնում, ապա մարդկային կապիտալի սահմանները, լայն իմաստով, որպես տնտեսական աճի վրա ազդող գործոն, դժվար է որոշել: Լուկասի տնտեսական աճի մոդելը ժամանակագրական առումով մի փոքր ավելի վաղ է ներկայացվել (1988թ.), քան Ռոմերի մոդելը (1990թ.), ուստի Ռոմերի մոդելը կարելի է ընդունել որպես Լուկասի մոդելի լրացված, փոքր-ինչ հստակեցված տարբերակ: Լուկասի մոդելն ունի որոշակի նմանություն Սոլոուի մոդելի հետ: Ինչպես Սոլոուի, այնպես էլ Լուկասի մոդելում տնտեսական աճի </w:t>
      </w:r>
      <w:r w:rsidRPr="00AC5421">
        <w:rPr>
          <w:rFonts w:ascii="Sylfaen" w:hAnsi="Sylfaen"/>
          <w:sz w:val="20"/>
          <w:szCs w:val="20"/>
          <w:lang w:val="hy-AM"/>
        </w:rPr>
        <w:lastRenderedPageBreak/>
        <w:t>կարևորագույն գործոն է հանդես գալիս աշխատուժի աճը, սակայն, ի տարբերություն Սոլոուի, Լուկասի մոդելում այն ոչ թե տրված, էկզոգեն, այլ էնդոգեն մեծություն է: Ենթադրվում է, որ տնտեսական համակարգի անբաժան մասը կազմող անհատները կամ տնտեսական գործակալները ձգտում են առավելագույնս արդյունավետ օգտագործել իրենց ժամանակը` բաժանելով այն երկու մասի` աշխատանքային և նոր հմտությունների ձեռքբերման ժամանակի: Վերջինիս նպատակը ապագայում աշխատանքի արտադրողականության բարձրացումն է: Լուկասի մոդելում ենթադրվում է, որ մարդկային կապիտալը գծային ֆունկցիոնալ կախվածության մեջ է ժամանակից. յուրաքանչյուր հաջորդ ժամանակային պահին կուտակված գիտելիքներն ու հմտությունները գերազանցում են նախորդ պահին կուտակված գիտելիքների ու հմտությունների մակարդակը:</w:t>
      </w: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Էնդոգեն մոդելներում փորձ է կատարվում բացատրել արտադրողականության աճի պատճառները: Այսինքն, տնտեսական աճի էնդոգեն մոդելներում A գործակիցը էնդոգեն փոփոխականն է: </w:t>
      </w: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Մենքյուի, Ռոմենի և Ուեյլի մոդելում՝ </w:t>
      </w:r>
      <w:r w:rsidRPr="00AC5421">
        <w:rPr>
          <w:rFonts w:ascii="Sylfaen" w:hAnsi="Sylfaen"/>
          <w:b/>
          <w:color w:val="000000"/>
          <w:sz w:val="20"/>
          <w:szCs w:val="20"/>
          <w:lang w:val="hy-AM"/>
        </w:rPr>
        <w:t>MRW</w:t>
      </w:r>
      <w:r w:rsidRPr="00AC5421">
        <w:rPr>
          <w:rFonts w:ascii="Sylfaen" w:hAnsi="Sylfaen"/>
          <w:color w:val="000000"/>
          <w:sz w:val="20"/>
          <w:szCs w:val="20"/>
          <w:lang w:val="hy-AM"/>
        </w:rPr>
        <w:t>, մարդկային կապիտալը, որպես փոփոխուն գործոն ներառվում է արտադրական ֆունկցիայում: MRW մոդելում մարդկային կապիտալ ասելով հասկացվում է գիտելիքի պաշարը, հմտությունները, փորձն ու մասնագիտական  որակները, որոնք կուտակվել են ուսման ընթացքում:</w:t>
      </w:r>
    </w:p>
    <w:p w:rsidR="00314795" w:rsidRPr="00AC5421" w:rsidRDefault="00314795" w:rsidP="00314795">
      <w:p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Արտադրական ֆունկցիան ունենում է այսպիսի տեսք. </w:t>
      </w:r>
    </w:p>
    <w:p w:rsidR="00314795" w:rsidRPr="00AC5421" w:rsidRDefault="00314795" w:rsidP="00314795">
      <w:pPr>
        <w:pStyle w:val="ListParagraph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Y = 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AK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</m:t>
            </m:r>
          </m:sup>
        </m:sSup>
      </m:oMath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x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L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</m:t>
            </m:r>
          </m:sup>
        </m:sSup>
      </m:oMath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  x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</m:t>
            </m:r>
          </m:sup>
        </m:sSup>
      </m:oMath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  , որտեղ</w:t>
      </w:r>
    </w:p>
    <w:p w:rsidR="00314795" w:rsidRPr="00AC5421" w:rsidRDefault="00AC5421" w:rsidP="00314795">
      <w:pPr>
        <w:pStyle w:val="ListParagraph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*</m:t>
            </m:r>
          </m:sup>
        </m:sSup>
      </m:oMath>
      <w:r w:rsidR="00314795" w:rsidRPr="00AC5421">
        <w:rPr>
          <w:rFonts w:ascii="Sylfaen" w:hAnsi="Sylfaen"/>
          <w:color w:val="000000"/>
          <w:sz w:val="20"/>
          <w:szCs w:val="20"/>
          <w:lang w:val="hy-AM"/>
        </w:rPr>
        <w:t xml:space="preserve">  = </w:t>
      </w: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3</m:t>
            </m:r>
          </m:den>
        </m:f>
      </m:oMath>
    </w:p>
    <w:p w:rsidR="00314795" w:rsidRPr="00AC5421" w:rsidRDefault="00314795" w:rsidP="00314795">
      <w:pPr>
        <w:pStyle w:val="ListParagraph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m:oMath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>H-</m:t>
        </m:r>
        <m:r>
          <m:rPr>
            <m:sty m:val="p"/>
          </m:rPr>
          <w:rPr>
            <w:rFonts w:ascii="Sylfaen" w:hAnsi="Sylfaen" w:cs="Sylfaen"/>
            <w:color w:val="000000"/>
            <w:sz w:val="20"/>
            <w:szCs w:val="20"/>
            <w:lang w:val="hy-AM"/>
          </w:rPr>
          <m:t>ը</m:t>
        </m:r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</m:t>
        </m:r>
      </m:oMath>
      <w:r w:rsidRPr="00AC5421">
        <w:rPr>
          <w:rFonts w:ascii="Sylfaen" w:hAnsi="Sylfaen"/>
          <w:color w:val="000000"/>
          <w:sz w:val="20"/>
          <w:szCs w:val="20"/>
          <w:lang w:val="hy-AM"/>
        </w:rPr>
        <w:t>մարդկային կապիտալի մեծությունն է (բարձրագույն կրթության դիպլոմ ունեցողների թիվը)</w:t>
      </w:r>
    </w:p>
    <w:p w:rsidR="00314795" w:rsidRPr="00AC5421" w:rsidRDefault="00314795" w:rsidP="00314795">
      <w:pPr>
        <w:pStyle w:val="ListParagraph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m:oMathPara>
        <m:oMathParaPr>
          <m:jc m:val="left"/>
        </m:oMathParaPr>
        <m:oMath>
          <m:r>
            <m:rPr>
              <m:sty m:val="p"/>
            </m:rPr>
            <w:rPr>
              <w:rFonts w:ascii="Cambria Math" w:hAnsi="Cambria Math"/>
              <w:color w:val="000000"/>
              <w:sz w:val="20"/>
              <w:szCs w:val="20"/>
              <w:lang w:val="hy-AM"/>
            </w:rPr>
            <m:t>L-</m:t>
          </m:r>
          <m:r>
            <m:rPr>
              <m:sty m:val="p"/>
            </m:rPr>
            <w:rPr>
              <w:rFonts w:ascii="Sylfaen" w:hAnsi="Sylfaen" w:cs="Sylfaen"/>
              <w:color w:val="000000"/>
              <w:sz w:val="20"/>
              <w:szCs w:val="20"/>
              <w:lang w:val="hy-AM"/>
            </w:rPr>
            <m:t>ը</m:t>
          </m:r>
          <m:r>
            <m:rPr>
              <m:sty m:val="p"/>
            </m:rPr>
            <w:rPr>
              <w:rFonts w:ascii="Cambria Math" w:hAnsi="Cambria Math"/>
              <w:color w:val="000000"/>
              <w:sz w:val="20"/>
              <w:szCs w:val="20"/>
              <w:lang w:val="hy-AM"/>
            </w:rPr>
            <m:t xml:space="preserve">  </m:t>
          </m:r>
          <m:r>
            <m:rPr>
              <m:sty m:val="p"/>
            </m:rPr>
            <w:rPr>
              <w:rFonts w:ascii="Sylfaen" w:hAnsi="Sylfaen" w:cs="Sylfaen"/>
              <w:color w:val="000000"/>
              <w:sz w:val="20"/>
              <w:szCs w:val="20"/>
              <w:lang w:val="hy-AM"/>
            </w:rPr>
            <m:t>տնտեսապես</m:t>
          </m:r>
          <m:r>
            <m:rPr>
              <m:sty m:val="p"/>
            </m:rPr>
            <w:rPr>
              <w:rFonts w:ascii="Cambria Math" w:hAnsi="Cambria Math"/>
              <w:color w:val="000000"/>
              <w:sz w:val="20"/>
              <w:szCs w:val="20"/>
              <w:lang w:val="hy-AM"/>
            </w:rPr>
            <m:t xml:space="preserve"> </m:t>
          </m:r>
          <m:r>
            <m:rPr>
              <m:sty m:val="p"/>
            </m:rPr>
            <w:rPr>
              <w:rFonts w:ascii="Sylfaen" w:hAnsi="Sylfaen" w:cs="Sylfaen"/>
              <w:color w:val="000000"/>
              <w:sz w:val="20"/>
              <w:szCs w:val="20"/>
              <w:lang w:val="hy-AM"/>
            </w:rPr>
            <m:t>ակտիվ</m:t>
          </m:r>
          <m:r>
            <m:rPr>
              <m:sty m:val="p"/>
            </m:rPr>
            <w:rPr>
              <w:rFonts w:ascii="Cambria Math" w:hAnsi="Cambria Math"/>
              <w:color w:val="000000"/>
              <w:sz w:val="20"/>
              <w:szCs w:val="20"/>
              <w:lang w:val="hy-AM"/>
            </w:rPr>
            <m:t xml:space="preserve"> </m:t>
          </m:r>
          <m:r>
            <m:rPr>
              <m:sty m:val="p"/>
            </m:rPr>
            <w:rPr>
              <w:rFonts w:ascii="Sylfaen" w:hAnsi="Sylfaen" w:cs="Sylfaen"/>
              <w:color w:val="000000"/>
              <w:sz w:val="20"/>
              <w:szCs w:val="20"/>
              <w:lang w:val="hy-AM"/>
            </w:rPr>
            <m:t>բնակչությունն</m:t>
          </m:r>
          <m:r>
            <m:rPr>
              <m:sty m:val="p"/>
            </m:rPr>
            <w:rPr>
              <w:rFonts w:ascii="Cambria Math" w:hAnsi="Cambria Math"/>
              <w:color w:val="000000"/>
              <w:sz w:val="20"/>
              <w:szCs w:val="20"/>
              <w:lang w:val="hy-AM"/>
            </w:rPr>
            <m:t xml:space="preserve"> </m:t>
          </m:r>
          <m:r>
            <m:rPr>
              <m:sty m:val="p"/>
            </m:rPr>
            <w:rPr>
              <w:rFonts w:ascii="Sylfaen" w:hAnsi="Sylfaen" w:cs="Sylfaen"/>
              <w:color w:val="000000"/>
              <w:sz w:val="20"/>
              <w:szCs w:val="20"/>
              <w:lang w:val="hy-AM"/>
            </w:rPr>
            <m:t>է</m:t>
          </m:r>
        </m:oMath>
      </m:oMathPara>
    </w:p>
    <w:p w:rsidR="00314795" w:rsidRPr="00AC5421" w:rsidRDefault="00314795" w:rsidP="00314795">
      <w:pPr>
        <w:pStyle w:val="ListParagraph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m:oMath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>K-</m:t>
        </m:r>
        <m:r>
          <m:rPr>
            <m:sty m:val="p"/>
          </m:rPr>
          <w:rPr>
            <w:rFonts w:ascii="Sylfaen" w:hAnsi="Sylfaen" w:cs="Sylfaen"/>
            <w:color w:val="000000"/>
            <w:sz w:val="20"/>
            <w:szCs w:val="20"/>
            <w:lang w:val="hy-AM"/>
          </w:rPr>
          <m:t>ն</m:t>
        </m:r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</m:t>
        </m:r>
        <m:r>
          <m:rPr>
            <m:sty m:val="p"/>
          </m:rPr>
          <w:rPr>
            <w:rFonts w:ascii="Sylfaen" w:hAnsi="Sylfaen" w:cs="Sylfaen"/>
            <w:color w:val="000000"/>
            <w:sz w:val="20"/>
            <w:szCs w:val="20"/>
            <w:lang w:val="hy-AM"/>
          </w:rPr>
          <m:t>կապիտալը</m:t>
        </m:r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(</m:t>
        </m:r>
        <m:r>
          <m:rPr>
            <m:sty m:val="p"/>
          </m:rPr>
          <w:rPr>
            <w:rFonts w:ascii="Sylfaen" w:hAnsi="Sylfaen" w:cs="Sylfaen"/>
            <w:color w:val="000000"/>
            <w:sz w:val="20"/>
            <w:szCs w:val="20"/>
            <w:lang w:val="hy-AM"/>
          </w:rPr>
          <m:t>ֆիզիկական</m:t>
        </m:r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)</m:t>
        </m:r>
      </m:oMath>
      <w:r w:rsidRPr="00AC5421">
        <w:rPr>
          <w:rFonts w:ascii="Sylfaen" w:hAnsi="Sylfaen"/>
          <w:color w:val="000000"/>
          <w:sz w:val="20"/>
          <w:szCs w:val="20"/>
          <w:lang w:val="hy-AM"/>
        </w:rPr>
        <w:t>:-</w:t>
      </w:r>
    </w:p>
    <w:p w:rsidR="00314795" w:rsidRPr="00AC5421" w:rsidRDefault="00314795" w:rsidP="00314795">
      <w:p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Յուրաքանչյուր գործոնի ներդրումը ՀՆԱ-ում հաշվարկվում է գործոնի սահմանային արդյունքով.</w:t>
      </w:r>
    </w:p>
    <w:p w:rsidR="00314795" w:rsidRPr="00AC5421" w:rsidRDefault="00314795" w:rsidP="00314795">
      <w:pPr>
        <w:pStyle w:val="ListParagraph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MPK = </w:t>
      </w: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3</m:t>
            </m:r>
          </m:den>
        </m:f>
      </m:oMath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 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AK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α-1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L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= </m:t>
        </m:r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3</m:t>
            </m:r>
          </m:den>
        </m:f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A (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LH</m:t>
                </m:r>
              </m:num>
              <m:den>
                <m:sSup>
                  <m:sSupPr>
                    <m:ctrl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hy-AM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hy-AM"/>
                      </w:rPr>
                      <m:t>K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hy-AM"/>
                      </w:rPr>
                      <m:t>2</m:t>
                    </m:r>
                  </m:sup>
                </m:sSup>
              </m:den>
            </m:f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 xml:space="preserve"> )</m:t>
            </m:r>
          </m:e>
          <m:sup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1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3</m:t>
                </m:r>
              </m:den>
            </m:f>
          </m:sup>
        </m:sSup>
      </m:oMath>
    </w:p>
    <w:p w:rsidR="00314795" w:rsidRPr="00AC5421" w:rsidRDefault="00314795" w:rsidP="00314795">
      <w:pPr>
        <w:pStyle w:val="ListParagraph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MPL = </w:t>
      </w: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3</m:t>
            </m:r>
          </m:den>
        </m:f>
      </m:oMath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 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AK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L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α-1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= </m:t>
        </m:r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3</m:t>
            </m:r>
          </m:den>
        </m:f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A (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KH</m:t>
                </m:r>
              </m:num>
              <m:den>
                <m:sSup>
                  <m:sSupPr>
                    <m:ctrl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hy-AM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hy-AM"/>
                      </w:rPr>
                      <m:t>L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hy-AM"/>
                      </w:rPr>
                      <m:t>2</m:t>
                    </m:r>
                  </m:sup>
                </m:sSup>
              </m:den>
            </m:f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 xml:space="preserve"> )</m:t>
            </m:r>
          </m:e>
          <m:sup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1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3</m:t>
                </m:r>
              </m:den>
            </m:f>
          </m:sup>
        </m:sSup>
      </m:oMath>
    </w:p>
    <w:p w:rsidR="00314795" w:rsidRPr="00AC5421" w:rsidRDefault="00314795" w:rsidP="00314795">
      <w:pPr>
        <w:pStyle w:val="ListParagraph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MPH = </w:t>
      </w: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3</m:t>
            </m:r>
          </m:den>
        </m:f>
      </m:oMath>
      <w:r w:rsidRPr="00AC5421">
        <w:rPr>
          <w:rFonts w:ascii="Sylfaen" w:hAnsi="Sylfaen"/>
          <w:color w:val="000000"/>
          <w:sz w:val="20"/>
          <w:szCs w:val="20"/>
          <w:lang w:val="hy-AM"/>
        </w:rPr>
        <w:t xml:space="preserve">  </w:t>
      </w:r>
      <m:oMath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AK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L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α-1</m:t>
            </m:r>
          </m:sup>
        </m:sSup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= </m:t>
        </m:r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3</m:t>
            </m:r>
          </m:den>
        </m:f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 A (  </m:t>
        </m:r>
        <m:sSup>
          <m:sSup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sSupPr>
          <m:e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LK</m:t>
                </m:r>
              </m:num>
              <m:den>
                <m:sSup>
                  <m:sSupPr>
                    <m:ctrl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hy-AM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hy-AM"/>
                      </w:rPr>
                      <m:t>H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color w:val="000000"/>
                        <w:sz w:val="20"/>
                        <w:szCs w:val="20"/>
                        <w:lang w:val="hy-AM"/>
                      </w:rPr>
                      <m:t>2</m:t>
                    </m:r>
                  </m:sup>
                </m:sSup>
              </m:den>
            </m:f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 xml:space="preserve"> )</m:t>
            </m:r>
          </m:e>
          <m:sup>
            <m:f>
              <m:fPr>
                <m:ctrl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1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3</m:t>
                </m:r>
              </m:den>
            </m:f>
          </m:sup>
        </m:sSup>
      </m:oMath>
    </w:p>
    <w:p w:rsidR="00314795" w:rsidRPr="00AC5421" w:rsidRDefault="00314795" w:rsidP="00314795">
      <w:p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Նշված բանաձևերի հիման վրա կարող ենք հաշվարկել բարձրագույնի դիպլոմ ունեցող աշխատողների՝ H , միջին աշխատավարձի և բոլոր աշխատողների՝ L , միջին աշխատավարձի հարաբերակցությունը.</w:t>
      </w:r>
    </w:p>
    <w:p w:rsidR="00314795" w:rsidRPr="00AC5421" w:rsidRDefault="00AC5421" w:rsidP="00314795">
      <w:pPr>
        <w:pStyle w:val="ListParagraph"/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W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H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W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color w:val="000000"/>
                    <w:sz w:val="20"/>
                    <w:szCs w:val="20"/>
                    <w:lang w:val="hy-AM"/>
                  </w:rPr>
                  <m:t>L</m:t>
                </m:r>
              </m:sub>
            </m:sSub>
          </m:den>
        </m:f>
      </m:oMath>
      <w:r w:rsidR="00314795" w:rsidRPr="00AC5421">
        <w:rPr>
          <w:rFonts w:ascii="Sylfaen" w:hAnsi="Sylfaen"/>
          <w:color w:val="000000"/>
          <w:sz w:val="20"/>
          <w:szCs w:val="20"/>
          <w:lang w:val="hy-AM"/>
        </w:rPr>
        <w:t xml:space="preserve">  = </w:t>
      </w:r>
      <m:oMath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MPH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MPL</m:t>
            </m:r>
          </m:den>
        </m:f>
        <m:r>
          <m:rPr>
            <m:sty m:val="p"/>
          </m:rPr>
          <w:rPr>
            <w:rFonts w:ascii="Cambria Math" w:hAnsi="Cambria Math"/>
            <w:color w:val="000000"/>
            <w:sz w:val="20"/>
            <w:szCs w:val="20"/>
            <w:lang w:val="hy-AM"/>
          </w:rPr>
          <m:t xml:space="preserve"> = </m:t>
        </m:r>
        <m:f>
          <m:fPr>
            <m:ctrl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L</m:t>
            </m:r>
          </m:num>
          <m:den>
            <m:r>
              <m:rPr>
                <m:sty m:val="p"/>
              </m:rPr>
              <w:rPr>
                <w:rFonts w:ascii="Cambria Math" w:hAnsi="Cambria Math"/>
                <w:color w:val="000000"/>
                <w:sz w:val="20"/>
                <w:szCs w:val="20"/>
                <w:lang w:val="hy-AM"/>
              </w:rPr>
              <m:t>H</m:t>
            </m:r>
          </m:den>
        </m:f>
      </m:oMath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lastRenderedPageBreak/>
        <w:t>Այս հավասարումը ցույց է տալիս, թե ինչու եկամուտների ավելի մեծ անհավասարություն կա զարգացող և ոչ թե զարգացած երկրներում: Աշխատավարձերի հարաբերակցությունն ավելանում է, երբ L-ը աճում է, իսկ H-ը ոչ: Եթե զարգացած երկրները մարդկային կապիտալը կուտակեն ավելի արագ, քան զարգացող երկրները, ապա եկամուտների անհավասարությունն այդ երկու խումբ երկրների միջև կմեծանա: Եթե անգամ K և L գործոնները չեն ավելանում, ապա A-ի ավելացումը կարող է ապահովել ավելի բարձր տնտեսական աճ:</w:t>
      </w:r>
    </w:p>
    <w:p w:rsidR="00314795" w:rsidRPr="00AC5421" w:rsidRDefault="00314795" w:rsidP="00314795">
      <w:pPr>
        <w:tabs>
          <w:tab w:val="left" w:pos="567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ab/>
        <w:t>Տնտեսական աճի էնդոգեն մոդելներում ենթադրվում  է, որ կապիտալի սահմանային արդյունքը կայուն է:</w:t>
      </w: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Ենթադրվում է նաև, որ ֆիզիկական կապիտալի աճի պայմաններում ներդրումները մարդկային կապիտալում ավելանում են նույն համամասնությամբ, ինչը բխում է MPK –ի կայունության ժամանակի ընթացքում: Միևնույն ժամանակ, աճող տնտեսությունում ֆիրմաներն ավելի շատ են ներդնում գիտահետազոտական մշակումներում, ինչը մեծացնում է գիտելիքի, նոր տեխնոլոգիաների և այլնի պաշարը: Ներդրվում են նաև տեխնոլոգիական նորամուծությունները, ինչն իր հերթին թույլ չի տալիս, որ MPK-ն նվազի:</w:t>
      </w: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Այս մոդելների կարևոր հետևությունն այն է, որ մարդկային կապիտալում ներդրումները թույլ են տալիս ապահովել կայուն տնտեսական աճ: Պետությունը խթանելով խնայողությունները, կարող է նպաստել մարդկային և ֆիզիկական կապիտալի կուտակմանը:</w:t>
      </w: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Տնտեսական աճի ժամանակակից օրինաչափությունները ձևակերպվել են համաշխարհային բանկի մասնագետներ Ու. Իստերլիի և Ռ.Լևինի կողմից                    2000թ-ին:</w:t>
      </w:r>
    </w:p>
    <w:p w:rsidR="00314795" w:rsidRPr="00AC5421" w:rsidRDefault="00314795" w:rsidP="00314795">
      <w:pPr>
        <w:pStyle w:val="ListParagraph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Կապիտալի կուտակումն անընդհատ և կայուն է ժամաանկի մեջ,</w:t>
      </w:r>
    </w:p>
    <w:p w:rsidR="00314795" w:rsidRPr="00AC5421" w:rsidRDefault="00314795" w:rsidP="00314795">
      <w:pPr>
        <w:pStyle w:val="ListParagraph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Արտադրության բոլոր գործոններն ավելանում են միաժամանակ, ինչն արտացոլում է դրանց փոխազդեցությունը և արտաքին էֆեկտները,</w:t>
      </w:r>
    </w:p>
    <w:p w:rsidR="00314795" w:rsidRPr="00AC5421" w:rsidRDefault="00314795" w:rsidP="00314795">
      <w:pPr>
        <w:pStyle w:val="ListParagraph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Արտադրության գործոնների կուտակումը թույլ չի տալիս բացատրել տարբեր երկրներում տնտեսական աճի տարբերությունները,</w:t>
      </w:r>
    </w:p>
    <w:p w:rsidR="00314795" w:rsidRPr="00AC5421" w:rsidRDefault="00314795" w:rsidP="00314795">
      <w:pPr>
        <w:pStyle w:val="ListParagraph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Տնտեսական աճի տարբերությունները տարբեր երկրներում բացատրվում են աշխատանքի արտադրողականության տարբերություններով,</w:t>
      </w:r>
    </w:p>
    <w:p w:rsidR="00314795" w:rsidRPr="00AC5421" w:rsidRDefault="00314795" w:rsidP="00314795">
      <w:pPr>
        <w:pStyle w:val="ListParagraph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Աշխատանքի արտադրողականությունը հիմնականում կապված է նորամուծությունների հետ,</w:t>
      </w:r>
    </w:p>
    <w:p w:rsidR="00314795" w:rsidRPr="00AC5421" w:rsidRDefault="00314795" w:rsidP="00314795">
      <w:pPr>
        <w:pStyle w:val="ListParagraph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Պետության տնտեսական քաղաքականությունը որոշում է երկարաժամկետ տնտեսական աճը,</w:t>
      </w:r>
    </w:p>
    <w:p w:rsidR="00314795" w:rsidRPr="00AC5421" w:rsidRDefault="00314795" w:rsidP="00314795">
      <w:pPr>
        <w:pStyle w:val="ListParagraph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Տնտեսական աճը կայուն չէ ժամանակի մեջ և տարբերվում է մի երկրից մյուսին անցնելիս,</w:t>
      </w:r>
    </w:p>
    <w:p w:rsidR="00314795" w:rsidRPr="00AC5421" w:rsidRDefault="00314795" w:rsidP="00314795">
      <w:pPr>
        <w:pStyle w:val="ListParagraph"/>
        <w:numPr>
          <w:ilvl w:val="0"/>
          <w:numId w:val="13"/>
        </w:numPr>
        <w:tabs>
          <w:tab w:val="left" w:pos="5760"/>
        </w:tabs>
        <w:spacing w:line="360" w:lineRule="auto"/>
        <w:jc w:val="both"/>
        <w:rPr>
          <w:rFonts w:ascii="Sylfaen" w:hAnsi="Sylfaen"/>
          <w:color w:val="000000"/>
          <w:sz w:val="20"/>
          <w:szCs w:val="20"/>
          <w:lang w:val="hy-AM"/>
        </w:rPr>
      </w:pPr>
      <w:r w:rsidRPr="00AC5421">
        <w:rPr>
          <w:rFonts w:ascii="Sylfaen" w:hAnsi="Sylfaen"/>
          <w:color w:val="000000"/>
          <w:sz w:val="20"/>
          <w:szCs w:val="20"/>
          <w:lang w:val="hy-AM"/>
        </w:rPr>
        <w:t>Երկար ժամկետում տեղի է ունենում երկրների դիվերգենցիա՝ 1 շնչին ընկնող ՀՆԱ-ի գծով:</w:t>
      </w: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</w:p>
    <w:p w:rsidR="00314795" w:rsidRPr="00AC5421" w:rsidRDefault="00314795">
      <w:pPr>
        <w:rPr>
          <w:rFonts w:ascii="Sylfaen" w:eastAsiaTheme="minorEastAsia" w:hAnsi="Sylfaen"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sz w:val="20"/>
          <w:szCs w:val="20"/>
          <w:lang w:val="hy-AM"/>
        </w:rPr>
        <w:br w:type="page"/>
      </w: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b/>
          <w:sz w:val="20"/>
          <w:szCs w:val="20"/>
          <w:lang w:val="hy-AM"/>
        </w:rPr>
      </w:pPr>
      <w:r w:rsidRPr="00AC5421">
        <w:rPr>
          <w:rFonts w:ascii="Sylfaen" w:eastAsiaTheme="minorEastAsia" w:hAnsi="Sylfaen"/>
          <w:b/>
          <w:sz w:val="20"/>
          <w:szCs w:val="20"/>
          <w:lang w:val="hy-AM"/>
        </w:rPr>
        <w:lastRenderedPageBreak/>
        <w:t>8 Տնտեսական աճի ցուցանիշները: Տնտեսական աճի վրա ազդող գործոնները:</w:t>
      </w:r>
    </w:p>
    <w:tbl>
      <w:tblPr>
        <w:tblW w:w="0" w:type="auto"/>
        <w:tblInd w:w="-459" w:type="dxa"/>
        <w:tblLook w:val="04A0" w:firstRow="1" w:lastRow="0" w:firstColumn="1" w:lastColumn="0" w:noHBand="0" w:noVBand="1"/>
      </w:tblPr>
      <w:tblGrid>
        <w:gridCol w:w="5019"/>
        <w:gridCol w:w="4444"/>
      </w:tblGrid>
      <w:tr w:rsidR="00314795" w:rsidRPr="00AC5421" w:rsidTr="00314795">
        <w:tc>
          <w:tcPr>
            <w:tcW w:w="5019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Դրական գործոններ</w:t>
            </w:r>
          </w:p>
        </w:tc>
        <w:tc>
          <w:tcPr>
            <w:tcW w:w="4444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Բացասական գործոններ</w:t>
            </w:r>
          </w:p>
        </w:tc>
      </w:tr>
      <w:tr w:rsidR="00314795" w:rsidRPr="00AC5421" w:rsidTr="00314795">
        <w:tc>
          <w:tcPr>
            <w:tcW w:w="9463" w:type="dxa"/>
            <w:gridSpan w:val="2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Մակրոտնտեսական գործոններ</w:t>
            </w:r>
          </w:p>
        </w:tc>
      </w:tr>
      <w:tr w:rsidR="00314795" w:rsidRPr="00AC5421" w:rsidTr="00314795">
        <w:trPr>
          <w:trHeight w:val="1317"/>
        </w:trPr>
        <w:tc>
          <w:tcPr>
            <w:tcW w:w="5019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Հումքային ճյուղերի բաժինը ՀՆԱ-ում, ներդրումների բաժինը ՀՆԱ-ում</w:t>
            </w:r>
          </w:p>
        </w:tc>
        <w:tc>
          <w:tcPr>
            <w:tcW w:w="4444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Բարձր ինֆլյացիա, եկամտի սկզբնական բարձր մակարդակ</w:t>
            </w:r>
          </w:p>
        </w:tc>
      </w:tr>
      <w:tr w:rsidR="00314795" w:rsidRPr="00AC5421" w:rsidTr="00314795">
        <w:tc>
          <w:tcPr>
            <w:tcW w:w="9463" w:type="dxa"/>
            <w:gridSpan w:val="2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Պետության դերը</w:t>
            </w:r>
          </w:p>
        </w:tc>
      </w:tr>
      <w:tr w:rsidR="00314795" w:rsidRPr="00AC5421" w:rsidTr="00314795">
        <w:tc>
          <w:tcPr>
            <w:tcW w:w="5019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Ենթակառուցվածքի զարգացման մակարդակը, մարդու իրավունքների պաշտպանվածությունը</w:t>
            </w:r>
          </w:p>
        </w:tc>
        <w:tc>
          <w:tcPr>
            <w:tcW w:w="4444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Պետության գերիշխող դիրքը ֆինանսական շուկաներում, պետբյուջեի դեֆիցիտը, պետական ծախսերի բարձր մակարդակը, քաղաքական անկայունությունը, կոռուպցիան</w:t>
            </w:r>
          </w:p>
        </w:tc>
      </w:tr>
      <w:tr w:rsidR="00314795" w:rsidRPr="00AC5421" w:rsidTr="00314795">
        <w:tc>
          <w:tcPr>
            <w:tcW w:w="9463" w:type="dxa"/>
            <w:gridSpan w:val="2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Ժողովրդագրական իրավիճակ</w:t>
            </w:r>
          </w:p>
        </w:tc>
      </w:tr>
      <w:tr w:rsidR="00314795" w:rsidRPr="00AC5421" w:rsidTr="00314795">
        <w:trPr>
          <w:trHeight w:val="1767"/>
        </w:trPr>
        <w:tc>
          <w:tcPr>
            <w:tcW w:w="5019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 xml:space="preserve">Բնակչության առողջության մակարդակը, զբաղվածության մակարդակը, </w:t>
            </w:r>
          </w:p>
        </w:tc>
        <w:tc>
          <w:tcPr>
            <w:tcW w:w="4444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Բնակչության աճի բարձր տեմպը, երիտասարդ բնակչությունը (աշխատանքային ռեսուրսների ցածր բաժինը)</w:t>
            </w:r>
          </w:p>
        </w:tc>
      </w:tr>
      <w:tr w:rsidR="00314795" w:rsidRPr="00AC5421" w:rsidTr="00314795">
        <w:tc>
          <w:tcPr>
            <w:tcW w:w="9463" w:type="dxa"/>
            <w:gridSpan w:val="2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Կրթությունը</w:t>
            </w:r>
          </w:p>
        </w:tc>
      </w:tr>
      <w:tr w:rsidR="00314795" w:rsidRPr="00AC5421" w:rsidTr="00314795">
        <w:tc>
          <w:tcPr>
            <w:tcW w:w="5019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Կրթության ընդհանուր մակարդակը, ինժեներական մասնագիտացումների ուսանողների մեծ բաժինը</w:t>
            </w:r>
          </w:p>
        </w:tc>
        <w:tc>
          <w:tcPr>
            <w:tcW w:w="4444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Կանանց կրթությունը, իրավաբանակնա մասնագիտացումների ուսանողների մեծ բաժինը</w:t>
            </w:r>
          </w:p>
        </w:tc>
      </w:tr>
      <w:tr w:rsidR="00314795" w:rsidRPr="00AC5421" w:rsidTr="00314795">
        <w:tc>
          <w:tcPr>
            <w:tcW w:w="9463" w:type="dxa"/>
            <w:gridSpan w:val="2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Արտաքին տնտեսական գործոնները</w:t>
            </w:r>
          </w:p>
        </w:tc>
      </w:tr>
      <w:tr w:rsidR="00314795" w:rsidRPr="00AC5421" w:rsidTr="00314795">
        <w:tc>
          <w:tcPr>
            <w:tcW w:w="5019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Տնտեսական աճի բարձր տեմպերը G7 երկրներում, տնտեսության բացությունը, արտաքին առևտրային պայմանների բարելավումը, ցածր փոխանակային կուրսը, տրանսֆերտները արտասահմանից</w:t>
            </w:r>
          </w:p>
        </w:tc>
        <w:tc>
          <w:tcPr>
            <w:tcW w:w="4444" w:type="dxa"/>
          </w:tcPr>
          <w:p w:rsidR="00314795" w:rsidRPr="00AC5421" w:rsidRDefault="00314795" w:rsidP="007E69E3">
            <w:pPr>
              <w:pStyle w:val="ListParagraph"/>
              <w:tabs>
                <w:tab w:val="left" w:pos="5760"/>
              </w:tabs>
              <w:spacing w:line="360" w:lineRule="auto"/>
              <w:ind w:left="0"/>
              <w:jc w:val="center"/>
              <w:rPr>
                <w:rFonts w:ascii="Sylfaen" w:hAnsi="Sylfaen"/>
                <w:color w:val="000000"/>
                <w:sz w:val="20"/>
                <w:szCs w:val="20"/>
                <w:lang w:val="hy-AM"/>
              </w:rPr>
            </w:pPr>
            <w:r w:rsidRPr="00AC5421">
              <w:rPr>
                <w:rFonts w:ascii="Sylfaen" w:hAnsi="Sylfaen"/>
                <w:color w:val="000000"/>
                <w:sz w:val="20"/>
                <w:szCs w:val="20"/>
                <w:lang w:val="hy-AM"/>
              </w:rPr>
              <w:t>Արտաքին պարտքի չափը, փոխարժեքի տատանողականությունը, բարձր փոխարժեքը</w:t>
            </w:r>
          </w:p>
        </w:tc>
      </w:tr>
    </w:tbl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</w:p>
    <w:p w:rsidR="00314795" w:rsidRPr="00AC5421" w:rsidRDefault="00314795" w:rsidP="00314795">
      <w:pPr>
        <w:tabs>
          <w:tab w:val="left" w:pos="5760"/>
        </w:tabs>
        <w:spacing w:after="0" w:line="360" w:lineRule="auto"/>
        <w:jc w:val="both"/>
        <w:rPr>
          <w:rFonts w:ascii="Sylfaen" w:eastAsiaTheme="minorEastAsia" w:hAnsi="Sylfaen"/>
          <w:sz w:val="20"/>
          <w:szCs w:val="20"/>
          <w:lang w:val="hy-AM"/>
        </w:rPr>
      </w:pPr>
    </w:p>
    <w:p w:rsidR="00314795" w:rsidRPr="00AC5421" w:rsidRDefault="00314795" w:rsidP="00314795">
      <w:pPr>
        <w:jc w:val="center"/>
        <w:rPr>
          <w:rFonts w:ascii="Sylfaen" w:hAnsi="Sylfaen"/>
          <w:b/>
          <w:sz w:val="20"/>
          <w:szCs w:val="20"/>
          <w:lang w:val="hy-AM"/>
        </w:rPr>
      </w:pPr>
    </w:p>
    <w:sectPr w:rsidR="00314795" w:rsidRPr="00AC5421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LatArm">
    <w:charset w:val="00"/>
    <w:family w:val="swiss"/>
    <w:pitch w:val="variable"/>
    <w:sig w:usb0="00000003" w:usb1="00000000" w:usb2="00000000" w:usb3="00000000" w:csb0="00000001" w:csb1="00000000"/>
  </w:font>
  <w:font w:name="ArialArmenian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5C7529"/>
    <w:multiLevelType w:val="hybridMultilevel"/>
    <w:tmpl w:val="CD222E80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032978D9"/>
    <w:multiLevelType w:val="hybridMultilevel"/>
    <w:tmpl w:val="BD0E75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CDF03A8"/>
    <w:multiLevelType w:val="hybridMultilevel"/>
    <w:tmpl w:val="0660E7D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4610A78"/>
    <w:multiLevelType w:val="hybridMultilevel"/>
    <w:tmpl w:val="BD0E75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5656CA3"/>
    <w:multiLevelType w:val="hybridMultilevel"/>
    <w:tmpl w:val="BD0E75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8BB03D0"/>
    <w:multiLevelType w:val="hybridMultilevel"/>
    <w:tmpl w:val="F3384914"/>
    <w:lvl w:ilvl="0" w:tplc="63E0F3B4">
      <w:start w:val="1"/>
      <w:numFmt w:val="decimal"/>
      <w:lvlText w:val="(%1)"/>
      <w:lvlJc w:val="left"/>
      <w:pPr>
        <w:ind w:left="720" w:hanging="360"/>
      </w:pPr>
      <w:rPr>
        <w:rFonts w:ascii="Sylfaen" w:hAnsi="Sylfae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A7249FC"/>
    <w:multiLevelType w:val="hybridMultilevel"/>
    <w:tmpl w:val="37621F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B02225"/>
    <w:multiLevelType w:val="hybridMultilevel"/>
    <w:tmpl w:val="4970DD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2525B1D"/>
    <w:multiLevelType w:val="hybridMultilevel"/>
    <w:tmpl w:val="49B6497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46459A3"/>
    <w:multiLevelType w:val="hybridMultilevel"/>
    <w:tmpl w:val="0854C7E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5770B57"/>
    <w:multiLevelType w:val="hybridMultilevel"/>
    <w:tmpl w:val="64A0E6F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CC25C3C"/>
    <w:multiLevelType w:val="hybridMultilevel"/>
    <w:tmpl w:val="24F67EF4"/>
    <w:lvl w:ilvl="0" w:tplc="83E43718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6FD5576"/>
    <w:multiLevelType w:val="hybridMultilevel"/>
    <w:tmpl w:val="C6F4F9D6"/>
    <w:lvl w:ilvl="0" w:tplc="EB248350">
      <w:start w:val="1"/>
      <w:numFmt w:val="decimal"/>
      <w:lvlText w:val="%1."/>
      <w:lvlJc w:val="left"/>
      <w:pPr>
        <w:ind w:left="720" w:hanging="360"/>
      </w:pPr>
      <w:rPr>
        <w:rFonts w:ascii="Sylfaen" w:hAnsi="Sylfaen" w:cs="Sylfaen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1FA58B9"/>
    <w:multiLevelType w:val="hybridMultilevel"/>
    <w:tmpl w:val="DE0CF40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D9351FE"/>
    <w:multiLevelType w:val="hybridMultilevel"/>
    <w:tmpl w:val="1698276E"/>
    <w:lvl w:ilvl="0" w:tplc="59F0B026">
      <w:start w:val="1"/>
      <w:numFmt w:val="decimal"/>
      <w:lvlText w:val="%1."/>
      <w:lvlJc w:val="left"/>
      <w:pPr>
        <w:ind w:left="1080" w:hanging="720"/>
      </w:pPr>
      <w:rPr>
        <w:rFonts w:ascii="Sylfaen" w:hAnsi="Sylfaen" w:hint="default"/>
        <w:sz w:val="24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F007FE1"/>
    <w:multiLevelType w:val="hybridMultilevel"/>
    <w:tmpl w:val="84981F4E"/>
    <w:lvl w:ilvl="0" w:tplc="EB248350">
      <w:start w:val="1"/>
      <w:numFmt w:val="decimal"/>
      <w:lvlText w:val="%1."/>
      <w:lvlJc w:val="left"/>
      <w:pPr>
        <w:ind w:left="720" w:hanging="360"/>
      </w:pPr>
      <w:rPr>
        <w:rFonts w:ascii="Sylfaen" w:hAnsi="Sylfaen" w:cs="Sylfaen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3D305EB"/>
    <w:multiLevelType w:val="hybridMultilevel"/>
    <w:tmpl w:val="5F9C665C"/>
    <w:lvl w:ilvl="0" w:tplc="EB248350">
      <w:start w:val="1"/>
      <w:numFmt w:val="decimal"/>
      <w:lvlText w:val="%1."/>
      <w:lvlJc w:val="left"/>
      <w:pPr>
        <w:ind w:left="720" w:hanging="360"/>
      </w:pPr>
      <w:rPr>
        <w:rFonts w:ascii="Sylfaen" w:hAnsi="Sylfaen" w:cs="Sylfaen"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AE71438"/>
    <w:multiLevelType w:val="hybridMultilevel"/>
    <w:tmpl w:val="BD0E75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D653BEF"/>
    <w:multiLevelType w:val="hybridMultilevel"/>
    <w:tmpl w:val="BD0E75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0073A5A"/>
    <w:multiLevelType w:val="hybridMultilevel"/>
    <w:tmpl w:val="57F6E05E"/>
    <w:lvl w:ilvl="0" w:tplc="F692F1EA">
      <w:start w:val="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27143E4"/>
    <w:multiLevelType w:val="hybridMultilevel"/>
    <w:tmpl w:val="BE16CEAA"/>
    <w:lvl w:ilvl="0" w:tplc="4F0E405E">
      <w:start w:val="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7947163"/>
    <w:multiLevelType w:val="hybridMultilevel"/>
    <w:tmpl w:val="C626144C"/>
    <w:lvl w:ilvl="0" w:tplc="12E64F2C">
      <w:start w:val="1"/>
      <w:numFmt w:val="decimal"/>
      <w:lvlText w:val="(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2" w15:restartNumberingAfterBreak="0">
    <w:nsid w:val="6806039B"/>
    <w:multiLevelType w:val="hybridMultilevel"/>
    <w:tmpl w:val="DDDA9EC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48C5FC5"/>
    <w:multiLevelType w:val="hybridMultilevel"/>
    <w:tmpl w:val="39F4D98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8603AFB"/>
    <w:multiLevelType w:val="hybridMultilevel"/>
    <w:tmpl w:val="F1B8AA3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B036AAB"/>
    <w:multiLevelType w:val="hybridMultilevel"/>
    <w:tmpl w:val="1A88233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CAF20BE"/>
    <w:multiLevelType w:val="hybridMultilevel"/>
    <w:tmpl w:val="B6B0EC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F3851E6"/>
    <w:multiLevelType w:val="hybridMultilevel"/>
    <w:tmpl w:val="F2404A5A"/>
    <w:lvl w:ilvl="0" w:tplc="15D616E0">
      <w:start w:val="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5"/>
  </w:num>
  <w:num w:numId="3">
    <w:abstractNumId w:val="21"/>
  </w:num>
  <w:num w:numId="4">
    <w:abstractNumId w:val="25"/>
  </w:num>
  <w:num w:numId="5">
    <w:abstractNumId w:val="23"/>
  </w:num>
  <w:num w:numId="6">
    <w:abstractNumId w:val="11"/>
  </w:num>
  <w:num w:numId="7">
    <w:abstractNumId w:val="22"/>
  </w:num>
  <w:num w:numId="8">
    <w:abstractNumId w:val="2"/>
  </w:num>
  <w:num w:numId="9">
    <w:abstractNumId w:val="13"/>
  </w:num>
  <w:num w:numId="10">
    <w:abstractNumId w:val="19"/>
  </w:num>
  <w:num w:numId="11">
    <w:abstractNumId w:val="27"/>
  </w:num>
  <w:num w:numId="12">
    <w:abstractNumId w:val="20"/>
  </w:num>
  <w:num w:numId="13">
    <w:abstractNumId w:val="0"/>
  </w:num>
  <w:num w:numId="14">
    <w:abstractNumId w:val="14"/>
  </w:num>
  <w:num w:numId="15">
    <w:abstractNumId w:val="10"/>
  </w:num>
  <w:num w:numId="16">
    <w:abstractNumId w:val="24"/>
  </w:num>
  <w:num w:numId="17">
    <w:abstractNumId w:val="9"/>
  </w:num>
  <w:num w:numId="18">
    <w:abstractNumId w:val="7"/>
  </w:num>
  <w:num w:numId="19">
    <w:abstractNumId w:val="15"/>
  </w:num>
  <w:num w:numId="20">
    <w:abstractNumId w:val="12"/>
  </w:num>
  <w:num w:numId="21">
    <w:abstractNumId w:val="16"/>
  </w:num>
  <w:num w:numId="22">
    <w:abstractNumId w:val="17"/>
  </w:num>
  <w:num w:numId="23">
    <w:abstractNumId w:val="3"/>
  </w:num>
  <w:num w:numId="24">
    <w:abstractNumId w:val="1"/>
  </w:num>
  <w:num w:numId="25">
    <w:abstractNumId w:val="18"/>
  </w:num>
  <w:num w:numId="26">
    <w:abstractNumId w:val="4"/>
  </w:num>
  <w:num w:numId="27">
    <w:abstractNumId w:val="8"/>
  </w:num>
  <w:num w:numId="2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0CB9"/>
    <w:rsid w:val="000643D1"/>
    <w:rsid w:val="00173691"/>
    <w:rsid w:val="0022261C"/>
    <w:rsid w:val="00236598"/>
    <w:rsid w:val="00314795"/>
    <w:rsid w:val="00337646"/>
    <w:rsid w:val="003E200D"/>
    <w:rsid w:val="005463BD"/>
    <w:rsid w:val="00680CB9"/>
    <w:rsid w:val="0068716E"/>
    <w:rsid w:val="007A1BCA"/>
    <w:rsid w:val="007E69E3"/>
    <w:rsid w:val="00AC5421"/>
    <w:rsid w:val="00C13E7E"/>
    <w:rsid w:val="00ED7D38"/>
    <w:rsid w:val="00FC46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8065EEF7-CAE1-4181-B208-C2E8395BD0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173691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val="ru-RU" w:eastAsia="ru-RU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173691"/>
    <w:pPr>
      <w:keepNext/>
      <w:keepLines/>
      <w:spacing w:before="200" w:after="0" w:line="240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73691"/>
    <w:rPr>
      <w:rFonts w:ascii="Times New Roman" w:eastAsia="Times New Roman" w:hAnsi="Times New Roman" w:cs="Times New Roman"/>
      <w:b/>
      <w:bCs/>
      <w:kern w:val="36"/>
      <w:sz w:val="48"/>
      <w:szCs w:val="48"/>
      <w:lang w:val="ru-RU" w:eastAsia="ru-RU"/>
    </w:rPr>
  </w:style>
  <w:style w:type="character" w:customStyle="1" w:styleId="Heading2Char">
    <w:name w:val="Heading 2 Char"/>
    <w:basedOn w:val="DefaultParagraphFont"/>
    <w:link w:val="Heading2"/>
    <w:semiHidden/>
    <w:rsid w:val="0017369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680CB9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73691"/>
    <w:pPr>
      <w:spacing w:after="0" w:line="240" w:lineRule="auto"/>
    </w:pPr>
    <w:rPr>
      <w:rFonts w:ascii="Tahoma" w:hAnsi="Tahoma" w:cs="Tahoma"/>
      <w:sz w:val="16"/>
      <w:szCs w:val="16"/>
      <w:lang w:val="en-GB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73691"/>
    <w:rPr>
      <w:rFonts w:ascii="Tahoma" w:hAnsi="Tahoma" w:cs="Tahoma"/>
      <w:sz w:val="16"/>
      <w:szCs w:val="16"/>
      <w:lang w:val="en-GB"/>
    </w:rPr>
  </w:style>
  <w:style w:type="paragraph" w:styleId="ListParagraph">
    <w:name w:val="List Paragraph"/>
    <w:basedOn w:val="Normal"/>
    <w:uiPriority w:val="34"/>
    <w:qFormat/>
    <w:rsid w:val="00173691"/>
    <w:pPr>
      <w:ind w:left="720"/>
      <w:contextualSpacing/>
    </w:pPr>
    <w:rPr>
      <w:lang w:val="ru-RU"/>
    </w:rPr>
  </w:style>
  <w:style w:type="table" w:styleId="TableGrid">
    <w:name w:val="Table Grid"/>
    <w:basedOn w:val="TableNormal"/>
    <w:uiPriority w:val="59"/>
    <w:rsid w:val="00173691"/>
    <w:pPr>
      <w:spacing w:after="0" w:line="240" w:lineRule="auto"/>
    </w:pPr>
    <w:rPr>
      <w:lang w:val="ru-RU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HeaderChar">
    <w:name w:val="Header Char"/>
    <w:basedOn w:val="DefaultParagraphFont"/>
    <w:link w:val="Header"/>
    <w:uiPriority w:val="99"/>
    <w:semiHidden/>
    <w:rsid w:val="00173691"/>
    <w:rPr>
      <w:lang w:val="ru-RU"/>
    </w:rPr>
  </w:style>
  <w:style w:type="paragraph" w:styleId="Header">
    <w:name w:val="header"/>
    <w:basedOn w:val="Normal"/>
    <w:link w:val="HeaderChar"/>
    <w:uiPriority w:val="99"/>
    <w:semiHidden/>
    <w:unhideWhenUsed/>
    <w:rsid w:val="00173691"/>
    <w:pPr>
      <w:tabs>
        <w:tab w:val="center" w:pos="4677"/>
        <w:tab w:val="right" w:pos="9355"/>
      </w:tabs>
      <w:spacing w:after="0" w:line="240" w:lineRule="auto"/>
    </w:pPr>
    <w:rPr>
      <w:lang w:val="ru-RU"/>
    </w:rPr>
  </w:style>
  <w:style w:type="character" w:customStyle="1" w:styleId="1">
    <w:name w:val="Верхний колонтитул Знак1"/>
    <w:basedOn w:val="DefaultParagraphFont"/>
    <w:uiPriority w:val="99"/>
    <w:semiHidden/>
    <w:rsid w:val="00173691"/>
  </w:style>
  <w:style w:type="paragraph" w:styleId="Footer">
    <w:name w:val="footer"/>
    <w:basedOn w:val="Normal"/>
    <w:link w:val="FooterChar"/>
    <w:uiPriority w:val="99"/>
    <w:unhideWhenUsed/>
    <w:rsid w:val="00173691"/>
    <w:pPr>
      <w:tabs>
        <w:tab w:val="center" w:pos="4677"/>
        <w:tab w:val="right" w:pos="9355"/>
      </w:tabs>
      <w:spacing w:after="0" w:line="240" w:lineRule="auto"/>
    </w:pPr>
    <w:rPr>
      <w:lang w:val="ru-RU"/>
    </w:rPr>
  </w:style>
  <w:style w:type="character" w:customStyle="1" w:styleId="FooterChar">
    <w:name w:val="Footer Char"/>
    <w:basedOn w:val="DefaultParagraphFont"/>
    <w:link w:val="Footer"/>
    <w:uiPriority w:val="99"/>
    <w:rsid w:val="00173691"/>
    <w:rPr>
      <w:lang w:val="ru-RU"/>
    </w:rPr>
  </w:style>
  <w:style w:type="paragraph" w:styleId="FootnoteText">
    <w:name w:val="footnote text"/>
    <w:aliases w:val="single space,footnote text,Char6 Char,Char6,fn,ADB,fn Char,ADB Char,single space Char Char,FOOTNOTES Char,FOOTNOTES Char Char Char,FOOTNOTES,ft,Footnote Text Char Char Char Char Char Char Char Char Char Char,Footnote Text2,ft2"/>
    <w:basedOn w:val="Normal"/>
    <w:link w:val="FootnoteTextChar"/>
    <w:uiPriority w:val="99"/>
    <w:unhideWhenUsed/>
    <w:rsid w:val="00173691"/>
    <w:pPr>
      <w:spacing w:after="0" w:line="240" w:lineRule="auto"/>
    </w:pPr>
    <w:rPr>
      <w:sz w:val="20"/>
      <w:szCs w:val="20"/>
      <w:lang w:val="ru-RU"/>
    </w:rPr>
  </w:style>
  <w:style w:type="character" w:customStyle="1" w:styleId="FootnoteTextChar">
    <w:name w:val="Footnote Text Char"/>
    <w:aliases w:val="single space Char,footnote text Char,Char6 Char Char,Char6 Char1,fn Char1,ADB Char1,fn Char Char,ADB Char Char,single space Char Char Char,FOOTNOTES Char Char,FOOTNOTES Char Char Char Char,FOOTNOTES Char1,ft Char,Footnote Text2 Char"/>
    <w:basedOn w:val="DefaultParagraphFont"/>
    <w:link w:val="FootnoteText"/>
    <w:uiPriority w:val="99"/>
    <w:rsid w:val="00173691"/>
    <w:rPr>
      <w:sz w:val="20"/>
      <w:szCs w:val="20"/>
      <w:lang w:val="ru-RU"/>
    </w:rPr>
  </w:style>
  <w:style w:type="character" w:styleId="FootnoteReference">
    <w:name w:val="footnote reference"/>
    <w:aliases w:val="ftref,16 Point,Superscript 6 Point,Footnote Reference Number,Footnote Reference_LVL6,Footnote Reference_LVL61,Footnote Reference_LVL62,Footnote Reference_LVL63,Footnote Reference_LVL64,Знак сноски-FN"/>
    <w:basedOn w:val="DefaultParagraphFont"/>
    <w:unhideWhenUsed/>
    <w:rsid w:val="00173691"/>
    <w:rPr>
      <w:vertAlign w:val="superscript"/>
    </w:rPr>
  </w:style>
  <w:style w:type="paragraph" w:styleId="BodyText">
    <w:name w:val="Body Text"/>
    <w:basedOn w:val="Normal"/>
    <w:link w:val="BodyTextChar"/>
    <w:unhideWhenUsed/>
    <w:rsid w:val="00173691"/>
    <w:pPr>
      <w:spacing w:after="120" w:line="240" w:lineRule="auto"/>
    </w:pPr>
    <w:rPr>
      <w:rFonts w:ascii="Sylfaen" w:eastAsia="Times New Roman" w:hAnsi="Sylfae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173691"/>
    <w:rPr>
      <w:rFonts w:ascii="Sylfaen" w:eastAsia="Times New Roman" w:hAnsi="Sylfae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73691"/>
    <w:rPr>
      <w:rFonts w:ascii="Sylfaen" w:eastAsia="Times New Roman" w:hAnsi="Sylfaen" w:cs="Times New Roman"/>
      <w:sz w:val="24"/>
      <w:szCs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173691"/>
    <w:pPr>
      <w:spacing w:after="120" w:line="480" w:lineRule="auto"/>
    </w:pPr>
    <w:rPr>
      <w:rFonts w:ascii="Sylfaen" w:eastAsia="Times New Roman" w:hAnsi="Sylfae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173691"/>
    <w:rPr>
      <w:b/>
      <w:bCs/>
    </w:rPr>
  </w:style>
  <w:style w:type="paragraph" w:styleId="NoSpacing">
    <w:name w:val="No Spacing"/>
    <w:uiPriority w:val="1"/>
    <w:qFormat/>
    <w:rsid w:val="00173691"/>
    <w:pPr>
      <w:spacing w:after="0" w:line="240" w:lineRule="auto"/>
    </w:pPr>
    <w:rPr>
      <w:lang w:val="en-GB"/>
    </w:rPr>
  </w:style>
  <w:style w:type="paragraph" w:customStyle="1" w:styleId="Default">
    <w:name w:val="Default"/>
    <w:uiPriority w:val="99"/>
    <w:rsid w:val="00173691"/>
    <w:pPr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val="ru-RU" w:eastAsia="ru-RU"/>
    </w:rPr>
  </w:style>
  <w:style w:type="character" w:customStyle="1" w:styleId="st">
    <w:name w:val="st"/>
    <w:basedOn w:val="DefaultParagraphFont"/>
    <w:rsid w:val="00173691"/>
  </w:style>
  <w:style w:type="character" w:customStyle="1" w:styleId="search-hl">
    <w:name w:val="search-hl"/>
    <w:basedOn w:val="DefaultParagraphFont"/>
    <w:rsid w:val="00173691"/>
  </w:style>
  <w:style w:type="character" w:customStyle="1" w:styleId="textexposedshow">
    <w:name w:val="text_exposed_show"/>
    <w:basedOn w:val="DefaultParagraphFont"/>
    <w:rsid w:val="0017369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arlis.am/documentview.aspx?docid=49156" TargetMode="External"/><Relationship Id="rId13" Type="http://schemas.openxmlformats.org/officeDocument/2006/relationships/hyperlink" Target="https://mineconomy.am/media/16887/4586.pdf" TargetMode="External"/><Relationship Id="rId18" Type="http://schemas.openxmlformats.org/officeDocument/2006/relationships/hyperlink" Target="https://etd.nla.am/4147/1/015_TATEV-SEXMAGIR.pdf" TargetMode="External"/><Relationship Id="rId3" Type="http://schemas.openxmlformats.org/officeDocument/2006/relationships/settings" Target="settings.xml"/><Relationship Id="rId21" Type="http://schemas.openxmlformats.org/officeDocument/2006/relationships/image" Target="media/image3.png"/><Relationship Id="rId7" Type="http://schemas.openxmlformats.org/officeDocument/2006/relationships/hyperlink" Target="https://www.arlis.am/documentview.aspx?docid=75497" TargetMode="External"/><Relationship Id="rId12" Type="http://schemas.openxmlformats.org/officeDocument/2006/relationships/hyperlink" Target="https://www.cba.am/AM/pperiodicals/Stability%20report_2022.pdf" TargetMode="External"/><Relationship Id="rId17" Type="http://schemas.openxmlformats.org/officeDocument/2006/relationships/hyperlink" Target="https://www.arlis.am/documentview.aspx?docID=73271" TargetMode="External"/><Relationship Id="rId2" Type="http://schemas.openxmlformats.org/officeDocument/2006/relationships/styles" Target="styles.xml"/><Relationship Id="rId16" Type="http://schemas.openxmlformats.org/officeDocument/2006/relationships/hyperlink" Target="https://www.arlis.am/documentview.aspx?docid=165211" TargetMode="External"/><Relationship Id="rId20" Type="http://schemas.openxmlformats.org/officeDocument/2006/relationships/image" Target="media/image2.png"/><Relationship Id="rId1" Type="http://schemas.openxmlformats.org/officeDocument/2006/relationships/numbering" Target="numbering.xml"/><Relationship Id="rId6" Type="http://schemas.openxmlformats.org/officeDocument/2006/relationships/hyperlink" Target="https://www.arlis.am/DocumentView.aspx?DocID=143894" TargetMode="External"/><Relationship Id="rId11" Type="http://schemas.openxmlformats.org/officeDocument/2006/relationships/hyperlink" Target="https://armstat.am/file/article/sv_01_23a_310.pdf" TargetMode="External"/><Relationship Id="rId5" Type="http://schemas.openxmlformats.org/officeDocument/2006/relationships/hyperlink" Target="https://economy-web.org/?p=204" TargetMode="External"/><Relationship Id="rId15" Type="http://schemas.openxmlformats.org/officeDocument/2006/relationships/hyperlink" Target="https://www.arlis.am/documentview.aspx?docid=128628" TargetMode="External"/><Relationship Id="rId23" Type="http://schemas.openxmlformats.org/officeDocument/2006/relationships/theme" Target="theme/theme1.xml"/><Relationship Id="rId10" Type="http://schemas.openxmlformats.org/officeDocument/2006/relationships/hyperlink" Target="https://www.cba.am/am/SitePages/statmonetaryfinancial.aspx" TargetMode="External"/><Relationship Id="rId19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hyperlink" Target="https://paara.am/wp-content/uploads/2012/06/qnarik-vardanyan-gayane-avagyan.pdf" TargetMode="External"/><Relationship Id="rId14" Type="http://schemas.openxmlformats.org/officeDocument/2006/relationships/hyperlink" Target="https://www.mlsa.am/?page_id=10224" TargetMode="Externa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10</Pages>
  <Words>2755</Words>
  <Characters>15706</Characters>
  <Application>Microsoft Office Word</Application>
  <DocSecurity>0</DocSecurity>
  <Lines>130</Lines>
  <Paragraphs>36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18425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Home</dc:creator>
  <cp:lastModifiedBy>Miq Navasardyan</cp:lastModifiedBy>
  <cp:revision>2</cp:revision>
  <dcterms:created xsi:type="dcterms:W3CDTF">2023-03-19T08:01:00Z</dcterms:created>
  <dcterms:modified xsi:type="dcterms:W3CDTF">2023-03-27T18:17:00Z</dcterms:modified>
</cp:coreProperties>
</file>