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79CBD3CA" w:rsidR="00544FA9" w:rsidRDefault="00544FA9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426EAA5" w:rsidR="001C4999" w:rsidRDefault="001C4999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2A1239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2A1239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</w:t>
      </w:r>
      <w:r w:rsidRPr="002A1239">
        <w:rPr>
          <w:rFonts w:ascii="GHEA Grapalat" w:hAnsi="GHEA Grapalat"/>
          <w:bCs/>
          <w:noProof/>
          <w:sz w:val="24"/>
          <w:szCs w:val="24"/>
          <w:lang w:val="hy-AM"/>
        </w:rPr>
        <w:t>իջճյուղային հաշվեկշիռ</w:t>
      </w:r>
    </w:p>
    <w:p w14:paraId="62E4ED5C" w14:textId="73F00012" w:rsidR="00A900BE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en-GB"/>
        </w:rPr>
      </w:pPr>
      <w:r w:rsidRPr="002A1239">
        <w:rPr>
          <w:rFonts w:ascii="GHEA Grapalat" w:hAnsi="GHEA Grapalat"/>
          <w:b/>
          <w:bCs/>
          <w:noProof/>
          <w:sz w:val="24"/>
          <w:szCs w:val="24"/>
          <w:lang w:val="en-GB"/>
        </w:rPr>
        <w:t>Փոխանակային կուրսերը և դրանց վրա ազդող գործոնները: Փոխարժեքի ռեժիմները։</w:t>
      </w:r>
    </w:p>
    <w:p w14:paraId="593FB536" w14:textId="2A227C88" w:rsidR="002A1239" w:rsidRDefault="0019042C" w:rsidP="002A1239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Default="0019042C" w:rsidP="0019042C">
      <w:pPr>
        <w:pStyle w:val="ListParagraph"/>
        <w:numPr>
          <w:ilvl w:val="0"/>
          <w:numId w:val="3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Default="0019042C" w:rsidP="0019042C">
      <w:pPr>
        <w:pStyle w:val="ListParagraph"/>
        <w:numPr>
          <w:ilvl w:val="0"/>
          <w:numId w:val="3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 xml:space="preserve">Իրական 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նույն հատկանիշներով ապրանքների գների հարաբերակցությունը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78E298F" w14:textId="5481ED9D" w:rsidR="004A55E7" w:rsidRDefault="004A55E7" w:rsidP="004A55E7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Իրական փոխանակային կուրսի վրա ազդում են երկու հիմնական գործոն</w:t>
      </w:r>
    </w:p>
    <w:p w14:paraId="31B5F269" w14:textId="017BDD7C" w:rsidR="004A55E7" w:rsidRDefault="004A55E7" w:rsidP="004A55E7">
      <w:pPr>
        <w:pStyle w:val="ListParagraph"/>
        <w:numPr>
          <w:ilvl w:val="0"/>
          <w:numId w:val="3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Վճարային հաշվեկշռի ընթացիկ հաշվի մնացորդը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արտահանումը բարձրանում է, արտարժույթի առաջարկն ավելանում է, դրամը արժևորվում է, թանկանում են մեր երկրի ապրանքները, զուտ արտահանումը նվազում է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5B740030" w14:textId="62AD6A2D" w:rsidR="004A55E7" w:rsidRPr="005C70A2" w:rsidRDefault="004A55E7" w:rsidP="004A55E7">
      <w:pPr>
        <w:pStyle w:val="ListParagraph"/>
        <w:numPr>
          <w:ilvl w:val="0"/>
          <w:numId w:val="3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շարժի մնացորդ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(S - I)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Երբ մնացորդը նվազում է, փոխանակային կուրսը բարձրանում է, զուտ արտահանումը թուլանում</w:t>
      </w:r>
    </w:p>
    <w:p w14:paraId="31CF2CD8" w14:textId="1BCBA7E5" w:rsidR="005C70A2" w:rsidRPr="001D1FDA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1D1FDA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Default="005C70A2" w:rsidP="005C70A2">
      <w:pPr>
        <w:pStyle w:val="ListParagraph"/>
        <w:numPr>
          <w:ilvl w:val="0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Default="005C70A2" w:rsidP="005C70A2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Default="005C70A2" w:rsidP="005C70A2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Default="005C70A2" w:rsidP="005C70A2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Ֆիքսում արժութային զամբյուղի նկատմամբ՝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SDR</w:t>
      </w:r>
    </w:p>
    <w:p w14:paraId="711A2B5E" w14:textId="65F6FA66" w:rsidR="005C70A2" w:rsidRDefault="005C70A2" w:rsidP="005C70A2">
      <w:pPr>
        <w:pStyle w:val="ListParagraph"/>
        <w:numPr>
          <w:ilvl w:val="0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Անցումային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սահմանափակ ճկուն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)</w:t>
      </w:r>
    </w:p>
    <w:p w14:paraId="2037A658" w14:textId="0EA5DEC1" w:rsidR="005C70A2" w:rsidRDefault="005C70A2" w:rsidP="005C70A2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Default="005C70A2" w:rsidP="005C70A2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Default="005C70A2" w:rsidP="005C70A2">
      <w:pPr>
        <w:pStyle w:val="ListParagraph"/>
        <w:numPr>
          <w:ilvl w:val="0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Default="004059F7" w:rsidP="004059F7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4059F7" w:rsidRDefault="002C14CE" w:rsidP="004059F7">
      <w:pPr>
        <w:pStyle w:val="ListParagraph"/>
        <w:numPr>
          <w:ilvl w:val="1"/>
          <w:numId w:val="3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A022C2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A022C2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D5682A" w:rsidRDefault="00655354" w:rsidP="00D5682A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D5682A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Default="005E7125" w:rsidP="00D5682A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Default="00D5682A" w:rsidP="00D5682A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77777777" w:rsidR="00D5682A" w:rsidRPr="00D5682A" w:rsidRDefault="00D5682A" w:rsidP="00D5682A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bookmarkStart w:id="0" w:name="_GoBack"/>
      <w:bookmarkEnd w:id="0"/>
    </w:p>
    <w:sectPr w:rsidR="00D5682A" w:rsidRPr="00D5682A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EDA68" w14:textId="77777777" w:rsidR="00E72EDD" w:rsidRDefault="00E72EDD" w:rsidP="002B1C21">
      <w:pPr>
        <w:spacing w:after="0" w:line="240" w:lineRule="auto"/>
      </w:pPr>
      <w:r>
        <w:separator/>
      </w:r>
    </w:p>
  </w:endnote>
  <w:endnote w:type="continuationSeparator" w:id="0">
    <w:p w14:paraId="2C5D84F3" w14:textId="77777777" w:rsidR="00E72EDD" w:rsidRDefault="00E72EDD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03F1AA8E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82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5A22D" w14:textId="77777777" w:rsidR="00E72EDD" w:rsidRDefault="00E72EDD" w:rsidP="002B1C21">
      <w:pPr>
        <w:spacing w:after="0" w:line="240" w:lineRule="auto"/>
      </w:pPr>
      <w:r>
        <w:separator/>
      </w:r>
    </w:p>
  </w:footnote>
  <w:footnote w:type="continuationSeparator" w:id="0">
    <w:p w14:paraId="2A08A92D" w14:textId="77777777" w:rsidR="00E72EDD" w:rsidRDefault="00E72EDD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70F2"/>
    <w:multiLevelType w:val="hybridMultilevel"/>
    <w:tmpl w:val="963E4DB0"/>
    <w:lvl w:ilvl="0" w:tplc="0D0CBFAE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2"/>
  </w:num>
  <w:num w:numId="4">
    <w:abstractNumId w:val="15"/>
  </w:num>
  <w:num w:numId="5">
    <w:abstractNumId w:val="16"/>
  </w:num>
  <w:num w:numId="6">
    <w:abstractNumId w:val="18"/>
  </w:num>
  <w:num w:numId="7">
    <w:abstractNumId w:val="33"/>
  </w:num>
  <w:num w:numId="8">
    <w:abstractNumId w:val="25"/>
  </w:num>
  <w:num w:numId="9">
    <w:abstractNumId w:val="2"/>
  </w:num>
  <w:num w:numId="10">
    <w:abstractNumId w:val="4"/>
  </w:num>
  <w:num w:numId="11">
    <w:abstractNumId w:val="14"/>
  </w:num>
  <w:num w:numId="12">
    <w:abstractNumId w:val="10"/>
  </w:num>
  <w:num w:numId="13">
    <w:abstractNumId w:val="20"/>
  </w:num>
  <w:num w:numId="14">
    <w:abstractNumId w:val="32"/>
  </w:num>
  <w:num w:numId="15">
    <w:abstractNumId w:val="27"/>
  </w:num>
  <w:num w:numId="16">
    <w:abstractNumId w:val="29"/>
  </w:num>
  <w:num w:numId="17">
    <w:abstractNumId w:val="19"/>
  </w:num>
  <w:num w:numId="18">
    <w:abstractNumId w:val="5"/>
  </w:num>
  <w:num w:numId="19">
    <w:abstractNumId w:val="6"/>
  </w:num>
  <w:num w:numId="20">
    <w:abstractNumId w:val="8"/>
  </w:num>
  <w:num w:numId="21">
    <w:abstractNumId w:val="26"/>
  </w:num>
  <w:num w:numId="22">
    <w:abstractNumId w:val="30"/>
  </w:num>
  <w:num w:numId="23">
    <w:abstractNumId w:val="11"/>
  </w:num>
  <w:num w:numId="24">
    <w:abstractNumId w:val="1"/>
  </w:num>
  <w:num w:numId="25">
    <w:abstractNumId w:val="12"/>
  </w:num>
  <w:num w:numId="26">
    <w:abstractNumId w:val="23"/>
  </w:num>
  <w:num w:numId="27">
    <w:abstractNumId w:val="0"/>
  </w:num>
  <w:num w:numId="28">
    <w:abstractNumId w:val="31"/>
  </w:num>
  <w:num w:numId="29">
    <w:abstractNumId w:val="17"/>
  </w:num>
  <w:num w:numId="30">
    <w:abstractNumId w:val="24"/>
  </w:num>
  <w:num w:numId="31">
    <w:abstractNumId w:val="21"/>
  </w:num>
  <w:num w:numId="32">
    <w:abstractNumId w:val="3"/>
  </w:num>
  <w:num w:numId="33">
    <w:abstractNumId w:val="1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05CEB"/>
    <w:rsid w:val="000205BF"/>
    <w:rsid w:val="0002376A"/>
    <w:rsid w:val="000405D2"/>
    <w:rsid w:val="00080563"/>
    <w:rsid w:val="000877F5"/>
    <w:rsid w:val="000B2002"/>
    <w:rsid w:val="000B4048"/>
    <w:rsid w:val="000B7130"/>
    <w:rsid w:val="000D7996"/>
    <w:rsid w:val="000F0BC0"/>
    <w:rsid w:val="000F39DB"/>
    <w:rsid w:val="00104E3B"/>
    <w:rsid w:val="00105371"/>
    <w:rsid w:val="00116845"/>
    <w:rsid w:val="001240EF"/>
    <w:rsid w:val="00161259"/>
    <w:rsid w:val="001738EB"/>
    <w:rsid w:val="001835B3"/>
    <w:rsid w:val="0019042C"/>
    <w:rsid w:val="001935EA"/>
    <w:rsid w:val="001C4999"/>
    <w:rsid w:val="001D1FDA"/>
    <w:rsid w:val="001E51CE"/>
    <w:rsid w:val="001E630D"/>
    <w:rsid w:val="00240D51"/>
    <w:rsid w:val="00272C90"/>
    <w:rsid w:val="00274445"/>
    <w:rsid w:val="002A1239"/>
    <w:rsid w:val="002A46C7"/>
    <w:rsid w:val="002B1C21"/>
    <w:rsid w:val="002C14CE"/>
    <w:rsid w:val="002C4110"/>
    <w:rsid w:val="002E66FC"/>
    <w:rsid w:val="003264B1"/>
    <w:rsid w:val="00332767"/>
    <w:rsid w:val="00351550"/>
    <w:rsid w:val="00351EA0"/>
    <w:rsid w:val="003649FB"/>
    <w:rsid w:val="003750C8"/>
    <w:rsid w:val="00392954"/>
    <w:rsid w:val="003B134F"/>
    <w:rsid w:val="003C29D9"/>
    <w:rsid w:val="00403019"/>
    <w:rsid w:val="004059F7"/>
    <w:rsid w:val="00456C7E"/>
    <w:rsid w:val="00461D80"/>
    <w:rsid w:val="004A55E7"/>
    <w:rsid w:val="004C60A6"/>
    <w:rsid w:val="004D78AE"/>
    <w:rsid w:val="004F4579"/>
    <w:rsid w:val="00537E29"/>
    <w:rsid w:val="00544FA9"/>
    <w:rsid w:val="005667C3"/>
    <w:rsid w:val="00566BD7"/>
    <w:rsid w:val="005A631D"/>
    <w:rsid w:val="005B42AE"/>
    <w:rsid w:val="005C70A2"/>
    <w:rsid w:val="005D0F24"/>
    <w:rsid w:val="005E7125"/>
    <w:rsid w:val="0061157B"/>
    <w:rsid w:val="0062354E"/>
    <w:rsid w:val="00650F4E"/>
    <w:rsid w:val="00655354"/>
    <w:rsid w:val="00662A1A"/>
    <w:rsid w:val="0066580E"/>
    <w:rsid w:val="00665C76"/>
    <w:rsid w:val="0067491F"/>
    <w:rsid w:val="00684152"/>
    <w:rsid w:val="00684344"/>
    <w:rsid w:val="00697B64"/>
    <w:rsid w:val="006A51A7"/>
    <w:rsid w:val="006B62D9"/>
    <w:rsid w:val="006E1DAB"/>
    <w:rsid w:val="006F38A4"/>
    <w:rsid w:val="00715C55"/>
    <w:rsid w:val="0076054A"/>
    <w:rsid w:val="007B6B30"/>
    <w:rsid w:val="007D3C3D"/>
    <w:rsid w:val="007D5E21"/>
    <w:rsid w:val="007F1955"/>
    <w:rsid w:val="00804A2C"/>
    <w:rsid w:val="008074D9"/>
    <w:rsid w:val="00822E91"/>
    <w:rsid w:val="00844C6F"/>
    <w:rsid w:val="00866153"/>
    <w:rsid w:val="00877F73"/>
    <w:rsid w:val="00881D77"/>
    <w:rsid w:val="008A646F"/>
    <w:rsid w:val="008E6321"/>
    <w:rsid w:val="0091175F"/>
    <w:rsid w:val="00915CD4"/>
    <w:rsid w:val="00930022"/>
    <w:rsid w:val="009C16FF"/>
    <w:rsid w:val="009E0D10"/>
    <w:rsid w:val="009F0A4E"/>
    <w:rsid w:val="00A022C2"/>
    <w:rsid w:val="00A05F31"/>
    <w:rsid w:val="00A07BFA"/>
    <w:rsid w:val="00A32C4E"/>
    <w:rsid w:val="00A84EE1"/>
    <w:rsid w:val="00A900BE"/>
    <w:rsid w:val="00AB693C"/>
    <w:rsid w:val="00AE1649"/>
    <w:rsid w:val="00AF6F27"/>
    <w:rsid w:val="00B00EE4"/>
    <w:rsid w:val="00B1043F"/>
    <w:rsid w:val="00B23987"/>
    <w:rsid w:val="00B531F6"/>
    <w:rsid w:val="00B73E1D"/>
    <w:rsid w:val="00B93DAB"/>
    <w:rsid w:val="00BA287A"/>
    <w:rsid w:val="00BA2BA9"/>
    <w:rsid w:val="00BC01F5"/>
    <w:rsid w:val="00BC6311"/>
    <w:rsid w:val="00BE5A6E"/>
    <w:rsid w:val="00C00481"/>
    <w:rsid w:val="00C021A4"/>
    <w:rsid w:val="00C04B62"/>
    <w:rsid w:val="00C56FE9"/>
    <w:rsid w:val="00C82853"/>
    <w:rsid w:val="00C92B2E"/>
    <w:rsid w:val="00C94095"/>
    <w:rsid w:val="00CA20E3"/>
    <w:rsid w:val="00CC67B9"/>
    <w:rsid w:val="00CD69F0"/>
    <w:rsid w:val="00CE6A72"/>
    <w:rsid w:val="00D0354A"/>
    <w:rsid w:val="00D036A9"/>
    <w:rsid w:val="00D07EF4"/>
    <w:rsid w:val="00D52CFC"/>
    <w:rsid w:val="00D5682A"/>
    <w:rsid w:val="00D5768E"/>
    <w:rsid w:val="00D66701"/>
    <w:rsid w:val="00DD7B38"/>
    <w:rsid w:val="00E5081C"/>
    <w:rsid w:val="00E54814"/>
    <w:rsid w:val="00E72EDD"/>
    <w:rsid w:val="00E74246"/>
    <w:rsid w:val="00E960D5"/>
    <w:rsid w:val="00EA5BAF"/>
    <w:rsid w:val="00EB657F"/>
    <w:rsid w:val="00EB6CF3"/>
    <w:rsid w:val="00EC0E02"/>
    <w:rsid w:val="00ED7A18"/>
    <w:rsid w:val="00EE4B2C"/>
    <w:rsid w:val="00EE68C2"/>
    <w:rsid w:val="00F004C7"/>
    <w:rsid w:val="00F030F7"/>
    <w:rsid w:val="00F43A67"/>
    <w:rsid w:val="00F64778"/>
    <w:rsid w:val="00F714C5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A2FB-0D20-4EDE-9EDF-FD92F545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17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147</cp:revision>
  <dcterms:created xsi:type="dcterms:W3CDTF">2023-03-20T08:44:00Z</dcterms:created>
  <dcterms:modified xsi:type="dcterms:W3CDTF">2023-03-26T21:05:00Z</dcterms:modified>
</cp:coreProperties>
</file>