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EC49" w14:textId="22EC52A9" w:rsidR="00F43A67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en-GB"/>
        </w:rPr>
      </w:pPr>
      <w:r>
        <w:rPr>
          <w:rFonts w:ascii="GHEA Grapalat" w:hAnsi="GHEA Grapalat"/>
          <w:b/>
          <w:sz w:val="24"/>
          <w:szCs w:val="24"/>
          <w:lang w:val="ru-RU"/>
        </w:rPr>
        <w:t>(</w:t>
      </w:r>
      <w:r w:rsidR="000877F5" w:rsidRPr="00D036A9">
        <w:rPr>
          <w:rFonts w:ascii="GHEA Grapalat" w:hAnsi="GHEA Grapalat"/>
          <w:b/>
          <w:sz w:val="24"/>
          <w:szCs w:val="24"/>
          <w:lang w:val="hy-AM"/>
        </w:rPr>
        <w:t>1</w:t>
      </w:r>
      <w:r>
        <w:rPr>
          <w:rFonts w:ascii="GHEA Grapalat" w:hAnsi="GHEA Grapalat"/>
          <w:b/>
          <w:sz w:val="24"/>
          <w:szCs w:val="24"/>
          <w:lang w:val="ru-RU"/>
        </w:rPr>
        <w:t>)</w:t>
      </w:r>
      <w:r w:rsidR="000877F5" w:rsidRPr="00D036A9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Մակրոտնտեսական վերլուծության մեթոդաբանությունը:</w:t>
      </w:r>
    </w:p>
    <w:p w14:paraId="136168EA" w14:textId="77777777" w:rsidR="0066580E" w:rsidRPr="0066580E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Ազգային հաշիվների համակարգ 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ԱՀՀ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)</w:t>
      </w:r>
      <w:r w:rsidR="00AF6F27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AF6F27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>
        <w:rPr>
          <w:rFonts w:ascii="GHEA Grapalat" w:hAnsi="GHEA Grapalat"/>
          <w:b/>
          <w:noProof/>
          <w:sz w:val="24"/>
          <w:szCs w:val="24"/>
          <w:lang w:val="hy-AM"/>
        </w:rPr>
        <w:t>2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EE68C2" w:rsidRPr="00D036A9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Մշակվում են ռազմավարական խնդիրներ</w:t>
      </w:r>
    </w:p>
    <w:p w14:paraId="792AAE75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Տնեսությունների համեմատումը, դրանց տնտեսական զարգացման գնահատումը</w:t>
      </w:r>
    </w:p>
    <w:p w14:paraId="7573B99C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1935EA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A07BFA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D036A9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noProof/>
          <w:sz w:val="24"/>
          <w:szCs w:val="24"/>
          <w:lang w:val="hy-AM"/>
        </w:rPr>
        <w:t>S = I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կարգավիճակում շուկայում հաստատվում է հավասարակշռություն</w:t>
      </w:r>
    </w:p>
    <w:p w14:paraId="6E843434" w14:textId="77777777" w:rsidR="00392954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Եթե </w:t>
      </w:r>
      <w:r w:rsidRPr="00392954">
        <w:rPr>
          <w:rFonts w:ascii="GHEA Grapalat" w:hAnsi="GHEA Grapalat"/>
          <w:noProof/>
          <w:sz w:val="24"/>
          <w:szCs w:val="24"/>
          <w:lang w:val="hy-AM"/>
        </w:rPr>
        <w:t xml:space="preserve">S &gt; I, </w:t>
      </w:r>
      <w:r>
        <w:rPr>
          <w:rFonts w:ascii="GHEA Grapalat" w:hAnsi="GHEA Grapalat"/>
          <w:noProof/>
          <w:sz w:val="24"/>
          <w:szCs w:val="24"/>
          <w:lang w:val="hy-AM"/>
        </w:rPr>
        <w:t>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Գները և </w:t>
      </w:r>
      <w:r w:rsidRPr="00EB657F">
        <w:rPr>
          <w:rFonts w:ascii="GHEA Grapalat" w:hAnsi="GHEA Grapalat"/>
          <w:noProof/>
          <w:sz w:val="24"/>
          <w:szCs w:val="24"/>
          <w:lang w:val="hy-AM"/>
        </w:rPr>
        <w:t>աշխատավարձը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ճկուն չեն, միայն աճող բնույթ ունեն</w:t>
      </w:r>
    </w:p>
    <w:p w14:paraId="483B1EAC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Արդյունավետ պահանջարկ</w:t>
      </w:r>
    </w:p>
    <w:p w14:paraId="1F14961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Հավասարակշռություն հաստատվում է ոչ լրիվ զբաղվածության պայմաններում</w:t>
      </w:r>
    </w:p>
    <w:p w14:paraId="30CD2815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Պետությունը պետք է միջամտի հբք 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ավելի արդյունավետ է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և դվք-ներով</w:t>
      </w:r>
    </w:p>
    <w:p w14:paraId="6DF4E8D1" w14:textId="77777777" w:rsid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A07BFA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en-GB"/>
        </w:rPr>
        <w:t>MPC, MPS</w:t>
      </w:r>
    </w:p>
    <w:p w14:paraId="413F93C1" w14:textId="2A6AD5D3" w:rsidR="00A07BF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>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65C76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DD7B38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00481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թեքությունը կախված է տոկոսադրույքի նկատմամբ ներդրումների զգայունությունից</w:t>
      </w:r>
    </w:p>
    <w:p w14:paraId="4E0AE3FB" w14:textId="717B34BF" w:rsidR="00DD7B38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D5768E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ծախսերն են 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D036A9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շուկայում հավասարակշված տոկոսադրույքը</w:t>
      </w:r>
    </w:p>
    <w:p w14:paraId="32AD102F" w14:textId="65761C79" w:rsidR="00274445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030F7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3C29D9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Իրացվելիության նախընտրելիության տեսություն, ըստ որի՝ տնտեսվարողը պետք է որոշի պահել կանխիկ փող՝ դրա պահպանման ծախսերը 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տոկոսադրույքը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հաշվի առնելով, թե ձեռք բերի տոկոսային եկամուտ բերող ակտիվներ։</w:t>
      </w:r>
    </w:p>
    <w:p w14:paraId="1B6DA86D" w14:textId="4B619007" w:rsidR="001240EF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02376A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715C55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02376A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կառուցումը</w:t>
      </w:r>
    </w:p>
    <w:p w14:paraId="5B47FACF" w14:textId="0C0765E5" w:rsidR="000B713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>Կարճաժամկետ հավասարակշռության մեխանիզմը՝ IS-LM մոդելը:</w:t>
      </w:r>
    </w:p>
    <w:p w14:paraId="60904880" w14:textId="2142405B" w:rsidR="00844C6F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 w:rsidR="0076054A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D036A9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AB693C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AB693C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6E1DAB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լիներ հորիզոնական, կաճեր նույն չափով</w:t>
      </w:r>
    </w:p>
    <w:p w14:paraId="00662B76" w14:textId="114FE193" w:rsidR="005A631D" w:rsidRP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5A631D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4D78AE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8A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>Տնտեսական ցիկլերի տեսությունները և մոդելները:</w:t>
      </w:r>
    </w:p>
    <w:p w14:paraId="00D87CDD" w14:textId="0FF248A8" w:rsidR="00403019" w:rsidRPr="0040301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03019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</w:t>
      </w:r>
      <w:r w:rsidRPr="00403019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եսությունները</w:t>
      </w:r>
    </w:p>
    <w:p w14:paraId="165B3139" w14:textId="5AAEA506" w:rsidR="00461D8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Թերս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պառման տեսություն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աշխատավարձերի մասնաբաժնի նվազման հետևանքով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 &lt; AS)</w:t>
      </w:r>
    </w:p>
    <w:p w14:paraId="78FDC865" w14:textId="274E53A4" w:rsidR="000F39DB" w:rsidRPr="000F39DB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գերկուտակման տեսություն՝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AS</w:t>
      </w:r>
      <w:r>
        <w:rPr>
          <w:rFonts w:ascii="GHEA Grapalat" w:hAnsi="GHEA Grapalat"/>
          <w:bCs/>
          <w:noProof/>
          <w:sz w:val="24"/>
          <w:szCs w:val="24"/>
        </w:rPr>
        <w:t xml:space="preserve"> &gt;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</w:t>
      </w:r>
    </w:p>
    <w:p w14:paraId="06EB8E11" w14:textId="590F8E88" w:rsidR="00B1043F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F747BF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F747BF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F747BF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403019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Արագացուցիչը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նկարագրում է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եկամուտի ավելացման հաշվին ներդրումների աճ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0B2002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Կախված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MPC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-ից և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V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-ից</w:t>
      </w:r>
      <w:r w:rsidR="00C92B2E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</w:t>
      </w:r>
      <w:r w:rsidR="00C92B2E" w:rsidRPr="000B2002">
        <w:rPr>
          <w:rFonts w:ascii="GHEA Grapalat" w:hAnsi="GHEA Grapalat"/>
          <w:bCs/>
          <w:noProof/>
          <w:sz w:val="24"/>
          <w:szCs w:val="24"/>
          <w:lang w:val="hy-AM"/>
        </w:rPr>
        <w:t>տարբերակներ՝</w:t>
      </w:r>
    </w:p>
    <w:p w14:paraId="7AFA8820" w14:textId="01FAAB05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0B2002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0B2002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0B2002">
        <w:rPr>
          <w:rFonts w:ascii="GHEA Grapalat" w:hAnsi="GHEA Grapalat"/>
          <w:bCs/>
          <w:noProof/>
          <w:sz w:val="24"/>
          <w:szCs w:val="24"/>
        </w:rPr>
        <w:t xml:space="preserve">V=1, 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ապա՝ չհանգչող տատանումներ</w:t>
      </w:r>
    </w:p>
    <w:p w14:paraId="0F0C9CB8" w14:textId="77777777" w:rsidR="000B2002" w:rsidRPr="000B2002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/>
          <w:noProof/>
          <w:sz w:val="24"/>
          <w:szCs w:val="24"/>
          <w:lang w:val="hy-AM"/>
        </w:rPr>
        <w:t xml:space="preserve">(4) </w:t>
      </w:r>
      <w:r w:rsidRPr="000B2002">
        <w:rPr>
          <w:rFonts w:ascii="GHEA Grapalat" w:hAnsi="GHEA Grapalat"/>
          <w:b/>
          <w:noProof/>
          <w:sz w:val="24"/>
          <w:szCs w:val="24"/>
          <w:lang w:val="hy-AM"/>
        </w:rPr>
        <w:t>Արտադրական ֆունկցիաները և արտադրության ծավալի հաշվարկումը:</w:t>
      </w:r>
    </w:p>
    <w:p w14:paraId="7FAB0257" w14:textId="5ACA8B4D" w:rsidR="000B2002" w:rsidRPr="0035155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Արտադրության ծավալը որոշակի օրենքով կախված է արտադրության գործոններից՝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 xml:space="preserve">K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>L</w:t>
      </w:r>
    </w:p>
    <w:p w14:paraId="274EDE3E" w14:textId="68407BCC" w:rsidR="00351550" w:rsidRPr="00F004C7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F38A4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C973A19" w14:textId="69947081" w:rsidR="00332767" w:rsidRPr="00332767" w:rsidRDefault="00332767" w:rsidP="00332767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sectPr w:rsidR="00332767" w:rsidRPr="00332767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9B65" w14:textId="77777777" w:rsidR="005667C3" w:rsidRDefault="005667C3" w:rsidP="002B1C21">
      <w:pPr>
        <w:spacing w:after="0" w:line="240" w:lineRule="auto"/>
      </w:pPr>
      <w:r>
        <w:separator/>
      </w:r>
    </w:p>
  </w:endnote>
  <w:endnote w:type="continuationSeparator" w:id="0">
    <w:p w14:paraId="6E75EF6F" w14:textId="77777777" w:rsidR="005667C3" w:rsidRDefault="005667C3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6B568264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1D88A" w14:textId="77777777" w:rsidR="005667C3" w:rsidRDefault="005667C3" w:rsidP="002B1C21">
      <w:pPr>
        <w:spacing w:after="0" w:line="240" w:lineRule="auto"/>
      </w:pPr>
      <w:r>
        <w:separator/>
      </w:r>
    </w:p>
  </w:footnote>
  <w:footnote w:type="continuationSeparator" w:id="0">
    <w:p w14:paraId="133DAF9D" w14:textId="77777777" w:rsidR="005667C3" w:rsidRDefault="005667C3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0F2"/>
    <w:multiLevelType w:val="hybridMultilevel"/>
    <w:tmpl w:val="375E5A1C"/>
    <w:lvl w:ilvl="0" w:tplc="CDCCBED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A7"/>
    <w:rsid w:val="000030F5"/>
    <w:rsid w:val="000205BF"/>
    <w:rsid w:val="0002376A"/>
    <w:rsid w:val="000405D2"/>
    <w:rsid w:val="00080563"/>
    <w:rsid w:val="000877F5"/>
    <w:rsid w:val="000B2002"/>
    <w:rsid w:val="000B7130"/>
    <w:rsid w:val="000D7996"/>
    <w:rsid w:val="000F0BC0"/>
    <w:rsid w:val="000F39DB"/>
    <w:rsid w:val="00105371"/>
    <w:rsid w:val="001240EF"/>
    <w:rsid w:val="001738EB"/>
    <w:rsid w:val="001935EA"/>
    <w:rsid w:val="00240D51"/>
    <w:rsid w:val="00274445"/>
    <w:rsid w:val="002A46C7"/>
    <w:rsid w:val="002B1C21"/>
    <w:rsid w:val="002E66FC"/>
    <w:rsid w:val="00332767"/>
    <w:rsid w:val="00351550"/>
    <w:rsid w:val="00351EA0"/>
    <w:rsid w:val="003649FB"/>
    <w:rsid w:val="00392954"/>
    <w:rsid w:val="003C29D9"/>
    <w:rsid w:val="00403019"/>
    <w:rsid w:val="00456C7E"/>
    <w:rsid w:val="00461D80"/>
    <w:rsid w:val="004C60A6"/>
    <w:rsid w:val="004D78AE"/>
    <w:rsid w:val="004F4579"/>
    <w:rsid w:val="005667C3"/>
    <w:rsid w:val="00566BD7"/>
    <w:rsid w:val="005A631D"/>
    <w:rsid w:val="0061157B"/>
    <w:rsid w:val="0062354E"/>
    <w:rsid w:val="00650F4E"/>
    <w:rsid w:val="00662A1A"/>
    <w:rsid w:val="0066580E"/>
    <w:rsid w:val="00665C76"/>
    <w:rsid w:val="0067491F"/>
    <w:rsid w:val="00684152"/>
    <w:rsid w:val="00684344"/>
    <w:rsid w:val="00697B64"/>
    <w:rsid w:val="006A51A7"/>
    <w:rsid w:val="006B62D9"/>
    <w:rsid w:val="006E1DAB"/>
    <w:rsid w:val="006F38A4"/>
    <w:rsid w:val="00715C55"/>
    <w:rsid w:val="0076054A"/>
    <w:rsid w:val="007D3C3D"/>
    <w:rsid w:val="00804A2C"/>
    <w:rsid w:val="008074D9"/>
    <w:rsid w:val="00844C6F"/>
    <w:rsid w:val="00877F73"/>
    <w:rsid w:val="00881D77"/>
    <w:rsid w:val="008A646F"/>
    <w:rsid w:val="008E6321"/>
    <w:rsid w:val="0091175F"/>
    <w:rsid w:val="00915CD4"/>
    <w:rsid w:val="009C16FF"/>
    <w:rsid w:val="009F0A4E"/>
    <w:rsid w:val="00A07BFA"/>
    <w:rsid w:val="00A84EE1"/>
    <w:rsid w:val="00AB693C"/>
    <w:rsid w:val="00AE1649"/>
    <w:rsid w:val="00AF6F27"/>
    <w:rsid w:val="00B00EE4"/>
    <w:rsid w:val="00B1043F"/>
    <w:rsid w:val="00B23987"/>
    <w:rsid w:val="00B73E1D"/>
    <w:rsid w:val="00BA2BA9"/>
    <w:rsid w:val="00BC6311"/>
    <w:rsid w:val="00BE5A6E"/>
    <w:rsid w:val="00C00481"/>
    <w:rsid w:val="00C56FE9"/>
    <w:rsid w:val="00C92B2E"/>
    <w:rsid w:val="00CA20E3"/>
    <w:rsid w:val="00CC67B9"/>
    <w:rsid w:val="00CD69F0"/>
    <w:rsid w:val="00D0354A"/>
    <w:rsid w:val="00D036A9"/>
    <w:rsid w:val="00D52CFC"/>
    <w:rsid w:val="00D5768E"/>
    <w:rsid w:val="00D66701"/>
    <w:rsid w:val="00DD7B38"/>
    <w:rsid w:val="00E54814"/>
    <w:rsid w:val="00E74246"/>
    <w:rsid w:val="00E960D5"/>
    <w:rsid w:val="00EB657F"/>
    <w:rsid w:val="00EB6CF3"/>
    <w:rsid w:val="00ED7A18"/>
    <w:rsid w:val="00EE68C2"/>
    <w:rsid w:val="00F004C7"/>
    <w:rsid w:val="00F030F7"/>
    <w:rsid w:val="00F43A67"/>
    <w:rsid w:val="00F64778"/>
    <w:rsid w:val="00F747BF"/>
    <w:rsid w:val="00F83D73"/>
    <w:rsid w:val="00FA3F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C9A3F-A2C0-4F75-8BC9-42968372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12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Michael Navasardyan</cp:lastModifiedBy>
  <cp:revision>97</cp:revision>
  <dcterms:created xsi:type="dcterms:W3CDTF">2023-03-20T08:44:00Z</dcterms:created>
  <dcterms:modified xsi:type="dcterms:W3CDTF">2023-03-21T14:46:00Z</dcterms:modified>
</cp:coreProperties>
</file>