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9C7A1E"/>
          <w:spacing w:val="40"/>
          <w:sz w:val="30"/>
          <w:szCs w:val="30"/>
        </w:rPr>
        <w:t xml:space="preserve">PRESENTER GUIDE</w:t>
      </w: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Anthropic Claude on Microsoft Foundry</w:t>
      </w:r>
    </w:p>
    <w:p>
      <w:pPr>
        <w:spacing w:after="2000"/>
        <w:jc w:val="center"/>
      </w:pPr>
      <w:r>
        <w:rPr>
          <w:i/>
          <w:iCs/>
          <w:color w:val="555555"/>
          <w:sz w:val="26"/>
          <w:szCs w:val="26"/>
        </w:rPr>
        <w:t xml:space="preserve">Speaker Notes &amp; Concept Explanations for All 16 Slides</w:t>
      </w:r>
    </w:p>
    <w:p>
      <w:pPr>
        <w:jc w:val="center"/>
      </w:pPr>
      <w:r>
        <w:rPr>
          <w:b/>
          <w:bCs/>
          <w:color w:val="9C7A1E"/>
          <w:sz w:val="22"/>
          <w:szCs w:val="22"/>
        </w:rPr>
        <w:t xml:space="preserve">How to use this guide</w:t>
      </w:r>
    </w:p>
    <w:p>
      <w:pPr>
        <w:spacing w:after="200"/>
        <w:jc w:val="center"/>
      </w:pPr>
      <w:r>
        <w:rPr>
          <w:color w:val="555555"/>
          <w:sz w:val="21"/>
          <w:szCs w:val="21"/>
        </w:rPr>
        <w:t xml:space="preserve">Each section below mirrors one slide in the deck: a short talk track to open with, the concepts to explain in your own words, and a scripted transition line into the next slide. The same notes are also embedded directly in the PowerPoint file's Notes pane.</w:t>
      </w:r>
    </w:p>
    <w:p>
      <w:r>
        <w:br w:type="page"/>
      </w:r>
    </w:p>
    <w:p>
      <w:pPr>
        <w:pStyle w:val="Heading1"/>
        <w:pBdr>
          <w:bottom w:val="single" w:color="9C7A1E" w:sz="6" w:space="4"/>
        </w:pBdr>
        <w:spacing w:after="120" w:before="0"/>
      </w:pPr>
      <w:r>
        <w:rPr>
          <w:b/>
          <w:bCs/>
          <w:color w:val="9C7A1E"/>
        </w:rPr>
        <w:t xml:space="preserve">Slide 1  —  </w:t>
      </w:r>
      <w:r>
        <w:rPr>
          <w:b/>
          <w:bCs/>
          <w:color w:val="1A1A1A"/>
        </w:rPr>
        <w:t xml:space="preserve">Title — Anthropic Claude on Microsoft Foundry</w:t>
      </w:r>
    </w:p>
    <w:p>
      <w:pPr>
        <w:spacing w:after="60" w:before="120"/>
      </w:pPr>
      <w:r>
        <w:rPr>
          <w:b/>
          <w:bCs/>
          <w:color w:val="6B551A"/>
          <w:sz w:val="19"/>
          <w:szCs w:val="19"/>
        </w:rPr>
        <w:t xml:space="preserve">TALK TRACK</w:t>
      </w:r>
    </w:p>
    <w:p>
      <w:pPr>
        <w:spacing w:after="160"/>
      </w:pPr>
      <w:r>
        <w:rPr>
          <w:i/>
          <w:iCs/>
          <w:color w:val="333333"/>
          <w:sz w:val="21"/>
          <w:szCs w:val="21"/>
        </w:rPr>
        <w:t xml:space="preserve">Welcome the room and frame the session in one line: “This deck is about how enterprises can run Anthropic's Claude models through Microsoft Foundry — Microsoft's governed AI platform — while keeping security, identity and compliance intact.”</w:t>
      </w:r>
    </w:p>
    <w:p>
      <w:pPr>
        <w:spacing w:after="60"/>
      </w:pPr>
      <w:r>
        <w:rPr>
          <w:b/>
          <w:bCs/>
          <w:color w:val="6B551A"/>
          <w:sz w:val="19"/>
          <w:szCs w:val="19"/>
        </w:rPr>
        <w:t xml:space="preserve">WHAT TO EXPLAIN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Microsoft Foundry (formerly Azure AI Foundry) is Microsoft's control-plane for AI: discover, deploy, govern and monitor models from many vendors in one place.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Claude is Anthropic's model family. The core tension this deck resolves: how do you get Claude's intelligence while keeping Microsoft's enterprise guardrails?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Walk the agenda so the audience knows the shape of the talk: platform basics → model choice → hosting choice → identity → compliance → hands-on deployment → architecture patterns → recommendation.</w:t>
      </w:r>
    </w:p>
    <w:p>
      <w:pPr>
        <w:spacing w:after="40" w:before="160"/>
      </w:pPr>
      <w:r>
        <w:rPr>
          <w:b/>
          <w:bCs/>
          <w:color w:val="6B551A"/>
          <w:sz w:val="19"/>
          <w:szCs w:val="19"/>
        </w:rPr>
        <w:t xml:space="preserve">TRANSITION</w:t>
      </w:r>
    </w:p>
    <w:p>
      <w:pPr>
        <w:shd w:fill="F5EFD9" w:val="clear"/>
        <w:spacing w:after="100"/>
      </w:pPr>
      <w:r>
        <w:rPr>
          <w:i/>
          <w:iCs/>
          <w:color w:val="4A3A0A"/>
          <w:sz w:val="21"/>
          <w:szCs w:val="21"/>
        </w:rPr>
        <w:t xml:space="preserve">“Let's start with the business problem this actually solves.” → Slide 2.</w:t>
      </w:r>
    </w:p>
    <w:p>
      <w:pPr>
        <w:pStyle w:val="Heading1"/>
        <w:pBdr>
          <w:bottom w:val="single" w:color="9C7A1E" w:sz="6" w:space="4"/>
        </w:pBdr>
        <w:spacing w:after="120" w:before="400"/>
      </w:pPr>
      <w:r>
        <w:rPr>
          <w:b/>
          <w:bCs/>
          <w:color w:val="9C7A1E"/>
        </w:rPr>
        <w:t xml:space="preserve">Slide 2  —  </w:t>
      </w:r>
      <w:r>
        <w:rPr>
          <w:b/>
          <w:bCs/>
          <w:color w:val="1A1A1A"/>
        </w:rPr>
        <w:t xml:space="preserve">Executive Summary</w:t>
      </w:r>
    </w:p>
    <w:p>
      <w:pPr>
        <w:spacing w:after="60" w:before="120"/>
      </w:pPr>
      <w:r>
        <w:rPr>
          <w:b/>
          <w:bCs/>
          <w:color w:val="6B551A"/>
          <w:sz w:val="19"/>
          <w:szCs w:val="19"/>
        </w:rPr>
        <w:t xml:space="preserve">TALK TRACK</w:t>
      </w:r>
    </w:p>
    <w:p>
      <w:pPr>
        <w:spacing w:after="160"/>
      </w:pPr>
      <w:r>
        <w:rPr>
          <w:i/>
          <w:iCs/>
          <w:color w:val="333333"/>
          <w:sz w:val="21"/>
          <w:szCs w:val="21"/>
        </w:rPr>
        <w:t xml:space="preserve">State the challenge in plain language: IT and security teams want the best AI models, but can't sacrifice controls they already have in Azure — SSO, RBAC, audit logs, data residency, budget control.</w:t>
      </w:r>
    </w:p>
    <w:p>
      <w:pPr>
        <w:spacing w:after="60"/>
      </w:pPr>
      <w:r>
        <w:rPr>
          <w:b/>
          <w:bCs/>
          <w:color w:val="6B551A"/>
          <w:sz w:val="19"/>
          <w:szCs w:val="19"/>
        </w:rPr>
        <w:t xml:space="preserve">WHAT TO EXPLAIN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The six requirements (Security, Governance, Compliance, Identity, Cost Control, Monitoring) are the standard checklist any enterprise architecture review applies to a new AI vendor.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Solution statement is the thesis of the whole deck: Foundry is the enterprise control plane, Claude is the intelligence layer. Repeat this mental model.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Emphasize “both Azure-hosted AND Anthropic-hosted” — this dual-path capability is the main technical nuance the rest of the deck unpacks.</w:t>
      </w:r>
    </w:p>
    <w:p>
      <w:pPr>
        <w:spacing w:after="40" w:before="160"/>
      </w:pPr>
      <w:r>
        <w:rPr>
          <w:b/>
          <w:bCs/>
          <w:color w:val="6B551A"/>
          <w:sz w:val="19"/>
          <w:szCs w:val="19"/>
        </w:rPr>
        <w:t xml:space="preserve">TRANSITION</w:t>
      </w:r>
    </w:p>
    <w:p>
      <w:pPr>
        <w:shd w:fill="F5EFD9" w:val="clear"/>
        <w:spacing w:after="100"/>
      </w:pPr>
      <w:r>
        <w:rPr>
          <w:i/>
          <w:iCs/>
          <w:color w:val="4A3A0A"/>
          <w:sz w:val="21"/>
          <w:szCs w:val="21"/>
        </w:rPr>
        <w:t xml:space="preserve">“To understand how that works, let's first define what Foundry actually is.” → Slide 3.</w:t>
      </w:r>
    </w:p>
    <w:p>
      <w:pPr>
        <w:pStyle w:val="Heading1"/>
        <w:pBdr>
          <w:bottom w:val="single" w:color="9C7A1E" w:sz="6" w:space="4"/>
        </w:pBdr>
        <w:spacing w:after="120" w:before="400"/>
      </w:pPr>
      <w:r>
        <w:rPr>
          <w:b/>
          <w:bCs/>
          <w:color w:val="9C7A1E"/>
        </w:rPr>
        <w:t xml:space="preserve">Slide 3  —  </w:t>
      </w:r>
      <w:r>
        <w:rPr>
          <w:b/>
          <w:bCs/>
          <w:color w:val="1A1A1A"/>
        </w:rPr>
        <w:t xml:space="preserve">What is Microsoft Foundry?</w:t>
      </w:r>
    </w:p>
    <w:p>
      <w:pPr>
        <w:spacing w:after="60" w:before="120"/>
      </w:pPr>
      <w:r>
        <w:rPr>
          <w:b/>
          <w:bCs/>
          <w:color w:val="6B551A"/>
          <w:sz w:val="19"/>
          <w:szCs w:val="19"/>
        </w:rPr>
        <w:t xml:space="preserve">TALK TRACK</w:t>
      </w:r>
    </w:p>
    <w:p>
      <w:pPr>
        <w:spacing w:after="160"/>
      </w:pPr>
      <w:r>
        <w:rPr>
          <w:i/>
          <w:iCs/>
          <w:color w:val="333333"/>
          <w:sz w:val="21"/>
          <w:szCs w:val="21"/>
        </w:rPr>
        <w:t xml:space="preserve">Define Foundry concretely: a single pane of glass covering seven capabilities — Models, Agents, Observability, Security, Governance, Deployment, Evaluation.</w:t>
      </w:r>
    </w:p>
    <w:p>
      <w:pPr>
        <w:spacing w:after="60"/>
      </w:pPr>
      <w:r>
        <w:rPr>
          <w:b/>
          <w:bCs/>
          <w:color w:val="6B551A"/>
          <w:sz w:val="19"/>
          <w:szCs w:val="19"/>
        </w:rPr>
        <w:t xml:space="preserve">WHAT TO EXPLAIN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Walk the diagram: Foundry sits above everything; underneath hangs a catalog of AI Models (multi-vendor), Agents, AI Search, Evaluation, Monitoring and Governance.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Key point: Foundry is a MODEL CATALOG, not a single model — it carries GPT, Claude, Llama, Mistral and others side by side.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Business value: centralized governance and a single platform mean one set of policies, one audit trail, one bill — instead of every team standing up its own AI integration.</w:t>
      </w:r>
    </w:p>
    <w:p>
      <w:pPr>
        <w:spacing w:after="40" w:before="160"/>
      </w:pPr>
      <w:r>
        <w:rPr>
          <w:b/>
          <w:bCs/>
          <w:color w:val="6B551A"/>
          <w:sz w:val="19"/>
          <w:szCs w:val="19"/>
        </w:rPr>
        <w:t xml:space="preserve">TRANSITION</w:t>
      </w:r>
    </w:p>
    <w:p>
      <w:pPr>
        <w:shd w:fill="F5EFD9" w:val="clear"/>
        <w:spacing w:after="100"/>
      </w:pPr>
      <w:r>
        <w:rPr>
          <w:i/>
          <w:iCs/>
          <w:color w:val="4A3A0A"/>
          <w:sz w:val="21"/>
          <w:szCs w:val="21"/>
        </w:rPr>
        <w:t xml:space="preserve">“With the platform defined, the natural question is: of all those models, why choose Claude?” → Slide 4.</w:t>
      </w:r>
    </w:p>
    <w:p>
      <w:pPr>
        <w:pStyle w:val="Heading1"/>
        <w:pBdr>
          <w:bottom w:val="single" w:color="9C7A1E" w:sz="6" w:space="4"/>
        </w:pBdr>
        <w:spacing w:after="120" w:before="400"/>
      </w:pPr>
      <w:r>
        <w:rPr>
          <w:b/>
          <w:bCs/>
          <w:color w:val="9C7A1E"/>
        </w:rPr>
        <w:t xml:space="preserve">Slide 4  —  </w:t>
      </w:r>
      <w:r>
        <w:rPr>
          <w:b/>
          <w:bCs/>
          <w:color w:val="1A1A1A"/>
        </w:rPr>
        <w:t xml:space="preserve">Why Claude?</w:t>
      </w:r>
    </w:p>
    <w:p>
      <w:pPr>
        <w:spacing w:after="60" w:before="120"/>
      </w:pPr>
      <w:r>
        <w:rPr>
          <w:b/>
          <w:bCs/>
          <w:color w:val="6B551A"/>
          <w:sz w:val="19"/>
          <w:szCs w:val="19"/>
        </w:rPr>
        <w:t xml:space="preserve">TALK TRACK</w:t>
      </w:r>
    </w:p>
    <w:p>
      <w:pPr>
        <w:spacing w:after="160"/>
      </w:pPr>
      <w:r>
        <w:rPr>
          <w:i/>
          <w:iCs/>
          <w:color w:val="333333"/>
          <w:sz w:val="21"/>
          <w:szCs w:val="21"/>
        </w:rPr>
        <w:t xml:space="preserve">Position Claude's differentiators as fit-for-purpose reasons an architect would pick it for specific workloads, not marketing.</w:t>
      </w:r>
    </w:p>
    <w:p>
      <w:pPr>
        <w:spacing w:after="60"/>
      </w:pPr>
      <w:r>
        <w:rPr>
          <w:b/>
          <w:bCs/>
          <w:color w:val="6B551A"/>
          <w:sz w:val="19"/>
          <w:szCs w:val="19"/>
        </w:rPr>
        <w:t xml:space="preserve">WHAT TO EXPLAIN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Strengths list: call out 2–3 that matter most to your audience (agentic workflows / long-running tasks for technical crowds; financial analysis / enterprise assistants for business crowds).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Claude Family tree — walk top to bottom: Haiku (cheapest/fastest), Sonnet (default production workhorse, best cost/performance), Opus (max intelligence for research/financial modeling), Fable (autonomous agentic work), Mythos (cybersecurity research).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Claude is reached through Foundry's partner model catalog — a first-class partner offering, not a Microsoft-built model.</w:t>
      </w:r>
    </w:p>
    <w:p>
      <w:pPr>
        <w:spacing w:after="40" w:before="160"/>
      </w:pPr>
      <w:r>
        <w:rPr>
          <w:b/>
          <w:bCs/>
          <w:color w:val="6B551A"/>
          <w:sz w:val="19"/>
          <w:szCs w:val="19"/>
        </w:rPr>
        <w:t xml:space="preserve">TRANSITION</w:t>
      </w:r>
    </w:p>
    <w:p>
      <w:pPr>
        <w:shd w:fill="F5EFD9" w:val="clear"/>
        <w:spacing w:after="100"/>
      </w:pPr>
      <w:r>
        <w:rPr>
          <w:i/>
          <w:iCs/>
          <w:color w:val="4A3A0A"/>
          <w:sz w:val="21"/>
          <w:szCs w:val="21"/>
        </w:rPr>
        <w:t xml:space="preserve">“Given five different Claude models, how do you decide which one to use? There's a simple framework.” → Slide 5.</w:t>
      </w:r>
    </w:p>
    <w:p>
      <w:pPr>
        <w:pStyle w:val="Heading1"/>
        <w:pBdr>
          <w:bottom w:val="single" w:color="9C7A1E" w:sz="6" w:space="4"/>
        </w:pBdr>
        <w:spacing w:after="120" w:before="400"/>
      </w:pPr>
      <w:r>
        <w:rPr>
          <w:b/>
          <w:bCs/>
          <w:color w:val="9C7A1E"/>
        </w:rPr>
        <w:t xml:space="preserve">Slide 5  —  </w:t>
      </w:r>
      <w:r>
        <w:rPr>
          <w:b/>
          <w:bCs/>
          <w:color w:val="1A1A1A"/>
        </w:rPr>
        <w:t xml:space="preserve">Claude Model Selection Framework</w:t>
      </w:r>
    </w:p>
    <w:p>
      <w:pPr>
        <w:spacing w:after="60" w:before="120"/>
      </w:pPr>
      <w:r>
        <w:rPr>
          <w:b/>
          <w:bCs/>
          <w:color w:val="6B551A"/>
          <w:sz w:val="19"/>
          <w:szCs w:val="19"/>
        </w:rPr>
        <w:t xml:space="preserve">TALK TRACK</w:t>
      </w:r>
    </w:p>
    <w:p>
      <w:pPr>
        <w:spacing w:after="160"/>
      </w:pPr>
      <w:r>
        <w:rPr>
          <w:i/>
          <w:iCs/>
          <w:color w:val="333333"/>
          <w:sz w:val="21"/>
          <w:szCs w:val="21"/>
        </w:rPr>
        <w:t xml:space="preserve">This is the “cheat sheet” slide — useful as a leave-behind reference for engineering teams.</w:t>
      </w:r>
    </w:p>
    <w:p>
      <w:pPr>
        <w:spacing w:after="60"/>
      </w:pPr>
      <w:r>
        <w:rPr>
          <w:b/>
          <w:bCs/>
          <w:color w:val="6B551A"/>
          <w:sz w:val="19"/>
          <w:szCs w:val="19"/>
        </w:rPr>
        <w:t xml:space="preserve">WHAT TO EXPLAIN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Enterprise copilot / knowledge assistant → Sonnet 5 (default).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Deep financial or research reasoning → Opus 5.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Autonomous multi-step agents → Fable 5. Security research tooling → Mythos 5. High-volume/low-latency APIs → Haiku 4.5.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Land on the recommendation: Sonnet 5 covers roughly 80% of enterprise workloads — start with Sonnet, escalate only when needed.</w:t>
      </w:r>
    </w:p>
    <w:p>
      <w:pPr>
        <w:spacing w:after="40" w:before="160"/>
      </w:pPr>
      <w:r>
        <w:rPr>
          <w:b/>
          <w:bCs/>
          <w:color w:val="6B551A"/>
          <w:sz w:val="19"/>
          <w:szCs w:val="19"/>
        </w:rPr>
        <w:t xml:space="preserve">TRANSITION</w:t>
      </w:r>
    </w:p>
    <w:p>
      <w:pPr>
        <w:shd w:fill="F5EFD9" w:val="clear"/>
        <w:spacing w:after="100"/>
      </w:pPr>
      <w:r>
        <w:rPr>
          <w:i/>
          <w:iCs/>
          <w:color w:val="4A3A0A"/>
          <w:sz w:val="21"/>
          <w:szCs w:val="21"/>
        </w:rPr>
        <w:t xml:space="preserve">“Now that we know which model to pick, the next decision is WHERE it runs.” → Slide 6.</w:t>
      </w:r>
    </w:p>
    <w:p>
      <w:pPr>
        <w:pStyle w:val="Heading1"/>
        <w:pBdr>
          <w:bottom w:val="single" w:color="9C7A1E" w:sz="6" w:space="4"/>
        </w:pBdr>
        <w:spacing w:after="120" w:before="400"/>
      </w:pPr>
      <w:r>
        <w:rPr>
          <w:b/>
          <w:bCs/>
          <w:color w:val="9C7A1E"/>
        </w:rPr>
        <w:t xml:space="preserve">Slide 6  —  </w:t>
      </w:r>
      <w:r>
        <w:rPr>
          <w:b/>
          <w:bCs/>
          <w:color w:val="1A1A1A"/>
        </w:rPr>
        <w:t xml:space="preserve">How Claude is Offered in Microsoft Foundry</w:t>
      </w:r>
    </w:p>
    <w:p>
      <w:pPr>
        <w:spacing w:after="60" w:before="120"/>
      </w:pPr>
      <w:r>
        <w:rPr>
          <w:b/>
          <w:bCs/>
          <w:color w:val="6B551A"/>
          <w:sz w:val="19"/>
          <w:szCs w:val="19"/>
        </w:rPr>
        <w:t xml:space="preserve">TALK TRACK</w:t>
      </w:r>
    </w:p>
    <w:p>
      <w:pPr>
        <w:spacing w:after="160"/>
      </w:pPr>
      <w:r>
        <w:rPr>
          <w:i/>
          <w:iCs/>
          <w:color w:val="333333"/>
          <w:sz w:val="21"/>
          <w:szCs w:val="21"/>
        </w:rPr>
        <w:t xml:space="preserve">This is the pivot slide of the whole deck — spend real time here.</w:t>
      </w:r>
    </w:p>
    <w:p>
      <w:pPr>
        <w:spacing w:after="60"/>
      </w:pPr>
      <w:r>
        <w:rPr>
          <w:b/>
          <w:bCs/>
          <w:color w:val="6B551A"/>
          <w:sz w:val="19"/>
          <w:szCs w:val="19"/>
        </w:rPr>
        <w:t xml:space="preserve">WHAT TO EXPLAIN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Lead with the callout: “Foundry is NOT the model — it's the management plane.” Foundry orchestrates access to models that run elsewhere.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Walk the diagram top-down: a request enters Microsoft Foundry, which routes it down one of two paths — Azure Hosted Claude (runs on Azure Infrastructure) or Anthropic Hosted Claude (runs on Anthropic Infrastructure), still managed/billed/governed through Foundry.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This is the single most important architectural fact in the deck: same Foundry front door, two different backends.</w:t>
      </w:r>
    </w:p>
    <w:p>
      <w:pPr>
        <w:spacing w:after="40" w:before="160"/>
      </w:pPr>
      <w:r>
        <w:rPr>
          <w:b/>
          <w:bCs/>
          <w:color w:val="6B551A"/>
          <w:sz w:val="19"/>
          <w:szCs w:val="19"/>
        </w:rPr>
        <w:t xml:space="preserve">TRANSITION</w:t>
      </w:r>
    </w:p>
    <w:p>
      <w:pPr>
        <w:shd w:fill="F5EFD9" w:val="clear"/>
        <w:spacing w:after="100"/>
      </w:pPr>
      <w:r>
        <w:rPr>
          <w:i/>
          <w:iCs/>
          <w:color w:val="4A3A0A"/>
          <w:sz w:val="21"/>
          <w:szCs w:val="21"/>
        </w:rPr>
        <w:t xml:space="preserve">“Let's zoom into the Anthropic-hosted path first, since that's often the less familiar one.” → Slide 7.</w:t>
      </w:r>
    </w:p>
    <w:p>
      <w:pPr>
        <w:pStyle w:val="Heading1"/>
        <w:pBdr>
          <w:bottom w:val="single" w:color="9C7A1E" w:sz="6" w:space="4"/>
        </w:pBdr>
        <w:spacing w:after="120" w:before="400"/>
      </w:pPr>
      <w:r>
        <w:rPr>
          <w:b/>
          <w:bCs/>
          <w:color w:val="9C7A1E"/>
        </w:rPr>
        <w:t xml:space="preserve">Slide 7  —  </w:t>
      </w:r>
      <w:r>
        <w:rPr>
          <w:b/>
          <w:bCs/>
          <w:color w:val="1A1A1A"/>
        </w:rPr>
        <w:t xml:space="preserve">Anthropic Hosted Claude Architecture</w:t>
      </w:r>
    </w:p>
    <w:p>
      <w:pPr>
        <w:spacing w:after="60" w:before="120"/>
      </w:pPr>
      <w:r>
        <w:rPr>
          <w:b/>
          <w:bCs/>
          <w:color w:val="6B551A"/>
          <w:sz w:val="19"/>
          <w:szCs w:val="19"/>
        </w:rPr>
        <w:t xml:space="preserve">TALK TRACK</w:t>
      </w:r>
    </w:p>
    <w:p>
      <w:pPr>
        <w:spacing w:after="160"/>
      </w:pPr>
      <w:r>
        <w:rPr>
          <w:i/>
          <w:iCs/>
          <w:color w:val="333333"/>
          <w:sz w:val="21"/>
          <w:szCs w:val="21"/>
        </w:rPr>
        <w:t xml:space="preserve">Walk the request flow top to bottom exactly as drawn: User/Application → Microsoft Foundry → Anthropic Infrastructure → Claude Model → Generated Response.</w:t>
      </w:r>
    </w:p>
    <w:p>
      <w:pPr>
        <w:spacing w:after="60"/>
      </w:pPr>
      <w:r>
        <w:rPr>
          <w:b/>
          <w:bCs/>
          <w:color w:val="6B551A"/>
          <w:sz w:val="19"/>
          <w:szCs w:val="19"/>
        </w:rPr>
        <w:t xml:space="preserve">WHAT TO EXPLAIN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The highlighted box (Anthropic Infrastructure) is the key difference from the Azure path — the prompt and model weights meet on servers Anthropic operates.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“Foundry still handles” list: deployment experience, billing, project management, identity integration, API access all stay inside the familiar Azure/Foundry experience.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“Latest Claude innovations generally appear here first” — this path talks directly to Anthropic, so new model versions/features often land here before Azure-hosted certification.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Compliance note: prompts/outputs are processed on Anthropic's infrastructure — best for teams comfortable with Anthropic's own security/compliance posture.</w:t>
      </w:r>
    </w:p>
    <w:p>
      <w:pPr>
        <w:spacing w:after="40" w:before="160"/>
      </w:pPr>
      <w:r>
        <w:rPr>
          <w:b/>
          <w:bCs/>
          <w:color w:val="6B551A"/>
          <w:sz w:val="19"/>
          <w:szCs w:val="19"/>
        </w:rPr>
        <w:t xml:space="preserve">TRANSITION</w:t>
      </w:r>
    </w:p>
    <w:p>
      <w:pPr>
        <w:shd w:fill="F5EFD9" w:val="clear"/>
        <w:spacing w:after="100"/>
      </w:pPr>
      <w:r>
        <w:rPr>
          <w:i/>
          <w:iCs/>
          <w:color w:val="4A3A0A"/>
          <w:sz w:val="21"/>
          <w:szCs w:val="21"/>
        </w:rPr>
        <w:t xml:space="preserve">“Now the mirror image — how does it work when Claude runs inside Azure itself?” → Slide 8.</w:t>
      </w:r>
    </w:p>
    <w:p>
      <w:pPr>
        <w:pStyle w:val="Heading1"/>
        <w:pBdr>
          <w:bottom w:val="single" w:color="9C7A1E" w:sz="6" w:space="4"/>
        </w:pBdr>
        <w:spacing w:after="120" w:before="400"/>
      </w:pPr>
      <w:r>
        <w:rPr>
          <w:b/>
          <w:bCs/>
          <w:color w:val="9C7A1E"/>
        </w:rPr>
        <w:t xml:space="preserve">Slide 8  —  </w:t>
      </w:r>
      <w:r>
        <w:rPr>
          <w:b/>
          <w:bCs/>
          <w:color w:val="1A1A1A"/>
        </w:rPr>
        <w:t xml:space="preserve">Azure Hosted Claude Architecture</w:t>
      </w:r>
    </w:p>
    <w:p>
      <w:pPr>
        <w:spacing w:after="60" w:before="120"/>
      </w:pPr>
      <w:r>
        <w:rPr>
          <w:b/>
          <w:bCs/>
          <w:color w:val="6B551A"/>
          <w:sz w:val="19"/>
          <w:szCs w:val="19"/>
        </w:rPr>
        <w:t xml:space="preserve">TALK TRACK</w:t>
      </w:r>
    </w:p>
    <w:p>
      <w:pPr>
        <w:spacing w:after="160"/>
      </w:pPr>
      <w:r>
        <w:rPr>
          <w:i/>
          <w:iCs/>
          <w:color w:val="333333"/>
          <w:sz w:val="21"/>
          <w:szCs w:val="21"/>
        </w:rPr>
        <w:t xml:space="preserve">Same five-step flow, but everything after Foundry stays inside Azure.</w:t>
      </w:r>
    </w:p>
    <w:p>
      <w:pPr>
        <w:spacing w:after="60"/>
      </w:pPr>
      <w:r>
        <w:rPr>
          <w:b/>
          <w:bCs/>
          <w:color w:val="6B551A"/>
          <w:sz w:val="19"/>
          <w:szCs w:val="19"/>
        </w:rPr>
        <w:t xml:space="preserve">WHAT TO EXPLAIN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Contrast directly with the previous slide: identical shape, but the highlighted box is now “Azure Infrastructure” — inference never leaves Microsoft's cloud boundary.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Matters most for regulated industries: organizations can lean on Azure's existing certifications (SOC 2, ISO 27001, FedRAMP, HIPAA, etc.) and data residency guarantees without a separate assessment of Anthropic's infrastructure.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Characteristics to stress: strong compliance alignment, better regulatory support, stronger data residency controls.</w:t>
      </w:r>
    </w:p>
    <w:p>
      <w:pPr>
        <w:spacing w:after="40" w:before="160"/>
      </w:pPr>
      <w:r>
        <w:rPr>
          <w:b/>
          <w:bCs/>
          <w:color w:val="6B551A"/>
          <w:sz w:val="19"/>
          <w:szCs w:val="19"/>
        </w:rPr>
        <w:t xml:space="preserve">TRANSITION</w:t>
      </w:r>
    </w:p>
    <w:p>
      <w:pPr>
        <w:shd w:fill="F5EFD9" w:val="clear"/>
        <w:spacing w:after="100"/>
      </w:pPr>
      <w:r>
        <w:rPr>
          <w:i/>
          <w:iCs/>
          <w:color w:val="4A3A0A"/>
          <w:sz w:val="21"/>
          <w:szCs w:val="21"/>
        </w:rPr>
        <w:t xml:space="preserve">“So we have two valid paths. Let's put them side-by-side so the decision is crystal clear.” → Slide 9.</w:t>
      </w:r>
    </w:p>
    <w:p>
      <w:pPr>
        <w:pStyle w:val="Heading1"/>
        <w:pBdr>
          <w:bottom w:val="single" w:color="9C7A1E" w:sz="6" w:space="4"/>
        </w:pBdr>
        <w:spacing w:after="120" w:before="400"/>
      </w:pPr>
      <w:r>
        <w:rPr>
          <w:b/>
          <w:bCs/>
          <w:color w:val="9C7A1E"/>
        </w:rPr>
        <w:t xml:space="preserve">Slide 9  —  </w:t>
      </w:r>
      <w:r>
        <w:rPr>
          <w:b/>
          <w:bCs/>
          <w:color w:val="1A1A1A"/>
        </w:rPr>
        <w:t xml:space="preserve">Azure Hosted vs Anthropic Hosted</w:t>
      </w:r>
    </w:p>
    <w:p>
      <w:pPr>
        <w:spacing w:after="60" w:before="120"/>
      </w:pPr>
      <w:r>
        <w:rPr>
          <w:b/>
          <w:bCs/>
          <w:color w:val="6B551A"/>
          <w:sz w:val="19"/>
          <w:szCs w:val="19"/>
        </w:rPr>
        <w:t xml:space="preserve">TALK TRACK</w:t>
      </w:r>
    </w:p>
    <w:p>
      <w:pPr>
        <w:spacing w:after="160"/>
      </w:pPr>
      <w:r>
        <w:rPr>
          <w:i/>
          <w:iCs/>
          <w:color w:val="333333"/>
          <w:sz w:val="21"/>
          <w:szCs w:val="21"/>
        </w:rPr>
        <w:t xml:space="preserve">This is the decision-matrix slide — many audiences will photograph this one.</w:t>
      </w:r>
    </w:p>
    <w:p>
      <w:pPr>
        <w:spacing w:after="60"/>
      </w:pPr>
      <w:r>
        <w:rPr>
          <w:b/>
          <w:bCs/>
          <w:color w:val="6B551A"/>
          <w:sz w:val="19"/>
          <w:szCs w:val="19"/>
        </w:rPr>
        <w:t xml:space="preserve">WHAT TO EXPLAIN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Hit the rows that drive decisions: Data Residency, Compliance Alignment, Regulatory Workloads, Latest Features — Azure wins on compliance/control, Anthropic wins on being first with new capability.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“Research Workloads: Good vs Excellent” — research/innovation teams often prefer Anthropic-hosted for early access to new Claude capabilities.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Decision Matrix rule of thumb: Azure Hosted for banking, healthcare, government, insurance, compliance-heavy environments. Anthropic Hosted for research, innovation, early adoption, advanced agentic workloads.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Framing line: “This isn't Azure vs Anthropic as competitors — it's Foundry giving you both, and you pick per-workload.”</w:t>
      </w:r>
    </w:p>
    <w:p>
      <w:pPr>
        <w:spacing w:after="40" w:before="160"/>
      </w:pPr>
      <w:r>
        <w:rPr>
          <w:b/>
          <w:bCs/>
          <w:color w:val="6B551A"/>
          <w:sz w:val="19"/>
          <w:szCs w:val="19"/>
        </w:rPr>
        <w:t xml:space="preserve">TRANSITION</w:t>
      </w:r>
    </w:p>
    <w:p>
      <w:pPr>
        <w:shd w:fill="F5EFD9" w:val="clear"/>
        <w:spacing w:after="100"/>
      </w:pPr>
      <w:r>
        <w:rPr>
          <w:i/>
          <w:iCs/>
          <w:color w:val="4A3A0A"/>
          <w:sz w:val="21"/>
          <w:szCs w:val="21"/>
        </w:rPr>
        <w:t xml:space="preserve">“Compliance depends heavily on how data actually flows, so let's go one level deeper into the data path itself.” → Slide 10.</w:t>
      </w:r>
    </w:p>
    <w:p>
      <w:pPr>
        <w:pStyle w:val="Heading1"/>
        <w:pBdr>
          <w:bottom w:val="single" w:color="9C7A1E" w:sz="6" w:space="4"/>
        </w:pBdr>
        <w:spacing w:after="120" w:before="400"/>
      </w:pPr>
      <w:r>
        <w:rPr>
          <w:b/>
          <w:bCs/>
          <w:color w:val="9C7A1E"/>
        </w:rPr>
        <w:t xml:space="preserve">Slide 10  —  </w:t>
      </w:r>
      <w:r>
        <w:rPr>
          <w:b/>
          <w:bCs/>
          <w:color w:val="1A1A1A"/>
        </w:rPr>
        <w:t xml:space="preserve">Data Privacy &amp; Security Architecture</w:t>
      </w:r>
    </w:p>
    <w:p>
      <w:pPr>
        <w:spacing w:after="60" w:before="120"/>
      </w:pPr>
      <w:r>
        <w:rPr>
          <w:b/>
          <w:bCs/>
          <w:color w:val="6B551A"/>
          <w:sz w:val="19"/>
          <w:szCs w:val="19"/>
        </w:rPr>
        <w:t xml:space="preserve">TALK TRACK</w:t>
      </w:r>
    </w:p>
    <w:p>
      <w:pPr>
        <w:spacing w:after="160"/>
      </w:pPr>
      <w:r>
        <w:rPr>
          <w:i/>
          <w:iCs/>
          <w:color w:val="333333"/>
          <w:sz w:val="21"/>
          <w:szCs w:val="21"/>
        </w:rPr>
        <w:t xml:space="preserve">This slide answers the question every security reviewer asks: “Where does my data actually go?”</w:t>
      </w:r>
    </w:p>
    <w:p>
      <w:pPr>
        <w:spacing w:after="60"/>
      </w:pPr>
      <w:r>
        <w:rPr>
          <w:b/>
          <w:bCs/>
          <w:color w:val="6B551A"/>
          <w:sz w:val="19"/>
          <w:szCs w:val="19"/>
        </w:rPr>
        <w:t xml:space="preserve">WHAT TO EXPLAIN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Two mini pipelines side by side: in both cases data flows through Foundry first (consistent governance/logging), then diverges — Azure Processing vs Anthropic Processing — before reaching Claude and returning a response.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Security Considerations table goes deeper on the same four dimensions framed for a security reviewer: Processing Location, Residency Control, Regulatory Fit, Governance.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Nuance: Anthropic-hosted doesn't mean unsecured — it means “shared responsibility” and “review required” rather than “Azure-native by default.” Regulated customers can still use it with their own due diligence.</w:t>
      </w:r>
    </w:p>
    <w:p>
      <w:pPr>
        <w:spacing w:after="40" w:before="160"/>
      </w:pPr>
      <w:r>
        <w:rPr>
          <w:b/>
          <w:bCs/>
          <w:color w:val="6B551A"/>
          <w:sz w:val="19"/>
          <w:szCs w:val="19"/>
        </w:rPr>
        <w:t xml:space="preserve">TRANSITION</w:t>
      </w:r>
    </w:p>
    <w:p>
      <w:pPr>
        <w:shd w:fill="F5EFD9" w:val="clear"/>
        <w:spacing w:after="100"/>
      </w:pPr>
      <w:r>
        <w:rPr>
          <w:i/>
          <w:iCs/>
          <w:color w:val="4A3A0A"/>
          <w:sz w:val="21"/>
          <w:szCs w:val="21"/>
        </w:rPr>
        <w:t xml:space="preserve">“Wherever the model runs, the request still needs to be authenticated. Let's talk identity.” → Slide 11.</w:t>
      </w:r>
    </w:p>
    <w:p>
      <w:pPr>
        <w:pStyle w:val="Heading1"/>
        <w:pBdr>
          <w:bottom w:val="single" w:color="9C7A1E" w:sz="6" w:space="4"/>
        </w:pBdr>
        <w:spacing w:after="120" w:before="400"/>
      </w:pPr>
      <w:r>
        <w:rPr>
          <w:b/>
          <w:bCs/>
          <w:color w:val="9C7A1E"/>
        </w:rPr>
        <w:t xml:space="preserve">Slide 11  —  </w:t>
      </w:r>
      <w:r>
        <w:rPr>
          <w:b/>
          <w:bCs/>
          <w:color w:val="1A1A1A"/>
        </w:rPr>
        <w:t xml:space="preserve">Microsoft Entra ID Authentication</w:t>
      </w:r>
    </w:p>
    <w:p>
      <w:pPr>
        <w:spacing w:after="60" w:before="120"/>
      </w:pPr>
      <w:r>
        <w:rPr>
          <w:b/>
          <w:bCs/>
          <w:color w:val="6B551A"/>
          <w:sz w:val="19"/>
          <w:szCs w:val="19"/>
        </w:rPr>
        <w:t xml:space="preserve">TALK TRACK</w:t>
      </w:r>
    </w:p>
    <w:p>
      <w:pPr>
        <w:spacing w:after="160"/>
      </w:pPr>
      <w:r>
        <w:rPr>
          <w:i/>
          <w:iCs/>
          <w:color w:val="333333"/>
          <w:sz w:val="21"/>
          <w:szCs w:val="21"/>
        </w:rPr>
        <w:t xml:space="preserve">Introduce Microsoft Entra ID (formerly Azure AD) as the recommended way to authenticate calls into Foundry/Claude — as opposed to static API keys.</w:t>
      </w:r>
    </w:p>
    <w:p>
      <w:pPr>
        <w:spacing w:after="60"/>
      </w:pPr>
      <w:r>
        <w:rPr>
          <w:b/>
          <w:bCs/>
          <w:color w:val="6B551A"/>
          <w:sz w:val="19"/>
          <w:szCs w:val="19"/>
        </w:rPr>
        <w:t xml:space="preserve">WHAT TO EXPLAIN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Walk the flow: Application → Microsoft Entra ID → OAuth Token → Foundry Endpoint → Claude Deployment. The app proves identity to Entra ID, gets a short-lived token, and uses that to call Foundry.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Benefits map to enterprise pain points: no hardcoded secrets, RBAC (restrict which teams/apps call which models), Conditional Access (require MFA / block risky sign-ins), Managed Identity (no credential needed at all), enterprise auditability.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This is a standard Azure identity pattern — should feel familiar if the audience already uses Entra ID elsewhere.</w:t>
      </w:r>
    </w:p>
    <w:p>
      <w:pPr>
        <w:spacing w:after="40" w:before="160"/>
      </w:pPr>
      <w:r>
        <w:rPr>
          <w:b/>
          <w:bCs/>
          <w:color w:val="6B551A"/>
          <w:sz w:val="19"/>
          <w:szCs w:val="19"/>
        </w:rPr>
        <w:t xml:space="preserve">TRANSITION</w:t>
      </w:r>
    </w:p>
    <w:p>
      <w:pPr>
        <w:shd w:fill="F5EFD9" w:val="clear"/>
        <w:spacing w:after="100"/>
      </w:pPr>
      <w:r>
        <w:rPr>
          <w:i/>
          <w:iCs/>
          <w:color w:val="4A3A0A"/>
          <w:sz w:val="21"/>
          <w:szCs w:val="21"/>
        </w:rPr>
        <w:t xml:space="preserve">“So why does this matter more than just using a simple API key? Let's compare directly.” → Slide 12.</w:t>
      </w:r>
    </w:p>
    <w:p>
      <w:pPr>
        <w:pStyle w:val="Heading1"/>
        <w:pBdr>
          <w:bottom w:val="single" w:color="9C7A1E" w:sz="6" w:space="4"/>
        </w:pBdr>
        <w:spacing w:after="120" w:before="400"/>
      </w:pPr>
      <w:r>
        <w:rPr>
          <w:b/>
          <w:bCs/>
          <w:color w:val="9C7A1E"/>
        </w:rPr>
        <w:t xml:space="preserve">Slide 12  —  </w:t>
      </w:r>
      <w:r>
        <w:rPr>
          <w:b/>
          <w:bCs/>
          <w:color w:val="1A1A1A"/>
        </w:rPr>
        <w:t xml:space="preserve">Why Entra ID Over API Keys?</w:t>
      </w:r>
    </w:p>
    <w:p>
      <w:pPr>
        <w:spacing w:after="60" w:before="120"/>
      </w:pPr>
      <w:r>
        <w:rPr>
          <w:b/>
          <w:bCs/>
          <w:color w:val="6B551A"/>
          <w:sz w:val="19"/>
          <w:szCs w:val="19"/>
        </w:rPr>
        <w:t xml:space="preserve">TALK TRACK</w:t>
      </w:r>
    </w:p>
    <w:p>
      <w:pPr>
        <w:spacing w:after="160"/>
      </w:pPr>
      <w:r>
        <w:rPr>
          <w:i/>
          <w:iCs/>
          <w:color w:val="333333"/>
          <w:sz w:val="21"/>
          <w:szCs w:val="21"/>
        </w:rPr>
        <w:t xml:space="preserve">Direct, practical comparison — useful for convincing a skeptical engineering team the extra identity setup is worth it.</w:t>
      </w:r>
    </w:p>
    <w:p>
      <w:pPr>
        <w:spacing w:after="60"/>
      </w:pPr>
      <w:r>
        <w:rPr>
          <w:b/>
          <w:bCs/>
          <w:color w:val="6B551A"/>
          <w:sz w:val="19"/>
          <w:szCs w:val="19"/>
        </w:rPr>
        <w:t xml:space="preserve">WHAT TO EXPLAIN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API keys: simple but weak — medium security, manual rotation, no RBAC, no managed identity, limited audit logs. Entra ID: strong across every dimension.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Enterprise Recommendation: API keys for quick proof-of-concept work; require Entra ID for anything going to production; for large enterprise deployments, make Entra ID the ONLY supported path.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Talking point: “API keys are fine for a Friday afternoon prototype. They are not fine for a system touching customer data in production.”</w:t>
      </w:r>
    </w:p>
    <w:p>
      <w:pPr>
        <w:spacing w:after="40" w:before="160"/>
      </w:pPr>
      <w:r>
        <w:rPr>
          <w:b/>
          <w:bCs/>
          <w:color w:val="6B551A"/>
          <w:sz w:val="19"/>
          <w:szCs w:val="19"/>
        </w:rPr>
        <w:t xml:space="preserve">TRANSITION</w:t>
      </w:r>
    </w:p>
    <w:p>
      <w:pPr>
        <w:shd w:fill="F5EFD9" w:val="clear"/>
        <w:spacing w:after="100"/>
      </w:pPr>
      <w:r>
        <w:rPr>
          <w:i/>
          <w:iCs/>
          <w:color w:val="4A3A0A"/>
          <w:sz w:val="21"/>
          <w:szCs w:val="21"/>
        </w:rPr>
        <w:t xml:space="preserve">“With identity and hosting sorted, let's actually walk through what deploying this looks like end to end.” → Slide 13.</w:t>
      </w:r>
    </w:p>
    <w:p>
      <w:pPr>
        <w:pStyle w:val="Heading1"/>
        <w:pBdr>
          <w:bottom w:val="single" w:color="9C7A1E" w:sz="6" w:space="4"/>
        </w:pBdr>
        <w:spacing w:after="120" w:before="400"/>
      </w:pPr>
      <w:r>
        <w:rPr>
          <w:b/>
          <w:bCs/>
          <w:color w:val="9C7A1E"/>
        </w:rPr>
        <w:t xml:space="preserve">Slide 13  —  </w:t>
      </w:r>
      <w:r>
        <w:rPr>
          <w:b/>
          <w:bCs/>
          <w:color w:val="1A1A1A"/>
        </w:rPr>
        <w:t xml:space="preserve">Deploying Anthropic Hosted Claude</w:t>
      </w:r>
    </w:p>
    <w:p>
      <w:pPr>
        <w:spacing w:after="60" w:before="120"/>
      </w:pPr>
      <w:r>
        <w:rPr>
          <w:b/>
          <w:bCs/>
          <w:color w:val="6B551A"/>
          <w:sz w:val="19"/>
          <w:szCs w:val="19"/>
        </w:rPr>
        <w:t xml:space="preserve">TALK TRACK</w:t>
      </w:r>
    </w:p>
    <w:p>
      <w:pPr>
        <w:spacing w:after="160"/>
      </w:pPr>
      <w:r>
        <w:rPr>
          <w:i/>
          <w:iCs/>
          <w:color w:val="333333"/>
          <w:sz w:val="21"/>
          <w:szCs w:val="21"/>
        </w:rPr>
        <w:t xml:space="preserve">This is the hands-on, procedural slide — treat it like a runbook.</w:t>
      </w:r>
    </w:p>
    <w:p>
      <w:pPr>
        <w:spacing w:after="60"/>
      </w:pPr>
      <w:r>
        <w:rPr>
          <w:b/>
          <w:bCs/>
          <w:color w:val="6B551A"/>
          <w:sz w:val="19"/>
          <w:szCs w:val="19"/>
        </w:rPr>
        <w:t xml:space="preserve">WHAT TO EXPLAIN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1) Azure Subscription (billing boundary) → 2) Resource Group (organizational container) → 3) Microsoft Foundry Resource (the service instance) → 4) Foundry Project (workspace for a team/app).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5) Model Catalog (browse available models incl. Claude) → 6) Select Claude Model → 7) Choose Version — explicitly calling out “Hosted on Anthropic Infrastructure” as a selectable option at deployment time. This is literally where the hosting decision gets made in the UI.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8) Deploy → 9) Playground Testing (built-in chat/test UI before writing code) → 10) Application Integration (SDK/API calls, ideally authenticated with Entra ID).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Reinforce: this whole flow lives inside the standard Microsoft Foundry deployment process — no separate Anthropic account needed to get started.</w:t>
      </w:r>
    </w:p>
    <w:p>
      <w:pPr>
        <w:spacing w:after="40" w:before="160"/>
      </w:pPr>
      <w:r>
        <w:rPr>
          <w:b/>
          <w:bCs/>
          <w:color w:val="6B551A"/>
          <w:sz w:val="19"/>
          <w:szCs w:val="19"/>
        </w:rPr>
        <w:t xml:space="preserve">TRANSITION</w:t>
      </w:r>
    </w:p>
    <w:p>
      <w:pPr>
        <w:shd w:fill="F5EFD9" w:val="clear"/>
        <w:spacing w:after="100"/>
      </w:pPr>
      <w:r>
        <w:rPr>
          <w:i/>
          <w:iCs/>
          <w:color w:val="4A3A0A"/>
          <w:sz w:val="21"/>
          <w:szCs w:val="21"/>
        </w:rPr>
        <w:t xml:space="preserve">“Once deployed, how do real applications actually use Claude inside an enterprise? Two proven patterns.” → Slide 14.</w:t>
      </w:r>
    </w:p>
    <w:p>
      <w:pPr>
        <w:pStyle w:val="Heading1"/>
        <w:pBdr>
          <w:bottom w:val="single" w:color="9C7A1E" w:sz="6" w:space="4"/>
        </w:pBdr>
        <w:spacing w:after="120" w:before="400"/>
      </w:pPr>
      <w:r>
        <w:rPr>
          <w:b/>
          <w:bCs/>
          <w:color w:val="9C7A1E"/>
        </w:rPr>
        <w:t xml:space="preserve">Slide 14  —  </w:t>
      </w:r>
      <w:r>
        <w:rPr>
          <w:b/>
          <w:bCs/>
          <w:color w:val="1A1A1A"/>
        </w:rPr>
        <w:t xml:space="preserve">Enterprise Pattern 1 — Claude + Azure AI Search (RAG)</w:t>
      </w:r>
    </w:p>
    <w:p>
      <w:pPr>
        <w:spacing w:after="60" w:before="120"/>
      </w:pPr>
      <w:r>
        <w:rPr>
          <w:b/>
          <w:bCs/>
          <w:color w:val="6B551A"/>
          <w:sz w:val="19"/>
          <w:szCs w:val="19"/>
        </w:rPr>
        <w:t xml:space="preserve">TALK TRACK</w:t>
      </w:r>
    </w:p>
    <w:p>
      <w:pPr>
        <w:spacing w:after="160"/>
      </w:pPr>
      <w:r>
        <w:rPr>
          <w:i/>
          <w:iCs/>
          <w:color w:val="333333"/>
          <w:sz w:val="21"/>
          <w:szCs w:val="21"/>
        </w:rPr>
        <w:t xml:space="preserve">Introduce Retrieval-Augmented Generation (RAG) as the single most common enterprise AI pattern.</w:t>
      </w:r>
    </w:p>
    <w:p>
      <w:pPr>
        <w:spacing w:after="60"/>
      </w:pPr>
      <w:r>
        <w:rPr>
          <w:b/>
          <w:bCs/>
          <w:color w:val="6B551A"/>
          <w:sz w:val="19"/>
          <w:szCs w:val="19"/>
        </w:rPr>
        <w:t xml:space="preserve">WHAT TO EXPLAIN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Flow: User asks a question in an Application → app queries Azure AI Search over your own indexed enterprise content → retrieves relevant documents → documents passed into Claude Sonnet as context → Claude generates a Grounded Response.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“Grounded” means: Claude answers using YOUR company's actual documents, retrieved fresh for that question — not purely from training data. This directly reduces hallucination.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Use cases map to concrete org needs: HR assistant, policy search, SharePoint search, legal knowledge assistant, contract analysis, enterprise knowledge bot.</w:t>
      </w:r>
    </w:p>
    <w:p>
      <w:pPr>
        <w:spacing w:after="40" w:before="160"/>
      </w:pPr>
      <w:r>
        <w:rPr>
          <w:b/>
          <w:bCs/>
          <w:color w:val="6B551A"/>
          <w:sz w:val="19"/>
          <w:szCs w:val="19"/>
        </w:rPr>
        <w:t xml:space="preserve">TRANSITION</w:t>
      </w:r>
    </w:p>
    <w:p>
      <w:pPr>
        <w:shd w:fill="F5EFD9" w:val="clear"/>
        <w:spacing w:after="100"/>
      </w:pPr>
      <w:r>
        <w:rPr>
          <w:i/>
          <w:iCs/>
          <w:color w:val="4A3A0A"/>
          <w:sz w:val="21"/>
          <w:szCs w:val="21"/>
        </w:rPr>
        <w:t xml:space="preserve">“RAG solves the knowledge problem. The second pattern solves a different problem — combining strengths of multiple models.” → Slide 15.</w:t>
      </w:r>
    </w:p>
    <w:p>
      <w:pPr>
        <w:pStyle w:val="Heading1"/>
        <w:pBdr>
          <w:bottom w:val="single" w:color="9C7A1E" w:sz="6" w:space="4"/>
        </w:pBdr>
        <w:spacing w:after="120" w:before="400"/>
      </w:pPr>
      <w:r>
        <w:rPr>
          <w:b/>
          <w:bCs/>
          <w:color w:val="9C7A1E"/>
        </w:rPr>
        <w:t xml:space="preserve">Slide 15  —  </w:t>
      </w:r>
      <w:r>
        <w:rPr>
          <w:b/>
          <w:bCs/>
          <w:color w:val="1A1A1A"/>
        </w:rPr>
        <w:t xml:space="preserve">Enterprise Pattern 2 — Claude + OpenAI Together</w:t>
      </w:r>
    </w:p>
    <w:p>
      <w:pPr>
        <w:spacing w:after="60" w:before="120"/>
      </w:pPr>
      <w:r>
        <w:rPr>
          <w:b/>
          <w:bCs/>
          <w:color w:val="6B551A"/>
          <w:sz w:val="19"/>
          <w:szCs w:val="19"/>
        </w:rPr>
        <w:t xml:space="preserve">TALK TRACK</w:t>
      </w:r>
    </w:p>
    <w:p>
      <w:pPr>
        <w:spacing w:after="160"/>
      </w:pPr>
      <w:r>
        <w:rPr>
          <w:i/>
          <w:iCs/>
          <w:color w:val="333333"/>
          <w:sz w:val="21"/>
          <w:szCs w:val="21"/>
        </w:rPr>
        <w:t xml:space="preserve">Introduce the idea that Foundry lets you orchestrate several model families in a single workflow, not just one.</w:t>
      </w:r>
    </w:p>
    <w:p>
      <w:pPr>
        <w:spacing w:after="60"/>
      </w:pPr>
      <w:r>
        <w:rPr>
          <w:b/>
          <w:bCs/>
          <w:color w:val="6B551A"/>
          <w:sz w:val="19"/>
          <w:szCs w:val="19"/>
        </w:rPr>
        <w:t xml:space="preserve">WHAT TO EXPLAIN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Flow: User request → Foundry Agent (orchestrator) → routes part of the task to Claude (deep reasoning) and part to GPT (structured output) → merges both into a Unified Response.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Model Distribution table: Claude tends to be stronger for complex reasoning, research, coding review; GPT is often preferred for function calling, structured JSON, workflow automation.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Key message: this pattern only works because Foundry is multi-model by design — use the best tool for each sub-task inside one governed platform.</w:t>
      </w:r>
    </w:p>
    <w:p>
      <w:pPr>
        <w:spacing w:after="40" w:before="160"/>
      </w:pPr>
      <w:r>
        <w:rPr>
          <w:b/>
          <w:bCs/>
          <w:color w:val="6B551A"/>
          <w:sz w:val="19"/>
          <w:szCs w:val="19"/>
        </w:rPr>
        <w:t xml:space="preserve">TRANSITION</w:t>
      </w:r>
    </w:p>
    <w:p>
      <w:pPr>
        <w:shd w:fill="F5EFD9" w:val="clear"/>
        <w:spacing w:after="100"/>
      </w:pPr>
      <w:r>
        <w:rPr>
          <w:i/>
          <w:iCs/>
          <w:color w:val="4A3A0A"/>
          <w:sz w:val="21"/>
          <w:szCs w:val="21"/>
        </w:rPr>
        <w:t xml:space="preserve">“Let's zoom back out and pull everything into a single reference architecture and a final decision guide.” → Slide 16.</w:t>
      </w:r>
    </w:p>
    <w:p>
      <w:pPr>
        <w:pStyle w:val="Heading1"/>
        <w:pBdr>
          <w:bottom w:val="single" w:color="9C7A1E" w:sz="6" w:space="4"/>
        </w:pBdr>
        <w:spacing w:after="120" w:before="400"/>
      </w:pPr>
      <w:r>
        <w:rPr>
          <w:b/>
          <w:bCs/>
          <w:color w:val="9C7A1E"/>
        </w:rPr>
        <w:t xml:space="preserve">Slide 16  —  </w:t>
      </w:r>
      <w:r>
        <w:rPr>
          <w:b/>
          <w:bCs/>
          <w:color w:val="1A1A1A"/>
        </w:rPr>
        <w:t xml:space="preserve">Enterprise Reference Architecture &amp; Recommendations</w:t>
      </w:r>
    </w:p>
    <w:p>
      <w:pPr>
        <w:spacing w:after="60" w:before="120"/>
      </w:pPr>
      <w:r>
        <w:rPr>
          <w:b/>
          <w:bCs/>
          <w:color w:val="6B551A"/>
          <w:sz w:val="19"/>
          <w:szCs w:val="19"/>
        </w:rPr>
        <w:t xml:space="preserve">TALK TRACK</w:t>
      </w:r>
    </w:p>
    <w:p>
      <w:pPr>
        <w:spacing w:after="160"/>
      </w:pPr>
      <w:r>
        <w:rPr>
          <w:i/>
          <w:iCs/>
          <w:color w:val="333333"/>
          <w:sz w:val="21"/>
          <w:szCs w:val="21"/>
        </w:rPr>
        <w:t xml:space="preserve">This is the closing/summary slide — tie every earlier concept together into one picture and one decision rule.</w:t>
      </w:r>
    </w:p>
    <w:p>
      <w:pPr>
        <w:spacing w:after="60"/>
      </w:pPr>
      <w:r>
        <w:rPr>
          <w:b/>
          <w:bCs/>
          <w:color w:val="6B551A"/>
          <w:sz w:val="19"/>
          <w:szCs w:val="19"/>
        </w:rPr>
        <w:t xml:space="preserve">WHAT TO EXPLAIN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Walk the vertical pipeline top to bottom: Users (Web/Teams/Mobile) → Enterprise App → API Layer → Azure AI Search + Business APIs → Microsoft Foundry → Foundry Agent → Claude Sonnet 5 → Monitoring/Evaluation/Content Safety → Entra ID + RBAC → Enterprise Data. Every box maps back to something explained earlier.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Close with the two recommendation lists: Azure Hosted when compliance is critical, data residency matters, production enterprise workloads, or regulated industries. Anthropic Hosted when you need the latest Claude innovation first, advanced agentic workloads, or research/AI-innovation initiatives.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A1A1A"/>
          <w:sz w:val="21"/>
          <w:szCs w:val="21"/>
        </w:rPr>
        <w:t xml:space="preserve">End on the thesis from Slide 2: “Foundry is the control plane, Claude is the intelligence layer — and now you know exactly how to choose where that intelligence actually runs.”</w:t>
      </w:r>
    </w:p>
    <w:p>
      <w:pPr>
        <w:spacing w:after="40" w:before="160"/>
      </w:pPr>
      <w:r>
        <w:rPr>
          <w:b/>
          <w:bCs/>
          <w:color w:val="6B551A"/>
          <w:sz w:val="19"/>
          <w:szCs w:val="19"/>
        </w:rPr>
        <w:t xml:space="preserve">TRANSITION</w:t>
      </w:r>
    </w:p>
    <w:p>
      <w:pPr>
        <w:shd w:fill="F5EFD9" w:val="clear"/>
        <w:spacing w:after="100"/>
      </w:pPr>
      <w:r>
        <w:rPr>
          <w:i/>
          <w:iCs/>
          <w:color w:val="4A3A0A"/>
          <w:sz w:val="21"/>
          <w:szCs w:val="21"/>
        </w:rPr>
        <w:t xml:space="preserve">Q&amp;A — anticipate questions on: pricing model, latency differences between hosting paths, how model version upgrades are handled, and migrating a deployment between hosting paths later.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2026-08-24T19:11:19.987Z</dcterms:created>
  <dcterms:modified xsi:type="dcterms:W3CDTF">2026-08-24T19:11:19.988Z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