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98F63" w14:textId="014BF1F4" w:rsidR="008E119B" w:rsidRPr="0075510F" w:rsidRDefault="00D71F14" w:rsidP="00D71F14">
      <w:pPr>
        <w:tabs>
          <w:tab w:val="left" w:pos="1065"/>
          <w:tab w:val="center" w:pos="4513"/>
        </w:tabs>
        <w:rPr>
          <w:rFonts w:ascii="Times New Roman" w:hAnsi="Times New Roman" w:cs="Times New Roman"/>
          <w:sz w:val="52"/>
          <w:szCs w:val="52"/>
          <w:lang w:val="en-US"/>
        </w:rPr>
      </w:pPr>
      <w:r>
        <w:rPr>
          <w:rFonts w:ascii="Eras Demi ITC" w:hAnsi="Eras Demi ITC"/>
          <w:sz w:val="52"/>
          <w:szCs w:val="52"/>
          <w:lang w:val="en-US"/>
        </w:rPr>
        <w:t xml:space="preserve">  </w:t>
      </w:r>
      <w:r w:rsidRPr="0075510F">
        <w:rPr>
          <w:rFonts w:ascii="Times New Roman" w:hAnsi="Times New Roman" w:cs="Times New Roman"/>
          <w:color w:val="FF0000"/>
          <w:sz w:val="52"/>
          <w:szCs w:val="52"/>
          <w:lang w:val="en-US"/>
        </w:rPr>
        <w:t xml:space="preserve">STOCK </w:t>
      </w:r>
      <w:r w:rsidRPr="0075510F">
        <w:rPr>
          <w:rFonts w:ascii="Times New Roman" w:hAnsi="Times New Roman" w:cs="Times New Roman"/>
          <w:color w:val="FF0000"/>
          <w:sz w:val="52"/>
          <w:szCs w:val="52"/>
          <w:lang w:val="en-US"/>
        </w:rPr>
        <w:tab/>
        <w:t>PERFORMANCE ANALYSIS</w:t>
      </w:r>
    </w:p>
    <w:p w14:paraId="0A1A989C" w14:textId="338F6DCC" w:rsidR="00CD63DA" w:rsidRDefault="00CD63DA" w:rsidP="00D71F14">
      <w:pPr>
        <w:tabs>
          <w:tab w:val="left" w:pos="1065"/>
          <w:tab w:val="center" w:pos="4513"/>
        </w:tabs>
        <w:rPr>
          <w:rFonts w:ascii="Eras Demi ITC" w:hAnsi="Eras Demi ITC"/>
          <w:sz w:val="52"/>
          <w:szCs w:val="52"/>
          <w:lang w:val="en-US"/>
        </w:rPr>
      </w:pPr>
      <w:r>
        <w:rPr>
          <w:rFonts w:ascii="Arial Rounded MT Bold" w:hAnsi="Arial Rounded MT Bold" w:cstheme="majorHAnsi"/>
          <w:noProof/>
          <w:sz w:val="32"/>
          <w:szCs w:val="32"/>
          <w:lang w:val="en-US"/>
        </w:rPr>
        <w:drawing>
          <wp:anchor distT="0" distB="0" distL="114300" distR="114300" simplePos="0" relativeHeight="251658240" behindDoc="0" locked="0" layoutInCell="1" allowOverlap="1" wp14:anchorId="2DB2B15B" wp14:editId="04A8D78E">
            <wp:simplePos x="0" y="0"/>
            <wp:positionH relativeFrom="column">
              <wp:posOffset>504825</wp:posOffset>
            </wp:positionH>
            <wp:positionV relativeFrom="paragraph">
              <wp:posOffset>346075</wp:posOffset>
            </wp:positionV>
            <wp:extent cx="4724400" cy="2621915"/>
            <wp:effectExtent l="0" t="0" r="0" b="6985"/>
            <wp:wrapSquare wrapText="bothSides"/>
            <wp:docPr id="173409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0" cy="2621915"/>
                    </a:xfrm>
                    <a:prstGeom prst="rect">
                      <a:avLst/>
                    </a:prstGeom>
                    <a:noFill/>
                  </pic:spPr>
                </pic:pic>
              </a:graphicData>
            </a:graphic>
            <wp14:sizeRelH relativeFrom="margin">
              <wp14:pctWidth>0</wp14:pctWidth>
            </wp14:sizeRelH>
            <wp14:sizeRelV relativeFrom="margin">
              <wp14:pctHeight>0</wp14:pctHeight>
            </wp14:sizeRelV>
          </wp:anchor>
        </w:drawing>
      </w:r>
    </w:p>
    <w:p w14:paraId="4BFCD6F1" w14:textId="20E2B03A" w:rsidR="00CD63DA" w:rsidRDefault="00CD63DA" w:rsidP="00D71F14">
      <w:pPr>
        <w:tabs>
          <w:tab w:val="left" w:pos="1065"/>
          <w:tab w:val="center" w:pos="4513"/>
        </w:tabs>
        <w:rPr>
          <w:rFonts w:ascii="Arial Rounded MT Bold" w:hAnsi="Arial Rounded MT Bold" w:cstheme="majorHAnsi"/>
          <w:sz w:val="32"/>
          <w:szCs w:val="32"/>
          <w:lang w:val="en-US"/>
        </w:rPr>
      </w:pPr>
      <w:r>
        <w:rPr>
          <w:rFonts w:ascii="Arial Rounded MT Bold" w:hAnsi="Arial Rounded MT Bold" w:cstheme="majorHAnsi"/>
          <w:sz w:val="32"/>
          <w:szCs w:val="32"/>
          <w:lang w:val="en-US"/>
        </w:rPr>
        <w:br w:type="textWrapping" w:clear="all"/>
      </w:r>
    </w:p>
    <w:p w14:paraId="1DEEAFF4" w14:textId="1570C2A8" w:rsidR="00CD63DA" w:rsidRPr="00CD63DA" w:rsidRDefault="00CD63DA" w:rsidP="00CD63DA">
      <w:pPr>
        <w:pStyle w:val="ListParagraph"/>
        <w:numPr>
          <w:ilvl w:val="0"/>
          <w:numId w:val="1"/>
        </w:numPr>
        <w:tabs>
          <w:tab w:val="left" w:pos="1065"/>
          <w:tab w:val="center" w:pos="4513"/>
        </w:tabs>
        <w:rPr>
          <w:rFonts w:ascii="Footlight MT Light" w:hAnsi="Footlight MT Light" w:cstheme="majorHAnsi"/>
          <w:sz w:val="28"/>
          <w:szCs w:val="28"/>
          <w:lang w:val="en-US"/>
        </w:rPr>
      </w:pPr>
      <w:r w:rsidRPr="005A7489">
        <w:rPr>
          <w:rFonts w:ascii="Arial Rounded MT Bold" w:hAnsi="Arial Rounded MT Bold" w:cstheme="majorHAnsi"/>
          <w:color w:val="2E74B5" w:themeColor="accent5" w:themeShade="BF"/>
          <w:sz w:val="32"/>
          <w:szCs w:val="32"/>
          <w:lang w:val="en-US"/>
        </w:rPr>
        <w:t>Industry</w:t>
      </w:r>
      <w:r w:rsidRPr="00CD63DA">
        <w:rPr>
          <w:rFonts w:ascii="Arial Rounded MT Bold" w:hAnsi="Arial Rounded MT Bold" w:cstheme="majorHAnsi"/>
          <w:sz w:val="32"/>
          <w:szCs w:val="32"/>
          <w:lang w:val="en-US"/>
        </w:rPr>
        <w:t xml:space="preserve">: </w:t>
      </w:r>
      <w:r w:rsidRPr="00CD63DA">
        <w:rPr>
          <w:rFonts w:ascii="Footlight MT Light" w:hAnsi="Footlight MT Light" w:cstheme="majorHAnsi"/>
          <w:sz w:val="32"/>
          <w:szCs w:val="32"/>
          <w:lang w:val="en-US"/>
        </w:rPr>
        <w:t xml:space="preserve">Financial </w:t>
      </w:r>
      <w:r w:rsidRPr="00CD63DA">
        <w:rPr>
          <w:rFonts w:ascii="Footlight MT Light" w:hAnsi="Footlight MT Light" w:cstheme="majorHAnsi"/>
          <w:sz w:val="28"/>
          <w:szCs w:val="28"/>
          <w:lang w:val="en-US"/>
        </w:rPr>
        <w:t>Services</w:t>
      </w:r>
    </w:p>
    <w:p w14:paraId="2A06E8F1" w14:textId="77777777" w:rsidR="00CD63DA" w:rsidRPr="00CD63DA" w:rsidRDefault="00CD63DA" w:rsidP="00CD63DA">
      <w:pPr>
        <w:tabs>
          <w:tab w:val="left" w:pos="1065"/>
          <w:tab w:val="center" w:pos="4513"/>
        </w:tabs>
        <w:ind w:left="360"/>
        <w:rPr>
          <w:rFonts w:ascii="Footlight MT Light" w:hAnsi="Footlight MT Light" w:cstheme="majorHAnsi"/>
          <w:sz w:val="32"/>
          <w:szCs w:val="32"/>
          <w:lang w:val="en-US"/>
        </w:rPr>
      </w:pPr>
    </w:p>
    <w:p w14:paraId="4AC4423F" w14:textId="397ABD68" w:rsidR="00CD63DA" w:rsidRDefault="00CD63DA" w:rsidP="00CD63DA">
      <w:pPr>
        <w:pStyle w:val="ListParagraph"/>
        <w:numPr>
          <w:ilvl w:val="0"/>
          <w:numId w:val="1"/>
        </w:numPr>
        <w:tabs>
          <w:tab w:val="left" w:pos="1065"/>
          <w:tab w:val="center" w:pos="4513"/>
        </w:tabs>
        <w:rPr>
          <w:rFonts w:ascii="Arial Rounded MT Bold" w:hAnsi="Arial Rounded MT Bold" w:cstheme="majorHAnsi"/>
          <w:sz w:val="32"/>
          <w:szCs w:val="32"/>
          <w:lang w:val="en-US"/>
        </w:rPr>
      </w:pPr>
      <w:r w:rsidRPr="005A7489">
        <w:rPr>
          <w:rFonts w:ascii="Arial Rounded MT Bold" w:hAnsi="Arial Rounded MT Bold" w:cstheme="majorHAnsi"/>
          <w:color w:val="2E74B5" w:themeColor="accent5" w:themeShade="BF"/>
          <w:sz w:val="32"/>
          <w:szCs w:val="32"/>
          <w:lang w:val="en-US"/>
        </w:rPr>
        <w:t xml:space="preserve">General </w:t>
      </w:r>
      <w:proofErr w:type="gramStart"/>
      <w:r w:rsidRPr="005A7489">
        <w:rPr>
          <w:rFonts w:ascii="Arial Rounded MT Bold" w:hAnsi="Arial Rounded MT Bold" w:cstheme="majorHAnsi"/>
          <w:color w:val="2E74B5" w:themeColor="accent5" w:themeShade="BF"/>
          <w:sz w:val="32"/>
          <w:szCs w:val="32"/>
          <w:lang w:val="en-US"/>
        </w:rPr>
        <w:t xml:space="preserve">Overview </w:t>
      </w:r>
      <w:r w:rsidRPr="00CD63DA">
        <w:rPr>
          <w:rFonts w:ascii="Arial Rounded MT Bold" w:hAnsi="Arial Rounded MT Bold" w:cstheme="majorHAnsi"/>
          <w:sz w:val="32"/>
          <w:szCs w:val="32"/>
          <w:lang w:val="en-US"/>
        </w:rPr>
        <w:t>:</w:t>
      </w:r>
      <w:proofErr w:type="gramEnd"/>
      <w:r w:rsidRPr="00CD63DA">
        <w:rPr>
          <w:rFonts w:ascii="Arial Rounded MT Bold" w:hAnsi="Arial Rounded MT Bold" w:cstheme="majorHAnsi"/>
          <w:sz w:val="32"/>
          <w:szCs w:val="32"/>
          <w:lang w:val="en-US"/>
        </w:rPr>
        <w:t xml:space="preserve"> </w:t>
      </w:r>
    </w:p>
    <w:p w14:paraId="6976F798"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1D1BAC7A" w14:textId="6099058E" w:rsidR="00CD63DA" w:rsidRPr="0075510F" w:rsidRDefault="00CD63DA" w:rsidP="00266A7E">
      <w:pPr>
        <w:tabs>
          <w:tab w:val="left" w:pos="1065"/>
          <w:tab w:val="center" w:pos="4513"/>
        </w:tabs>
        <w:jc w:val="center"/>
        <w:rPr>
          <w:rFonts w:ascii="Times New Roman" w:hAnsi="Times New Roman" w:cs="Times New Roman"/>
          <w:sz w:val="24"/>
          <w:szCs w:val="24"/>
          <w:lang w:val="en-US"/>
        </w:rPr>
      </w:pPr>
      <w:r w:rsidRPr="0075510F">
        <w:rPr>
          <w:rFonts w:ascii="Times New Roman" w:hAnsi="Times New Roman" w:cs="Times New Roman"/>
          <w:sz w:val="24"/>
          <w:szCs w:val="24"/>
          <w:lang w:val="en-US"/>
        </w:rPr>
        <w:t>JPMorgan Chase &amp; Co. is one of the largest and most prominent financial institutions globally. It operates in various segments of the financial services industry, including investment banking, asset management, commercial banking, and retail banking. The company provides a wide range of financial services to consumers, businesses, governments, and institutions worldwide.</w:t>
      </w:r>
      <w:r w:rsidR="005A7489" w:rsidRPr="0075510F">
        <w:rPr>
          <w:rFonts w:ascii="Times New Roman" w:hAnsi="Times New Roman" w:cs="Times New Roman"/>
          <w:sz w:val="24"/>
          <w:szCs w:val="24"/>
        </w:rPr>
        <w:t xml:space="preserve"> </w:t>
      </w:r>
      <w:r w:rsidR="005A7489" w:rsidRPr="0075510F">
        <w:rPr>
          <w:rFonts w:ascii="Times New Roman" w:hAnsi="Times New Roman" w:cs="Times New Roman"/>
          <w:sz w:val="24"/>
          <w:szCs w:val="24"/>
          <w:lang w:val="en-US"/>
        </w:rPr>
        <w:t>JPMorgan Chase &amp; Co. is a multinational investment bank and financial services company headquartered in New York City. It is one of the largest and most influential financial institutions globally, offering a broad range of financial services to consumers, corporations, governments, and institutions.</w:t>
      </w:r>
    </w:p>
    <w:p w14:paraId="50A9D4C3" w14:textId="77777777" w:rsidR="005A7489" w:rsidRPr="0075510F" w:rsidRDefault="005A7489" w:rsidP="005A7489">
      <w:pPr>
        <w:tabs>
          <w:tab w:val="left" w:pos="1065"/>
          <w:tab w:val="center" w:pos="4513"/>
        </w:tabs>
        <w:rPr>
          <w:rFonts w:ascii="Times New Roman" w:hAnsi="Times New Roman" w:cs="Times New Roman"/>
          <w:sz w:val="24"/>
          <w:szCs w:val="24"/>
        </w:rPr>
      </w:pPr>
    </w:p>
    <w:p w14:paraId="690A7420" w14:textId="48F3EBCC" w:rsidR="005A7489" w:rsidRPr="005A7489" w:rsidRDefault="005A7489" w:rsidP="005A7489">
      <w:pPr>
        <w:tabs>
          <w:tab w:val="left" w:pos="1065"/>
          <w:tab w:val="center" w:pos="4513"/>
        </w:tabs>
        <w:rPr>
          <w:rFonts w:ascii="Arial Rounded MT Bold" w:hAnsi="Arial Rounded MT Bold"/>
          <w:sz w:val="32"/>
          <w:szCs w:val="32"/>
        </w:rPr>
      </w:pPr>
      <w:r w:rsidRPr="0075510F">
        <w:rPr>
          <w:rFonts w:ascii="Times New Roman" w:hAnsi="Times New Roman" w:cs="Times New Roman"/>
          <w:color w:val="2E74B5" w:themeColor="accent5" w:themeShade="BF"/>
          <w:sz w:val="32"/>
          <w:szCs w:val="32"/>
        </w:rPr>
        <w:t>Global Presence</w:t>
      </w:r>
      <w:r w:rsidRPr="005A7489">
        <w:rPr>
          <w:rFonts w:ascii="Arial Rounded MT Bold" w:hAnsi="Arial Rounded MT Bold"/>
          <w:sz w:val="32"/>
          <w:szCs w:val="32"/>
        </w:rPr>
        <w:t>:</w:t>
      </w:r>
    </w:p>
    <w:p w14:paraId="76F973E7" w14:textId="5115E350" w:rsidR="005A7489" w:rsidRPr="0075510F" w:rsidRDefault="005A7489" w:rsidP="005A7489">
      <w:pPr>
        <w:tabs>
          <w:tab w:val="left" w:pos="1065"/>
          <w:tab w:val="center" w:pos="4513"/>
        </w:tabs>
        <w:rPr>
          <w:rFonts w:ascii="Times New Roman" w:hAnsi="Times New Roman" w:cs="Times New Roman"/>
          <w:sz w:val="24"/>
          <w:szCs w:val="24"/>
        </w:rPr>
      </w:pPr>
      <w:r w:rsidRPr="0075510F">
        <w:rPr>
          <w:rFonts w:ascii="Times New Roman" w:hAnsi="Times New Roman" w:cs="Times New Roman"/>
          <w:sz w:val="24"/>
          <w:szCs w:val="24"/>
        </w:rPr>
        <w:t xml:space="preserve">JPMorgan Chase operates a vast global network with offices and branches in numerous countries and regions worldwide. It serves millions of customers and clients across diverse markets, maintaining a significant presence in major financial </w:t>
      </w:r>
      <w:proofErr w:type="spellStart"/>
      <w:r w:rsidRPr="0075510F">
        <w:rPr>
          <w:rFonts w:ascii="Times New Roman" w:hAnsi="Times New Roman" w:cs="Times New Roman"/>
          <w:sz w:val="24"/>
          <w:szCs w:val="24"/>
        </w:rPr>
        <w:t>centers</w:t>
      </w:r>
      <w:proofErr w:type="spellEnd"/>
      <w:r w:rsidRPr="0075510F">
        <w:rPr>
          <w:rFonts w:ascii="Times New Roman" w:hAnsi="Times New Roman" w:cs="Times New Roman"/>
          <w:sz w:val="24"/>
          <w:szCs w:val="24"/>
        </w:rPr>
        <w:t>.</w:t>
      </w:r>
    </w:p>
    <w:p w14:paraId="298EFE37" w14:textId="0AB2E1E6" w:rsidR="005A7489" w:rsidRDefault="005A7489" w:rsidP="00CD63DA">
      <w:p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E74B5" w:themeColor="accent5" w:themeShade="BF"/>
          <w:sz w:val="32"/>
          <w:szCs w:val="32"/>
          <w:lang w:val="en-US"/>
        </w:rPr>
        <w:t>Key Businesses</w:t>
      </w:r>
      <w:r>
        <w:rPr>
          <w:rFonts w:ascii="Arial Rounded MT Bold" w:hAnsi="Arial Rounded MT Bold" w:cstheme="majorHAnsi"/>
          <w:sz w:val="32"/>
          <w:szCs w:val="32"/>
          <w:lang w:val="en-US"/>
        </w:rPr>
        <w:t>:</w:t>
      </w:r>
    </w:p>
    <w:p w14:paraId="5213C1B7" w14:textId="77777777" w:rsidR="005A7489" w:rsidRDefault="005A7489" w:rsidP="00CD63DA">
      <w:pPr>
        <w:tabs>
          <w:tab w:val="left" w:pos="1065"/>
          <w:tab w:val="center" w:pos="4513"/>
        </w:tabs>
        <w:rPr>
          <w:rFonts w:ascii="Arial Rounded MT Bold" w:hAnsi="Arial Rounded MT Bold" w:cstheme="majorHAnsi"/>
          <w:sz w:val="32"/>
          <w:szCs w:val="32"/>
          <w:lang w:val="en-US"/>
        </w:rPr>
      </w:pPr>
    </w:p>
    <w:p w14:paraId="6942D906" w14:textId="157C7014" w:rsidR="005A7489" w:rsidRPr="005A7489" w:rsidRDefault="005A7489" w:rsidP="0075510F">
      <w:pPr>
        <w:tabs>
          <w:tab w:val="left" w:pos="1065"/>
          <w:tab w:val="center" w:pos="4513"/>
        </w:tabs>
        <w:jc w:val="center"/>
        <w:rPr>
          <w:rFonts w:ascii="Footlight MT Light" w:hAnsi="Footlight MT Light" w:cstheme="majorHAnsi"/>
          <w:sz w:val="28"/>
          <w:szCs w:val="28"/>
          <w:lang w:val="en-US"/>
        </w:rPr>
      </w:pPr>
      <w:r w:rsidRPr="005A7489">
        <w:rPr>
          <w:rFonts w:ascii="Arial Rounded MT Bold" w:hAnsi="Arial Rounded MT Bold" w:cstheme="majorHAnsi"/>
          <w:color w:val="323E4F" w:themeColor="text2" w:themeShade="BF"/>
          <w:sz w:val="32"/>
          <w:szCs w:val="32"/>
          <w:lang w:val="en-US"/>
        </w:rPr>
        <w:lastRenderedPageBreak/>
        <w:t>1.</w:t>
      </w:r>
      <w:r w:rsidRPr="0075510F">
        <w:rPr>
          <w:rFonts w:ascii="Times New Roman" w:hAnsi="Times New Roman" w:cs="Times New Roman"/>
          <w:color w:val="2E74B5" w:themeColor="accent5" w:themeShade="BF"/>
          <w:sz w:val="32"/>
          <w:szCs w:val="32"/>
          <w:lang w:val="en-US"/>
        </w:rPr>
        <w:t>Investment Banking</w:t>
      </w:r>
      <w:r w:rsidRPr="005A7489">
        <w:rPr>
          <w:rFonts w:ascii="Arial Rounded MT Bold" w:hAnsi="Arial Rounded MT Bold" w:cstheme="majorHAnsi"/>
          <w:sz w:val="32"/>
          <w:szCs w:val="32"/>
          <w:lang w:val="en-US"/>
        </w:rPr>
        <w:t xml:space="preserve">: </w:t>
      </w:r>
      <w:r w:rsidRPr="0075510F">
        <w:rPr>
          <w:rFonts w:ascii="Times New Roman" w:hAnsi="Times New Roman" w:cs="Times New Roman"/>
          <w:sz w:val="24"/>
          <w:szCs w:val="24"/>
          <w:lang w:val="en-US"/>
        </w:rPr>
        <w:t>JPMorgan Chase provides investment banking services, including advisory, underwriting, and financing solutions, to corporations, governments, and institutional clients.</w:t>
      </w:r>
    </w:p>
    <w:p w14:paraId="048B6A71" w14:textId="7A7612D4" w:rsidR="005A7489" w:rsidRPr="005A7489" w:rsidRDefault="005A7489" w:rsidP="0075510F">
      <w:pPr>
        <w:tabs>
          <w:tab w:val="left" w:pos="1065"/>
          <w:tab w:val="center" w:pos="4513"/>
        </w:tabs>
        <w:jc w:val="center"/>
        <w:rPr>
          <w:rFonts w:ascii="Arial Rounded MT Bold" w:hAnsi="Arial Rounded MT Bold" w:cstheme="majorHAnsi"/>
          <w:sz w:val="32"/>
          <w:szCs w:val="32"/>
          <w:lang w:val="en-US"/>
        </w:rPr>
      </w:pPr>
      <w:r w:rsidRPr="005A7489">
        <w:rPr>
          <w:rFonts w:ascii="Arial Rounded MT Bold" w:hAnsi="Arial Rounded MT Bold" w:cstheme="majorHAnsi"/>
          <w:color w:val="323E4F" w:themeColor="text2" w:themeShade="BF"/>
          <w:sz w:val="32"/>
          <w:szCs w:val="32"/>
          <w:lang w:val="en-US"/>
        </w:rPr>
        <w:t>2.</w:t>
      </w:r>
      <w:r w:rsidRPr="0075510F">
        <w:rPr>
          <w:rFonts w:ascii="Times New Roman" w:hAnsi="Times New Roman" w:cs="Times New Roman"/>
          <w:color w:val="2E74B5" w:themeColor="accent5" w:themeShade="BF"/>
          <w:sz w:val="32"/>
          <w:szCs w:val="32"/>
          <w:lang w:val="en-US"/>
        </w:rPr>
        <w:t>Asset Management</w:t>
      </w:r>
      <w:r w:rsidRPr="0075510F">
        <w:rPr>
          <w:rFonts w:ascii="Times New Roman" w:hAnsi="Times New Roman" w:cs="Times New Roman"/>
          <w:sz w:val="32"/>
          <w:szCs w:val="32"/>
          <w:lang w:val="en-US"/>
        </w:rPr>
        <w:t>:</w:t>
      </w:r>
      <w:r w:rsidRPr="005A7489">
        <w:rPr>
          <w:rFonts w:ascii="Footlight MT Light" w:hAnsi="Footlight MT Light" w:cstheme="majorHAnsi"/>
          <w:sz w:val="28"/>
          <w:szCs w:val="28"/>
          <w:lang w:val="en-US"/>
        </w:rPr>
        <w:t xml:space="preserve"> </w:t>
      </w:r>
      <w:r w:rsidRPr="0075510F">
        <w:rPr>
          <w:rFonts w:ascii="Times New Roman" w:hAnsi="Times New Roman" w:cs="Times New Roman"/>
          <w:sz w:val="24"/>
          <w:szCs w:val="24"/>
          <w:lang w:val="en-US"/>
        </w:rPr>
        <w:t>The company offers asset management services to institutional and retail clients, managing investment portfolios, providing wealth management, and offering retirement planning solutions</w:t>
      </w:r>
      <w:r w:rsidRPr="005A7489">
        <w:rPr>
          <w:rFonts w:ascii="Arial Rounded MT Bold" w:hAnsi="Arial Rounded MT Bold" w:cstheme="majorHAnsi"/>
          <w:sz w:val="32"/>
          <w:szCs w:val="32"/>
          <w:lang w:val="en-US"/>
        </w:rPr>
        <w:t>.</w:t>
      </w:r>
    </w:p>
    <w:p w14:paraId="629F1712" w14:textId="2EC415D9" w:rsidR="005A7489" w:rsidRPr="005A7489" w:rsidRDefault="005A7489" w:rsidP="0075510F">
      <w:pPr>
        <w:tabs>
          <w:tab w:val="left" w:pos="1065"/>
          <w:tab w:val="center" w:pos="4513"/>
        </w:tabs>
        <w:jc w:val="center"/>
        <w:rPr>
          <w:rFonts w:ascii="Footlight MT Light" w:hAnsi="Footlight MT Light" w:cstheme="majorHAnsi"/>
          <w:sz w:val="28"/>
          <w:szCs w:val="28"/>
          <w:lang w:val="en-US"/>
        </w:rPr>
      </w:pPr>
      <w:r>
        <w:rPr>
          <w:rFonts w:ascii="Arial Rounded MT Bold" w:hAnsi="Arial Rounded MT Bold" w:cstheme="majorHAnsi"/>
          <w:sz w:val="32"/>
          <w:szCs w:val="32"/>
          <w:lang w:val="en-US"/>
        </w:rPr>
        <w:t>3.</w:t>
      </w:r>
      <w:r w:rsidRPr="0075510F">
        <w:rPr>
          <w:rFonts w:ascii="Times New Roman" w:hAnsi="Times New Roman" w:cs="Times New Roman"/>
          <w:color w:val="2E74B5" w:themeColor="accent5" w:themeShade="BF"/>
          <w:sz w:val="32"/>
          <w:szCs w:val="32"/>
          <w:lang w:val="en-US"/>
        </w:rPr>
        <w:t>Commercial Banking</w:t>
      </w:r>
      <w:r w:rsidRPr="0075510F">
        <w:rPr>
          <w:rFonts w:ascii="Times New Roman" w:hAnsi="Times New Roman" w:cs="Times New Roman"/>
          <w:sz w:val="24"/>
          <w:szCs w:val="24"/>
          <w:lang w:val="en-US"/>
        </w:rPr>
        <w:t>: JPMorgan Chase serves large corporations, small businesses, and governments with commercial banking services, including lending, treasury services, and cash management solutions</w:t>
      </w:r>
      <w:r w:rsidRPr="005A7489">
        <w:rPr>
          <w:rFonts w:ascii="Footlight MT Light" w:hAnsi="Footlight MT Light" w:cstheme="majorHAnsi"/>
          <w:sz w:val="28"/>
          <w:szCs w:val="28"/>
          <w:lang w:val="en-US"/>
        </w:rPr>
        <w:t>.</w:t>
      </w:r>
    </w:p>
    <w:p w14:paraId="78EA54C9" w14:textId="3BEE2DB3" w:rsidR="005A7489" w:rsidRDefault="005A7489" w:rsidP="0075510F">
      <w:pPr>
        <w:tabs>
          <w:tab w:val="left" w:pos="1065"/>
          <w:tab w:val="center" w:pos="4513"/>
        </w:tabs>
        <w:jc w:val="center"/>
        <w:rPr>
          <w:rFonts w:ascii="Footlight MT Light" w:hAnsi="Footlight MT Light" w:cstheme="majorHAnsi"/>
          <w:sz w:val="28"/>
          <w:szCs w:val="28"/>
          <w:lang w:val="en-US"/>
        </w:rPr>
      </w:pPr>
      <w:r>
        <w:rPr>
          <w:rFonts w:ascii="Arial Rounded MT Bold" w:hAnsi="Arial Rounded MT Bold" w:cstheme="majorHAnsi"/>
          <w:sz w:val="32"/>
          <w:szCs w:val="32"/>
          <w:lang w:val="en-US"/>
        </w:rPr>
        <w:t>4.</w:t>
      </w:r>
      <w:r w:rsidRPr="0075510F">
        <w:rPr>
          <w:rFonts w:ascii="Times New Roman" w:hAnsi="Times New Roman" w:cs="Times New Roman"/>
          <w:color w:val="2E74B5" w:themeColor="accent5" w:themeShade="BF"/>
          <w:sz w:val="32"/>
          <w:szCs w:val="32"/>
          <w:lang w:val="en-US"/>
        </w:rPr>
        <w:t>Retail Banking</w:t>
      </w:r>
      <w:r w:rsidRPr="0075510F">
        <w:rPr>
          <w:rFonts w:ascii="Times New Roman" w:hAnsi="Times New Roman" w:cs="Times New Roman"/>
          <w:sz w:val="24"/>
          <w:szCs w:val="24"/>
          <w:lang w:val="en-US"/>
        </w:rPr>
        <w:t>: Through its retail banking segment, the company provides banking products and services to consumers and small businesses, such as deposits, loans, credit cards, and mortgage lending.</w:t>
      </w:r>
    </w:p>
    <w:p w14:paraId="5470E649" w14:textId="77777777" w:rsidR="005A7489" w:rsidRDefault="005A7489" w:rsidP="005A7489">
      <w:pPr>
        <w:tabs>
          <w:tab w:val="left" w:pos="1065"/>
          <w:tab w:val="center" w:pos="4513"/>
        </w:tabs>
        <w:rPr>
          <w:rFonts w:ascii="Footlight MT Light" w:hAnsi="Footlight MT Light" w:cstheme="majorHAnsi"/>
          <w:sz w:val="28"/>
          <w:szCs w:val="28"/>
          <w:lang w:val="en-US"/>
        </w:rPr>
      </w:pPr>
    </w:p>
    <w:p w14:paraId="5719625F" w14:textId="4CA36BFE"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F5496" w:themeColor="accent1" w:themeShade="BF"/>
          <w:sz w:val="32"/>
          <w:szCs w:val="32"/>
          <w:lang w:val="en-US"/>
        </w:rPr>
        <w:t>Financial Performance</w:t>
      </w:r>
      <w:r w:rsidRPr="005A7489">
        <w:rPr>
          <w:rFonts w:ascii="Arial Rounded MT Bold" w:hAnsi="Arial Rounded MT Bold" w:cstheme="majorHAnsi"/>
          <w:sz w:val="32"/>
          <w:szCs w:val="32"/>
          <w:lang w:val="en-US"/>
        </w:rPr>
        <w:t>:</w:t>
      </w:r>
    </w:p>
    <w:p w14:paraId="3BEB4A8F" w14:textId="07ED3CF5" w:rsidR="005A7489" w:rsidRPr="0075510F" w:rsidRDefault="005A7489" w:rsidP="0075510F">
      <w:pPr>
        <w:tabs>
          <w:tab w:val="left" w:pos="1065"/>
          <w:tab w:val="center" w:pos="4513"/>
        </w:tabs>
        <w:jc w:val="center"/>
        <w:rPr>
          <w:rFonts w:ascii="Times New Roman" w:hAnsi="Times New Roman" w:cs="Times New Roman"/>
          <w:sz w:val="24"/>
          <w:szCs w:val="24"/>
          <w:lang w:val="en-US"/>
        </w:rPr>
      </w:pPr>
      <w:r w:rsidRPr="0075510F">
        <w:rPr>
          <w:rFonts w:ascii="Times New Roman" w:hAnsi="Times New Roman" w:cs="Times New Roman"/>
          <w:sz w:val="24"/>
          <w:szCs w:val="24"/>
          <w:lang w:val="en-US"/>
        </w:rPr>
        <w:t>JPMorgan Chase is renowned for its strong financial performance and stability. It consistently ranks among the largest and most profitable banks globally, with impressive metrics in terms of revenue, net income, assets under management, and return on equity.</w:t>
      </w:r>
    </w:p>
    <w:p w14:paraId="366D828D" w14:textId="77777777" w:rsidR="005A7489" w:rsidRPr="0075510F" w:rsidRDefault="005A7489" w:rsidP="0075510F">
      <w:pPr>
        <w:tabs>
          <w:tab w:val="left" w:pos="1065"/>
          <w:tab w:val="center" w:pos="4513"/>
        </w:tabs>
        <w:jc w:val="center"/>
        <w:rPr>
          <w:rFonts w:ascii="Times New Roman" w:hAnsi="Times New Roman" w:cs="Times New Roman"/>
          <w:sz w:val="24"/>
          <w:szCs w:val="24"/>
          <w:lang w:val="en-US"/>
        </w:rPr>
      </w:pPr>
    </w:p>
    <w:p w14:paraId="323AFA5F" w14:textId="77777777"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F5496" w:themeColor="accent1" w:themeShade="BF"/>
          <w:sz w:val="32"/>
          <w:szCs w:val="32"/>
          <w:lang w:val="en-US"/>
        </w:rPr>
        <w:t>Leadership</w:t>
      </w:r>
      <w:r w:rsidRPr="005A7489">
        <w:rPr>
          <w:rFonts w:ascii="Arial Rounded MT Bold" w:hAnsi="Arial Rounded MT Bold" w:cstheme="majorHAnsi"/>
          <w:sz w:val="32"/>
          <w:szCs w:val="32"/>
          <w:lang w:val="en-US"/>
        </w:rPr>
        <w:t>:</w:t>
      </w:r>
    </w:p>
    <w:p w14:paraId="11B5F9FC" w14:textId="1BA3D240" w:rsidR="005A7489" w:rsidRPr="00266A7E" w:rsidRDefault="005A7489"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 xml:space="preserve">The company is led by a team of experienced executives, with Jamie </w:t>
      </w:r>
      <w:proofErr w:type="spellStart"/>
      <w:r w:rsidRPr="00266A7E">
        <w:rPr>
          <w:rFonts w:ascii="Times New Roman" w:hAnsi="Times New Roman" w:cs="Times New Roman"/>
          <w:sz w:val="24"/>
          <w:szCs w:val="24"/>
          <w:lang w:val="en-US"/>
        </w:rPr>
        <w:t>Dimon</w:t>
      </w:r>
      <w:proofErr w:type="spellEnd"/>
      <w:r w:rsidRPr="00266A7E">
        <w:rPr>
          <w:rFonts w:ascii="Times New Roman" w:hAnsi="Times New Roman" w:cs="Times New Roman"/>
          <w:sz w:val="24"/>
          <w:szCs w:val="24"/>
          <w:lang w:val="en-US"/>
        </w:rPr>
        <w:t xml:space="preserve"> serving as the Chairman and CEO. </w:t>
      </w:r>
      <w:proofErr w:type="spellStart"/>
      <w:r w:rsidRPr="00266A7E">
        <w:rPr>
          <w:rFonts w:ascii="Times New Roman" w:hAnsi="Times New Roman" w:cs="Times New Roman"/>
          <w:sz w:val="24"/>
          <w:szCs w:val="24"/>
          <w:lang w:val="en-US"/>
        </w:rPr>
        <w:t>Dimon</w:t>
      </w:r>
      <w:proofErr w:type="spellEnd"/>
      <w:r w:rsidRPr="00266A7E">
        <w:rPr>
          <w:rFonts w:ascii="Times New Roman" w:hAnsi="Times New Roman" w:cs="Times New Roman"/>
          <w:sz w:val="24"/>
          <w:szCs w:val="24"/>
          <w:lang w:val="en-US"/>
        </w:rPr>
        <w:t xml:space="preserve"> is widely respected in the financial industry and is credited with steering JPMorgan Chase through various economic cycles and challenges.</w:t>
      </w:r>
    </w:p>
    <w:p w14:paraId="44E3574D"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6DF9594A" w14:textId="77777777" w:rsidR="006C73DD" w:rsidRPr="006C73DD" w:rsidRDefault="006C73DD" w:rsidP="006C73DD">
      <w:pPr>
        <w:tabs>
          <w:tab w:val="left" w:pos="1065"/>
          <w:tab w:val="center" w:pos="4513"/>
        </w:tabs>
        <w:rPr>
          <w:rFonts w:ascii="Footlight MT Light" w:hAnsi="Footlight MT Light" w:cstheme="majorHAnsi"/>
          <w:sz w:val="28"/>
          <w:szCs w:val="28"/>
          <w:lang w:val="en-US"/>
        </w:rPr>
      </w:pPr>
      <w:r w:rsidRPr="00266A7E">
        <w:rPr>
          <w:rFonts w:ascii="Times New Roman" w:hAnsi="Times New Roman" w:cs="Times New Roman"/>
          <w:color w:val="2F5496" w:themeColor="accent1" w:themeShade="BF"/>
          <w:sz w:val="32"/>
          <w:szCs w:val="32"/>
          <w:lang w:val="en-US"/>
        </w:rPr>
        <w:t>Corporate Responsibility</w:t>
      </w:r>
      <w:r w:rsidRPr="006C73DD">
        <w:rPr>
          <w:rFonts w:ascii="Footlight MT Light" w:hAnsi="Footlight MT Light" w:cstheme="majorHAnsi"/>
          <w:sz w:val="28"/>
          <w:szCs w:val="28"/>
          <w:lang w:val="en-US"/>
        </w:rPr>
        <w:t>:</w:t>
      </w:r>
    </w:p>
    <w:p w14:paraId="7F455A4D" w14:textId="11E34B1F" w:rsidR="006C73DD" w:rsidRPr="00266A7E" w:rsidRDefault="006C73DD"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JPMorgan Chase is committed to corporate responsibility and sustainability, engaging in philanthropic initiatives, community development projects, and environmental sustainability efforts. It aims to create positive social impact and support sustainable economic growth through its business operations and initiatives.</w:t>
      </w:r>
    </w:p>
    <w:p w14:paraId="1EC4197A"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r w:rsidRPr="00266A7E">
        <w:rPr>
          <w:rFonts w:ascii="Times New Roman" w:hAnsi="Times New Roman" w:cs="Times New Roman"/>
          <w:color w:val="4472C4" w:themeColor="accent1"/>
          <w:sz w:val="32"/>
          <w:szCs w:val="32"/>
          <w:lang w:val="en-US"/>
        </w:rPr>
        <w:t>Regulatory Environment</w:t>
      </w:r>
      <w:r w:rsidRPr="004919E4">
        <w:rPr>
          <w:rFonts w:ascii="Footlight MT Light" w:hAnsi="Footlight MT Light" w:cstheme="majorHAnsi"/>
          <w:sz w:val="28"/>
          <w:szCs w:val="28"/>
          <w:lang w:val="en-US"/>
        </w:rPr>
        <w:t>:</w:t>
      </w:r>
    </w:p>
    <w:p w14:paraId="64122254" w14:textId="77777777" w:rsidR="004919E4" w:rsidRPr="00266A7E" w:rsidRDefault="004919E4"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As a major financial institution, JPMorgan Chase operates in a highly regulated environment. It is subject to oversight from various regulatory bodies and compliance with banking regulations, financial laws, and industry standards.</w:t>
      </w:r>
    </w:p>
    <w:p w14:paraId="26BBD585"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p>
    <w:p w14:paraId="3FF3FF35" w14:textId="0EFB2377" w:rsidR="004919E4" w:rsidRPr="00266A7E" w:rsidRDefault="004919E4"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lastRenderedPageBreak/>
        <w:t>This overview provides a snapshot of JPMorgan Chase &amp; Co., highlighting its key businesses, global presence, financial performance, leadership, corporate responsibility, and regulatory environment. It is a leading player in the financial services industry, known for its comprehensive range of services and strong market position.</w:t>
      </w:r>
    </w:p>
    <w:p w14:paraId="7D833C21" w14:textId="77777777" w:rsidR="005A7489" w:rsidRPr="00CD63DA" w:rsidRDefault="005A7489" w:rsidP="00CD63DA">
      <w:pPr>
        <w:tabs>
          <w:tab w:val="left" w:pos="1065"/>
          <w:tab w:val="center" w:pos="4513"/>
        </w:tabs>
        <w:rPr>
          <w:rFonts w:ascii="Footlight MT Light" w:hAnsi="Footlight MT Light" w:cstheme="majorHAnsi"/>
          <w:sz w:val="32"/>
          <w:szCs w:val="32"/>
          <w:lang w:val="en-US"/>
        </w:rPr>
      </w:pPr>
    </w:p>
    <w:p w14:paraId="770943CB" w14:textId="54C64938" w:rsidR="00CD63DA" w:rsidRDefault="00ED24AB" w:rsidP="00ED24AB">
      <w:pPr>
        <w:pStyle w:val="ListParagraph"/>
        <w:numPr>
          <w:ilvl w:val="0"/>
          <w:numId w:val="4"/>
        </w:numPr>
        <w:tabs>
          <w:tab w:val="left" w:pos="1065"/>
          <w:tab w:val="center" w:pos="4513"/>
        </w:tabs>
        <w:rPr>
          <w:rFonts w:ascii="Arial Rounded MT Bold" w:hAnsi="Arial Rounded MT Bold" w:cstheme="majorHAnsi"/>
          <w:color w:val="4472C4" w:themeColor="accent1"/>
          <w:sz w:val="32"/>
          <w:szCs w:val="32"/>
          <w:lang w:val="en-US"/>
        </w:rPr>
      </w:pPr>
      <w:r w:rsidRPr="00ED24AB">
        <w:rPr>
          <w:rFonts w:ascii="Arial Rounded MT Bold" w:hAnsi="Arial Rounded MT Bold" w:cstheme="majorHAnsi"/>
          <w:color w:val="4472C4" w:themeColor="accent1"/>
          <w:sz w:val="32"/>
          <w:szCs w:val="32"/>
          <w:lang w:val="en-US"/>
        </w:rPr>
        <w:t xml:space="preserve">HISTORICAL PRICE </w:t>
      </w:r>
      <w:proofErr w:type="gramStart"/>
      <w:r w:rsidRPr="00ED24AB">
        <w:rPr>
          <w:rFonts w:ascii="Arial Rounded MT Bold" w:hAnsi="Arial Rounded MT Bold" w:cstheme="majorHAnsi"/>
          <w:color w:val="4472C4" w:themeColor="accent1"/>
          <w:sz w:val="32"/>
          <w:szCs w:val="32"/>
          <w:lang w:val="en-US"/>
        </w:rPr>
        <w:t>DATA :</w:t>
      </w:r>
      <w:proofErr w:type="gramEnd"/>
    </w:p>
    <w:p w14:paraId="6A55F5F7" w14:textId="77777777" w:rsidR="00ED24AB" w:rsidRDefault="00ED24AB" w:rsidP="00ED24AB">
      <w:pPr>
        <w:tabs>
          <w:tab w:val="left" w:pos="1065"/>
          <w:tab w:val="center" w:pos="4513"/>
        </w:tabs>
        <w:rPr>
          <w:rFonts w:ascii="Arial Rounded MT Bold" w:hAnsi="Arial Rounded MT Bold" w:cstheme="majorHAnsi"/>
          <w:color w:val="4472C4" w:themeColor="accent1"/>
          <w:sz w:val="32"/>
          <w:szCs w:val="32"/>
          <w:lang w:val="en-US"/>
        </w:rPr>
      </w:pPr>
    </w:p>
    <w:tbl>
      <w:tblPr>
        <w:tblW w:w="4680" w:type="dxa"/>
        <w:tblInd w:w="1530" w:type="dxa"/>
        <w:tblCellMar>
          <w:top w:w="15" w:type="dxa"/>
          <w:left w:w="15" w:type="dxa"/>
          <w:bottom w:w="15" w:type="dxa"/>
          <w:right w:w="15" w:type="dxa"/>
        </w:tblCellMar>
        <w:tblLook w:val="04A0" w:firstRow="1" w:lastRow="0" w:firstColumn="1" w:lastColumn="0" w:noHBand="0" w:noVBand="1"/>
      </w:tblPr>
      <w:tblGrid>
        <w:gridCol w:w="2160"/>
        <w:gridCol w:w="2520"/>
      </w:tblGrid>
      <w:tr w:rsidR="00FF6D65" w:rsidRPr="00FF6D65" w14:paraId="58F838E9" w14:textId="77777777" w:rsidTr="00FF6D65">
        <w:trPr>
          <w:trHeight w:val="540"/>
        </w:trPr>
        <w:tc>
          <w:tcPr>
            <w:tcW w:w="2160" w:type="dxa"/>
            <w:tcMar>
              <w:top w:w="0" w:type="dxa"/>
              <w:left w:w="0" w:type="dxa"/>
              <w:bottom w:w="0" w:type="dxa"/>
              <w:right w:w="0" w:type="dxa"/>
            </w:tcMar>
            <w:vAlign w:val="center"/>
            <w:hideMark/>
          </w:tcPr>
          <w:p w14:paraId="2D252E50"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Previous Close</w:t>
            </w:r>
          </w:p>
        </w:tc>
        <w:tc>
          <w:tcPr>
            <w:tcW w:w="2520" w:type="dxa"/>
            <w:tcMar>
              <w:top w:w="0" w:type="dxa"/>
              <w:left w:w="0" w:type="dxa"/>
              <w:bottom w:w="0" w:type="dxa"/>
              <w:right w:w="0" w:type="dxa"/>
            </w:tcMar>
            <w:vAlign w:val="center"/>
            <w:hideMark/>
          </w:tcPr>
          <w:p w14:paraId="066E853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199.52</w:t>
            </w:r>
          </w:p>
        </w:tc>
      </w:tr>
      <w:tr w:rsidR="00FF6D65" w:rsidRPr="00FF6D65" w14:paraId="68EFA147" w14:textId="77777777" w:rsidTr="00FF6D65">
        <w:trPr>
          <w:trHeight w:val="540"/>
        </w:trPr>
        <w:tc>
          <w:tcPr>
            <w:tcW w:w="2160" w:type="dxa"/>
            <w:tcMar>
              <w:top w:w="0" w:type="dxa"/>
              <w:left w:w="0" w:type="dxa"/>
              <w:bottom w:w="0" w:type="dxa"/>
              <w:right w:w="0" w:type="dxa"/>
            </w:tcMar>
            <w:vAlign w:val="center"/>
            <w:hideMark/>
          </w:tcPr>
          <w:p w14:paraId="45AC1E8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Open</w:t>
            </w:r>
          </w:p>
        </w:tc>
        <w:tc>
          <w:tcPr>
            <w:tcW w:w="2520" w:type="dxa"/>
            <w:tcMar>
              <w:top w:w="0" w:type="dxa"/>
              <w:left w:w="0" w:type="dxa"/>
              <w:bottom w:w="0" w:type="dxa"/>
              <w:right w:w="0" w:type="dxa"/>
            </w:tcMar>
            <w:vAlign w:val="center"/>
            <w:hideMark/>
          </w:tcPr>
          <w:p w14:paraId="771B2F3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199.49</w:t>
            </w:r>
          </w:p>
        </w:tc>
      </w:tr>
      <w:tr w:rsidR="00FF6D65" w:rsidRPr="00FF6D65" w14:paraId="3DAE7247" w14:textId="77777777" w:rsidTr="00FF6D65">
        <w:trPr>
          <w:trHeight w:val="540"/>
        </w:trPr>
        <w:tc>
          <w:tcPr>
            <w:tcW w:w="2160" w:type="dxa"/>
            <w:tcMar>
              <w:top w:w="0" w:type="dxa"/>
              <w:left w:w="0" w:type="dxa"/>
              <w:bottom w:w="0" w:type="dxa"/>
              <w:right w:w="0" w:type="dxa"/>
            </w:tcMar>
            <w:vAlign w:val="center"/>
            <w:hideMark/>
          </w:tcPr>
          <w:p w14:paraId="4C0B1F7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Bid</w:t>
            </w:r>
          </w:p>
        </w:tc>
        <w:tc>
          <w:tcPr>
            <w:tcW w:w="2520" w:type="dxa"/>
            <w:tcMar>
              <w:top w:w="0" w:type="dxa"/>
              <w:left w:w="0" w:type="dxa"/>
              <w:bottom w:w="0" w:type="dxa"/>
              <w:right w:w="0" w:type="dxa"/>
            </w:tcMar>
            <w:vAlign w:val="center"/>
            <w:hideMark/>
          </w:tcPr>
          <w:p w14:paraId="61C42AE5"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200.03 x 800</w:t>
            </w:r>
          </w:p>
        </w:tc>
      </w:tr>
      <w:tr w:rsidR="00FF6D65" w:rsidRPr="00FF6D65" w14:paraId="74398AF2" w14:textId="77777777" w:rsidTr="00FF6D65">
        <w:trPr>
          <w:trHeight w:val="540"/>
        </w:trPr>
        <w:tc>
          <w:tcPr>
            <w:tcW w:w="2160" w:type="dxa"/>
            <w:tcMar>
              <w:top w:w="0" w:type="dxa"/>
              <w:left w:w="0" w:type="dxa"/>
              <w:bottom w:w="0" w:type="dxa"/>
              <w:right w:w="0" w:type="dxa"/>
            </w:tcMar>
            <w:vAlign w:val="center"/>
            <w:hideMark/>
          </w:tcPr>
          <w:p w14:paraId="6862D48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Ask</w:t>
            </w:r>
          </w:p>
        </w:tc>
        <w:tc>
          <w:tcPr>
            <w:tcW w:w="2520" w:type="dxa"/>
            <w:tcMar>
              <w:top w:w="0" w:type="dxa"/>
              <w:left w:w="0" w:type="dxa"/>
              <w:bottom w:w="0" w:type="dxa"/>
              <w:right w:w="0" w:type="dxa"/>
            </w:tcMar>
            <w:vAlign w:val="center"/>
            <w:hideMark/>
          </w:tcPr>
          <w:p w14:paraId="328004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200.44 x 900</w:t>
            </w:r>
          </w:p>
        </w:tc>
      </w:tr>
      <w:tr w:rsidR="00FF6D65" w:rsidRPr="00FF6D65" w14:paraId="174998B6" w14:textId="77777777" w:rsidTr="00FF6D65">
        <w:trPr>
          <w:trHeight w:val="540"/>
        </w:trPr>
        <w:tc>
          <w:tcPr>
            <w:tcW w:w="2160" w:type="dxa"/>
            <w:tcMar>
              <w:top w:w="0" w:type="dxa"/>
              <w:left w:w="0" w:type="dxa"/>
              <w:bottom w:w="0" w:type="dxa"/>
              <w:right w:w="0" w:type="dxa"/>
            </w:tcMar>
            <w:vAlign w:val="center"/>
            <w:hideMark/>
          </w:tcPr>
          <w:p w14:paraId="5E946E0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Day's Range</w:t>
            </w:r>
          </w:p>
        </w:tc>
        <w:tc>
          <w:tcPr>
            <w:tcW w:w="2520" w:type="dxa"/>
            <w:tcMar>
              <w:top w:w="0" w:type="dxa"/>
              <w:left w:w="0" w:type="dxa"/>
              <w:bottom w:w="0" w:type="dxa"/>
              <w:right w:w="0" w:type="dxa"/>
            </w:tcMar>
            <w:vAlign w:val="center"/>
            <w:hideMark/>
          </w:tcPr>
          <w:p w14:paraId="7F4F10E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198.54 - 200.72</w:t>
            </w:r>
          </w:p>
        </w:tc>
      </w:tr>
      <w:tr w:rsidR="00FF6D65" w:rsidRPr="00FF6D65" w14:paraId="6F191261" w14:textId="77777777" w:rsidTr="00FF6D65">
        <w:trPr>
          <w:trHeight w:val="540"/>
        </w:trPr>
        <w:tc>
          <w:tcPr>
            <w:tcW w:w="2160" w:type="dxa"/>
            <w:tcMar>
              <w:top w:w="0" w:type="dxa"/>
              <w:left w:w="0" w:type="dxa"/>
              <w:bottom w:w="0" w:type="dxa"/>
              <w:right w:w="0" w:type="dxa"/>
            </w:tcMar>
            <w:vAlign w:val="center"/>
            <w:hideMark/>
          </w:tcPr>
          <w:p w14:paraId="7D74499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52 Week Range</w:t>
            </w:r>
          </w:p>
        </w:tc>
        <w:tc>
          <w:tcPr>
            <w:tcW w:w="2520" w:type="dxa"/>
            <w:tcMar>
              <w:top w:w="0" w:type="dxa"/>
              <w:left w:w="0" w:type="dxa"/>
              <w:bottom w:w="0" w:type="dxa"/>
              <w:right w:w="0" w:type="dxa"/>
            </w:tcMar>
            <w:vAlign w:val="center"/>
            <w:hideMark/>
          </w:tcPr>
          <w:p w14:paraId="71373C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126.22 - 200.72</w:t>
            </w:r>
          </w:p>
        </w:tc>
      </w:tr>
      <w:tr w:rsidR="00FF6D65" w:rsidRPr="00FF6D65" w14:paraId="185F0AF4" w14:textId="77777777" w:rsidTr="00FF6D65">
        <w:trPr>
          <w:trHeight w:val="540"/>
        </w:trPr>
        <w:tc>
          <w:tcPr>
            <w:tcW w:w="2160" w:type="dxa"/>
            <w:tcMar>
              <w:top w:w="0" w:type="dxa"/>
              <w:left w:w="0" w:type="dxa"/>
              <w:bottom w:w="0" w:type="dxa"/>
              <w:right w:w="0" w:type="dxa"/>
            </w:tcMar>
            <w:vAlign w:val="center"/>
            <w:hideMark/>
          </w:tcPr>
          <w:p w14:paraId="2FE2F44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Volume</w:t>
            </w:r>
          </w:p>
        </w:tc>
        <w:tc>
          <w:tcPr>
            <w:tcW w:w="2520" w:type="dxa"/>
            <w:tcMar>
              <w:top w:w="0" w:type="dxa"/>
              <w:left w:w="0" w:type="dxa"/>
              <w:bottom w:w="0" w:type="dxa"/>
              <w:right w:w="0" w:type="dxa"/>
            </w:tcMar>
            <w:vAlign w:val="center"/>
            <w:hideMark/>
          </w:tcPr>
          <w:p w14:paraId="30C1DD9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8,574,293</w:t>
            </w:r>
          </w:p>
        </w:tc>
      </w:tr>
      <w:tr w:rsidR="00FF6D65" w:rsidRPr="00FF6D65" w14:paraId="3D1E0EE8" w14:textId="77777777" w:rsidTr="00FF6D65">
        <w:trPr>
          <w:trHeight w:val="540"/>
        </w:trPr>
        <w:tc>
          <w:tcPr>
            <w:tcW w:w="2160" w:type="dxa"/>
            <w:tcMar>
              <w:top w:w="0" w:type="dxa"/>
              <w:left w:w="0" w:type="dxa"/>
              <w:bottom w:w="0" w:type="dxa"/>
              <w:right w:w="0" w:type="dxa"/>
            </w:tcMar>
            <w:vAlign w:val="center"/>
            <w:hideMark/>
          </w:tcPr>
          <w:p w14:paraId="1133FA5A"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Avg. Volume</w:t>
            </w:r>
          </w:p>
        </w:tc>
        <w:tc>
          <w:tcPr>
            <w:tcW w:w="2520" w:type="dxa"/>
            <w:tcMar>
              <w:top w:w="0" w:type="dxa"/>
              <w:left w:w="0" w:type="dxa"/>
              <w:bottom w:w="0" w:type="dxa"/>
              <w:right w:w="0" w:type="dxa"/>
            </w:tcMar>
            <w:vAlign w:val="center"/>
            <w:hideMark/>
          </w:tcPr>
          <w:p w14:paraId="1217FBA8"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9,059,313</w:t>
            </w:r>
          </w:p>
        </w:tc>
      </w:tr>
      <w:tr w:rsidR="00FF6D65" w:rsidRPr="00FF6D65" w14:paraId="49A49784" w14:textId="77777777" w:rsidTr="00FF6D65">
        <w:trPr>
          <w:trHeight w:val="540"/>
        </w:trPr>
        <w:tc>
          <w:tcPr>
            <w:tcW w:w="2160" w:type="dxa"/>
            <w:tcMar>
              <w:top w:w="0" w:type="dxa"/>
              <w:left w:w="0" w:type="dxa"/>
              <w:bottom w:w="0" w:type="dxa"/>
              <w:right w:w="0" w:type="dxa"/>
            </w:tcMar>
            <w:vAlign w:val="center"/>
            <w:hideMark/>
          </w:tcPr>
          <w:p w14:paraId="452EC0E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Market Cap</w:t>
            </w:r>
          </w:p>
        </w:tc>
        <w:tc>
          <w:tcPr>
            <w:tcW w:w="2520" w:type="dxa"/>
            <w:tcMar>
              <w:top w:w="0" w:type="dxa"/>
              <w:left w:w="0" w:type="dxa"/>
              <w:bottom w:w="0" w:type="dxa"/>
              <w:right w:w="0" w:type="dxa"/>
            </w:tcMar>
            <w:vAlign w:val="center"/>
            <w:hideMark/>
          </w:tcPr>
          <w:p w14:paraId="2DAC64D2"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576.938B</w:t>
            </w:r>
          </w:p>
        </w:tc>
      </w:tr>
      <w:tr w:rsidR="00FF6D65" w:rsidRPr="00FF6D65" w14:paraId="5E402AB4" w14:textId="77777777" w:rsidTr="00FF6D65">
        <w:trPr>
          <w:trHeight w:val="540"/>
        </w:trPr>
        <w:tc>
          <w:tcPr>
            <w:tcW w:w="2160" w:type="dxa"/>
            <w:tcMar>
              <w:top w:w="0" w:type="dxa"/>
              <w:left w:w="0" w:type="dxa"/>
              <w:bottom w:w="0" w:type="dxa"/>
              <w:right w:w="0" w:type="dxa"/>
            </w:tcMar>
            <w:vAlign w:val="center"/>
            <w:hideMark/>
          </w:tcPr>
          <w:p w14:paraId="4A558AE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Beta (5Y Monthly)</w:t>
            </w:r>
          </w:p>
        </w:tc>
        <w:tc>
          <w:tcPr>
            <w:tcW w:w="2520" w:type="dxa"/>
            <w:tcMar>
              <w:top w:w="0" w:type="dxa"/>
              <w:left w:w="0" w:type="dxa"/>
              <w:bottom w:w="0" w:type="dxa"/>
              <w:right w:w="0" w:type="dxa"/>
            </w:tcMar>
            <w:vAlign w:val="center"/>
            <w:hideMark/>
          </w:tcPr>
          <w:p w14:paraId="4EBDB11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1.13</w:t>
            </w:r>
          </w:p>
        </w:tc>
      </w:tr>
      <w:tr w:rsidR="00FF6D65" w:rsidRPr="00FF6D65" w14:paraId="7E38B358" w14:textId="77777777" w:rsidTr="00FF6D65">
        <w:trPr>
          <w:trHeight w:val="540"/>
        </w:trPr>
        <w:tc>
          <w:tcPr>
            <w:tcW w:w="2160" w:type="dxa"/>
            <w:tcMar>
              <w:top w:w="0" w:type="dxa"/>
              <w:left w:w="0" w:type="dxa"/>
              <w:bottom w:w="0" w:type="dxa"/>
              <w:right w:w="0" w:type="dxa"/>
            </w:tcMar>
            <w:vAlign w:val="center"/>
            <w:hideMark/>
          </w:tcPr>
          <w:p w14:paraId="5EB329A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PE Ratio (TTM)</w:t>
            </w:r>
          </w:p>
        </w:tc>
        <w:tc>
          <w:tcPr>
            <w:tcW w:w="2520" w:type="dxa"/>
            <w:tcMar>
              <w:top w:w="0" w:type="dxa"/>
              <w:left w:w="0" w:type="dxa"/>
              <w:bottom w:w="0" w:type="dxa"/>
              <w:right w:w="0" w:type="dxa"/>
            </w:tcMar>
            <w:vAlign w:val="center"/>
            <w:hideMark/>
          </w:tcPr>
          <w:p w14:paraId="1A5306C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12.35</w:t>
            </w:r>
          </w:p>
        </w:tc>
      </w:tr>
      <w:tr w:rsidR="00FF6D65" w:rsidRPr="00FF6D65" w14:paraId="2AE829F5" w14:textId="77777777" w:rsidTr="00FF6D65">
        <w:trPr>
          <w:trHeight w:val="540"/>
        </w:trPr>
        <w:tc>
          <w:tcPr>
            <w:tcW w:w="2160" w:type="dxa"/>
            <w:tcMar>
              <w:top w:w="0" w:type="dxa"/>
              <w:left w:w="0" w:type="dxa"/>
              <w:bottom w:w="0" w:type="dxa"/>
              <w:right w:w="0" w:type="dxa"/>
            </w:tcMar>
            <w:vAlign w:val="center"/>
            <w:hideMark/>
          </w:tcPr>
          <w:p w14:paraId="6045451B"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EPS (TTM)</w:t>
            </w:r>
          </w:p>
        </w:tc>
        <w:tc>
          <w:tcPr>
            <w:tcW w:w="2520" w:type="dxa"/>
            <w:tcMar>
              <w:top w:w="0" w:type="dxa"/>
              <w:left w:w="0" w:type="dxa"/>
              <w:bottom w:w="0" w:type="dxa"/>
              <w:right w:w="0" w:type="dxa"/>
            </w:tcMar>
            <w:vAlign w:val="center"/>
            <w:hideMark/>
          </w:tcPr>
          <w:p w14:paraId="5C790CA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16.22</w:t>
            </w:r>
          </w:p>
        </w:tc>
      </w:tr>
      <w:tr w:rsidR="00FF6D65" w:rsidRPr="00FF6D65" w14:paraId="1EC9CCB5" w14:textId="77777777" w:rsidTr="00FF6D65">
        <w:trPr>
          <w:trHeight w:val="540"/>
        </w:trPr>
        <w:tc>
          <w:tcPr>
            <w:tcW w:w="2160" w:type="dxa"/>
            <w:tcMar>
              <w:top w:w="0" w:type="dxa"/>
              <w:left w:w="0" w:type="dxa"/>
              <w:bottom w:w="0" w:type="dxa"/>
              <w:right w:w="0" w:type="dxa"/>
            </w:tcMar>
            <w:vAlign w:val="center"/>
            <w:hideMark/>
          </w:tcPr>
          <w:p w14:paraId="279E5F1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Earnings Date</w:t>
            </w:r>
          </w:p>
        </w:tc>
        <w:tc>
          <w:tcPr>
            <w:tcW w:w="2520" w:type="dxa"/>
            <w:tcMar>
              <w:top w:w="0" w:type="dxa"/>
              <w:left w:w="0" w:type="dxa"/>
              <w:bottom w:w="0" w:type="dxa"/>
              <w:right w:w="0" w:type="dxa"/>
            </w:tcMar>
            <w:vAlign w:val="center"/>
            <w:hideMark/>
          </w:tcPr>
          <w:p w14:paraId="01B1D876"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12, 2024</w:t>
            </w:r>
          </w:p>
        </w:tc>
      </w:tr>
      <w:tr w:rsidR="00FF6D65" w:rsidRPr="00FF6D65" w14:paraId="646CB2B6" w14:textId="77777777" w:rsidTr="00FF6D65">
        <w:trPr>
          <w:trHeight w:val="540"/>
        </w:trPr>
        <w:tc>
          <w:tcPr>
            <w:tcW w:w="2160" w:type="dxa"/>
            <w:tcMar>
              <w:top w:w="0" w:type="dxa"/>
              <w:left w:w="0" w:type="dxa"/>
              <w:bottom w:w="0" w:type="dxa"/>
              <w:right w:w="0" w:type="dxa"/>
            </w:tcMar>
            <w:vAlign w:val="center"/>
            <w:hideMark/>
          </w:tcPr>
          <w:p w14:paraId="3EBF0B2E"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Forward Dividend &amp; Yield</w:t>
            </w:r>
          </w:p>
        </w:tc>
        <w:tc>
          <w:tcPr>
            <w:tcW w:w="2520" w:type="dxa"/>
            <w:tcMar>
              <w:top w:w="0" w:type="dxa"/>
              <w:left w:w="0" w:type="dxa"/>
              <w:bottom w:w="0" w:type="dxa"/>
              <w:right w:w="0" w:type="dxa"/>
            </w:tcMar>
            <w:vAlign w:val="center"/>
            <w:hideMark/>
          </w:tcPr>
          <w:p w14:paraId="421CC2D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4.60 (2.30%)</w:t>
            </w:r>
          </w:p>
        </w:tc>
      </w:tr>
      <w:tr w:rsidR="00FF6D65" w:rsidRPr="00FF6D65" w14:paraId="30CA8503" w14:textId="77777777" w:rsidTr="00FF6D65">
        <w:trPr>
          <w:trHeight w:val="540"/>
        </w:trPr>
        <w:tc>
          <w:tcPr>
            <w:tcW w:w="2160" w:type="dxa"/>
            <w:tcMar>
              <w:top w:w="0" w:type="dxa"/>
              <w:left w:w="0" w:type="dxa"/>
              <w:bottom w:w="0" w:type="dxa"/>
              <w:right w:w="0" w:type="dxa"/>
            </w:tcMar>
            <w:vAlign w:val="center"/>
            <w:hideMark/>
          </w:tcPr>
          <w:p w14:paraId="3910D7D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Ex-Dividend Date</w:t>
            </w:r>
          </w:p>
        </w:tc>
        <w:tc>
          <w:tcPr>
            <w:tcW w:w="2520" w:type="dxa"/>
            <w:tcMar>
              <w:top w:w="0" w:type="dxa"/>
              <w:left w:w="0" w:type="dxa"/>
              <w:bottom w:w="0" w:type="dxa"/>
              <w:right w:w="0" w:type="dxa"/>
            </w:tcMar>
            <w:vAlign w:val="center"/>
            <w:hideMark/>
          </w:tcPr>
          <w:p w14:paraId="563455C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04, 2024</w:t>
            </w:r>
          </w:p>
        </w:tc>
      </w:tr>
      <w:tr w:rsidR="00FF6D65" w:rsidRPr="00FF6D65" w14:paraId="51A33283" w14:textId="77777777" w:rsidTr="00FF6D65">
        <w:trPr>
          <w:trHeight w:val="540"/>
        </w:trPr>
        <w:tc>
          <w:tcPr>
            <w:tcW w:w="2160" w:type="dxa"/>
            <w:tcMar>
              <w:top w:w="0" w:type="dxa"/>
              <w:left w:w="0" w:type="dxa"/>
              <w:bottom w:w="0" w:type="dxa"/>
              <w:right w:w="0" w:type="dxa"/>
            </w:tcMar>
            <w:vAlign w:val="center"/>
            <w:hideMark/>
          </w:tcPr>
          <w:p w14:paraId="645D8AE5"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1y Target Est</w:t>
            </w:r>
          </w:p>
        </w:tc>
        <w:tc>
          <w:tcPr>
            <w:tcW w:w="2520" w:type="dxa"/>
            <w:tcMar>
              <w:top w:w="0" w:type="dxa"/>
              <w:left w:w="0" w:type="dxa"/>
              <w:bottom w:w="0" w:type="dxa"/>
              <w:right w:w="0" w:type="dxa"/>
            </w:tcMar>
            <w:vAlign w:val="center"/>
            <w:hideMark/>
          </w:tcPr>
          <w:p w14:paraId="73A665F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182.87</w:t>
            </w:r>
          </w:p>
        </w:tc>
      </w:tr>
    </w:tbl>
    <w:p w14:paraId="6C463C57" w14:textId="77777777" w:rsidR="00ED24AB" w:rsidRDefault="00ED24AB" w:rsidP="00ED24AB">
      <w:pPr>
        <w:tabs>
          <w:tab w:val="left" w:pos="1065"/>
          <w:tab w:val="center" w:pos="4513"/>
        </w:tabs>
        <w:rPr>
          <w:rFonts w:ascii="Footlight MT Light" w:hAnsi="Footlight MT Light" w:cstheme="majorHAnsi"/>
          <w:color w:val="000000" w:themeColor="text1"/>
          <w:sz w:val="24"/>
          <w:szCs w:val="24"/>
          <w:lang w:val="en-US"/>
        </w:rPr>
      </w:pPr>
    </w:p>
    <w:p w14:paraId="4FB08188" w14:textId="77777777" w:rsidR="00FF6D65" w:rsidRDefault="00FF6D65" w:rsidP="00ED24AB">
      <w:pPr>
        <w:tabs>
          <w:tab w:val="left" w:pos="1065"/>
          <w:tab w:val="center" w:pos="4513"/>
        </w:tabs>
        <w:rPr>
          <w:rFonts w:ascii="Footlight MT Light" w:hAnsi="Footlight MT Light" w:cstheme="majorHAnsi"/>
          <w:color w:val="000000" w:themeColor="text1"/>
          <w:sz w:val="24"/>
          <w:szCs w:val="24"/>
          <w:lang w:val="en-US"/>
        </w:rPr>
      </w:pPr>
    </w:p>
    <w:p w14:paraId="427302AD" w14:textId="27BC9019" w:rsidR="00FF6D65" w:rsidRPr="00FF6D65" w:rsidRDefault="00FF6D65" w:rsidP="00FF6D65">
      <w:pPr>
        <w:tabs>
          <w:tab w:val="left" w:pos="1065"/>
          <w:tab w:val="center" w:pos="4513"/>
        </w:tabs>
        <w:rPr>
          <w:rFonts w:ascii="Footlight MT Light" w:hAnsi="Footlight MT Light" w:cstheme="majorHAnsi"/>
          <w:color w:val="000000" w:themeColor="text1"/>
          <w:sz w:val="24"/>
          <w:szCs w:val="24"/>
        </w:rPr>
      </w:pPr>
      <w:r w:rsidRPr="00FF6D65">
        <w:rPr>
          <w:rFonts w:ascii="Footlight MT Light" w:hAnsi="Footlight MT Light" w:cstheme="majorHAnsi"/>
          <w:noProof/>
          <w:color w:val="000000" w:themeColor="text1"/>
          <w:sz w:val="24"/>
          <w:szCs w:val="24"/>
        </w:rPr>
        <w:lastRenderedPageBreak/>
        <w:drawing>
          <wp:inline distT="0" distB="0" distL="0" distR="0" wp14:anchorId="19934962" wp14:editId="45E61B92">
            <wp:extent cx="5731510" cy="2059305"/>
            <wp:effectExtent l="0" t="0" r="2540" b="0"/>
            <wp:docPr id="2090423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p>
    <w:p w14:paraId="031F0D2F" w14:textId="2C7958A6" w:rsidR="00FF6D65" w:rsidRDefault="00FF6D65" w:rsidP="00FF6D65">
      <w:pPr>
        <w:tabs>
          <w:tab w:val="left" w:pos="1065"/>
          <w:tab w:val="center" w:pos="4513"/>
        </w:tabs>
        <w:jc w:val="center"/>
        <w:rPr>
          <w:rFonts w:ascii="Arial Rounded MT Bold" w:hAnsi="Arial Rounded MT Bold" w:cstheme="majorHAnsi"/>
          <w:color w:val="4472C4" w:themeColor="accent1"/>
          <w:sz w:val="32"/>
          <w:szCs w:val="32"/>
          <w:lang w:val="en-US"/>
        </w:rPr>
      </w:pPr>
      <w:r w:rsidRPr="00FF6D65">
        <w:rPr>
          <w:rFonts w:ascii="Arial Rounded MT Bold" w:hAnsi="Arial Rounded MT Bold" w:cstheme="majorHAnsi"/>
          <w:color w:val="4472C4" w:themeColor="accent1"/>
          <w:sz w:val="32"/>
          <w:szCs w:val="32"/>
          <w:lang w:val="en-US"/>
        </w:rPr>
        <w:t>Historical stock price data chart</w:t>
      </w:r>
    </w:p>
    <w:p w14:paraId="38F2494F" w14:textId="77777777"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p>
    <w:p w14:paraId="289F14B9" w14:textId="105476CF"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KEY METRICS:</w:t>
      </w:r>
    </w:p>
    <w:p w14:paraId="59434BAB"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Historical daily share price chart and data for JPMorgan Chase since 1983 adjusted for splits and dividends. The latest closing stock price for JPMorgan Chase as of March 28, 2024 is 200.30.</w:t>
      </w:r>
    </w:p>
    <w:p w14:paraId="05BABAEA"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all-time high JPMorgan Chase stock closing price was 200.30 on March 28, 2024.</w:t>
      </w:r>
    </w:p>
    <w:p w14:paraId="67A143AD"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JPMorgan Chase 52-week high stock price is 200.72, which is 0.2% above the current share price.</w:t>
      </w:r>
    </w:p>
    <w:tbl>
      <w:tblPr>
        <w:tblpPr w:leftFromText="180" w:rightFromText="180" w:vertAnchor="text" w:horzAnchor="margin" w:tblpXSpec="center" w:tblpY="987"/>
        <w:tblW w:w="11160" w:type="dxa"/>
        <w:tblCellMar>
          <w:top w:w="15" w:type="dxa"/>
          <w:left w:w="15" w:type="dxa"/>
          <w:bottom w:w="15" w:type="dxa"/>
          <w:right w:w="15" w:type="dxa"/>
        </w:tblCellMar>
        <w:tblLook w:val="04A0" w:firstRow="1" w:lastRow="0" w:firstColumn="1" w:lastColumn="0" w:noHBand="0" w:noVBand="1"/>
      </w:tblPr>
      <w:tblGrid>
        <w:gridCol w:w="805"/>
        <w:gridCol w:w="2456"/>
        <w:gridCol w:w="1465"/>
        <w:gridCol w:w="1400"/>
        <w:gridCol w:w="1320"/>
        <w:gridCol w:w="1445"/>
        <w:gridCol w:w="2269"/>
      </w:tblGrid>
      <w:tr w:rsidR="00AB210B" w:rsidRPr="00226623" w14:paraId="4564FC37" w14:textId="77777777" w:rsidTr="00AB210B">
        <w:trPr>
          <w:tblHeader/>
        </w:trPr>
        <w:tc>
          <w:tcPr>
            <w:tcW w:w="0" w:type="auto"/>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1B41C666" w14:textId="77777777" w:rsidR="00AB210B" w:rsidRPr="00226623" w:rsidRDefault="00AB210B" w:rsidP="00AB210B">
            <w:pPr>
              <w:tabs>
                <w:tab w:val="left" w:pos="1065"/>
                <w:tab w:val="center" w:pos="4513"/>
              </w:tabs>
              <w:jc w:val="center"/>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JPMorgan Chase Historical Annual Stock Price Data</w:t>
            </w:r>
          </w:p>
        </w:tc>
      </w:tr>
      <w:tr w:rsidR="00AB210B" w:rsidRPr="00226623" w14:paraId="2F50DC3F" w14:textId="77777777" w:rsidTr="00AB210B">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E2C968F"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98B7DB"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0D2001C"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35B0AD0"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6BAA2D4"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10593FB"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Year Close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E0ACC69" w14:textId="77777777" w:rsidR="00AB210B" w:rsidRPr="00226623" w:rsidRDefault="00AB210B" w:rsidP="00AB210B">
            <w:pPr>
              <w:tabs>
                <w:tab w:val="left" w:pos="1065"/>
                <w:tab w:val="center" w:pos="4513"/>
              </w:tabs>
              <w:rPr>
                <w:rFonts w:ascii="Footlight MT Light" w:hAnsi="Footlight MT Light" w:cstheme="majorHAnsi"/>
                <w:b/>
                <w:bCs/>
                <w:color w:val="000000" w:themeColor="text1"/>
                <w:sz w:val="24"/>
                <w:szCs w:val="24"/>
              </w:rPr>
            </w:pPr>
            <w:r w:rsidRPr="00226623">
              <w:rPr>
                <w:rFonts w:ascii="Footlight MT Light" w:hAnsi="Footlight MT Light" w:cstheme="majorHAnsi"/>
                <w:b/>
                <w:bCs/>
                <w:color w:val="000000" w:themeColor="text1"/>
                <w:sz w:val="24"/>
                <w:szCs w:val="24"/>
              </w:rPr>
              <w:t>Annual % Change</w:t>
            </w:r>
          </w:p>
        </w:tc>
      </w:tr>
      <w:tr w:rsidR="00AB210B" w:rsidRPr="00226623" w14:paraId="60C1231C" w14:textId="77777777" w:rsidTr="00AB210B">
        <w:tc>
          <w:tcPr>
            <w:tcW w:w="0" w:type="auto"/>
            <w:tcBorders>
              <w:top w:val="single" w:sz="6" w:space="0" w:color="DDDDDD"/>
            </w:tcBorders>
            <w:shd w:val="clear" w:color="auto" w:fill="auto"/>
            <w:tcMar>
              <w:top w:w="90" w:type="dxa"/>
              <w:left w:w="90" w:type="dxa"/>
              <w:bottom w:w="90" w:type="dxa"/>
              <w:right w:w="90" w:type="dxa"/>
            </w:tcMar>
            <w:vAlign w:val="center"/>
            <w:hideMark/>
          </w:tcPr>
          <w:p w14:paraId="4C1E195A"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9BF81F0"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180.4100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2E8B1C7"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171.0323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3F8CDC0"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FA09E7"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167.0900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5ADAE2"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98BBC3C"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18.48%</w:t>
            </w:r>
          </w:p>
        </w:tc>
      </w:tr>
      <w:tr w:rsidR="00AB210B" w:rsidRPr="00226623" w14:paraId="4480F32A" w14:textId="77777777" w:rsidTr="00AB210B">
        <w:tc>
          <w:tcPr>
            <w:tcW w:w="0" w:type="auto"/>
            <w:tcBorders>
              <w:top w:val="single" w:sz="6" w:space="0" w:color="DDDDDD"/>
            </w:tcBorders>
            <w:shd w:val="clear" w:color="auto" w:fill="auto"/>
            <w:tcMar>
              <w:top w:w="90" w:type="dxa"/>
              <w:left w:w="90" w:type="dxa"/>
              <w:bottom w:w="90" w:type="dxa"/>
              <w:right w:w="90" w:type="dxa"/>
            </w:tcMar>
            <w:vAlign w:val="center"/>
            <w:hideMark/>
          </w:tcPr>
          <w:p w14:paraId="6C6CD6CA"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78F99F"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141.6572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0D1485"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130.4094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2D8D7EE"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169.2632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3E0A658"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121.4460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5A527E"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169.0644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501B5B0D" w14:textId="77777777" w:rsidR="00AB210B" w:rsidRPr="00226623" w:rsidRDefault="00AB210B" w:rsidP="00AB210B">
            <w:pPr>
              <w:tabs>
                <w:tab w:val="left" w:pos="1065"/>
                <w:tab w:val="center" w:pos="4513"/>
              </w:tabs>
              <w:rPr>
                <w:rFonts w:ascii="Footlight MT Light" w:hAnsi="Footlight MT Light" w:cstheme="majorHAnsi"/>
                <w:color w:val="000000" w:themeColor="text1"/>
                <w:sz w:val="24"/>
                <w:szCs w:val="24"/>
              </w:rPr>
            </w:pPr>
            <w:r w:rsidRPr="00226623">
              <w:rPr>
                <w:rFonts w:ascii="Footlight MT Light" w:hAnsi="Footlight MT Light" w:cstheme="majorHAnsi"/>
                <w:color w:val="000000" w:themeColor="text1"/>
                <w:sz w:val="24"/>
                <w:szCs w:val="24"/>
              </w:rPr>
              <w:t>30.63%</w:t>
            </w:r>
          </w:p>
        </w:tc>
      </w:tr>
    </w:tbl>
    <w:p w14:paraId="30AE252E"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JPMorgan Chase 52-week low stock price is 126.22, which is 37% below the current share price.</w:t>
      </w:r>
    </w:p>
    <w:p w14:paraId="63D0EBB9" w14:textId="7ABCB13D" w:rsidR="00226623" w:rsidRDefault="00226623" w:rsidP="00226623">
      <w:pPr>
        <w:tabs>
          <w:tab w:val="left" w:pos="1065"/>
          <w:tab w:val="center" w:pos="4513"/>
        </w:tabs>
        <w:rPr>
          <w:rFonts w:ascii="Footlight MT Light" w:hAnsi="Footlight MT Light" w:cstheme="majorHAnsi"/>
          <w:color w:val="000000" w:themeColor="text1"/>
          <w:sz w:val="24"/>
          <w:szCs w:val="24"/>
          <w:lang w:val="en-US"/>
        </w:rPr>
      </w:pPr>
      <w:r w:rsidRPr="00226623">
        <w:rPr>
          <w:rFonts w:ascii="Footlight MT Light" w:hAnsi="Footlight MT Light" w:cstheme="majorHAnsi"/>
          <w:color w:val="000000" w:themeColor="text1"/>
          <w:sz w:val="24"/>
          <w:szCs w:val="24"/>
          <w:lang w:val="en-US"/>
        </w:rPr>
        <w:t>The average JPMorgan Chase stock price for the last 52 weeks is 154.72.</w:t>
      </w:r>
      <w:r w:rsidRPr="00226623">
        <w:rPr>
          <w:rFonts w:ascii="Footlight MT Light" w:hAnsi="Footlight MT Light" w:cstheme="majorHAnsi"/>
          <w:color w:val="000000" w:themeColor="text1"/>
          <w:sz w:val="24"/>
          <w:szCs w:val="24"/>
          <w:lang w:val="en-US"/>
        </w:rPr>
        <w:br/>
      </w:r>
    </w:p>
    <w:p w14:paraId="025EE502"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p>
    <w:p w14:paraId="79379899" w14:textId="77777777" w:rsid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7CDD9921" w14:textId="255D7E56" w:rsidR="005E6294" w:rsidRPr="005E6294" w:rsidRDefault="005E6294" w:rsidP="005E6294">
      <w:pPr>
        <w:tabs>
          <w:tab w:val="left" w:pos="1065"/>
          <w:tab w:val="center" w:pos="4513"/>
        </w:tabs>
        <w:rPr>
          <w:rFonts w:ascii="Footlight MT Light" w:hAnsi="Footlight MT Light" w:cstheme="majorHAnsi"/>
          <w:color w:val="000000" w:themeColor="text1"/>
          <w:sz w:val="28"/>
          <w:szCs w:val="28"/>
        </w:rPr>
      </w:pPr>
      <w:r w:rsidRPr="005E6294">
        <w:rPr>
          <w:rFonts w:ascii="Footlight MT Light" w:hAnsi="Footlight MT Light" w:cstheme="majorHAnsi"/>
          <w:noProof/>
          <w:color w:val="000000" w:themeColor="text1"/>
          <w:sz w:val="28"/>
          <w:szCs w:val="28"/>
        </w:rPr>
        <w:lastRenderedPageBreak/>
        <w:drawing>
          <wp:inline distT="0" distB="0" distL="0" distR="0" wp14:anchorId="721DD0BB" wp14:editId="44F27ACA">
            <wp:extent cx="5731510" cy="2312035"/>
            <wp:effectExtent l="0" t="0" r="2540" b="0"/>
            <wp:docPr id="879449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056871F7" w14:textId="77777777" w:rsidR="00AA3EBC" w:rsidRDefault="005E6294" w:rsidP="00AA3EBC">
      <w:pPr>
        <w:tabs>
          <w:tab w:val="left" w:pos="1065"/>
          <w:tab w:val="center" w:pos="4513"/>
        </w:tabs>
        <w:jc w:val="center"/>
        <w:rPr>
          <w:rFonts w:ascii="Arial Rounded MT Bold" w:hAnsi="Arial Rounded MT Bold" w:cstheme="majorHAnsi"/>
          <w:color w:val="4472C4" w:themeColor="accent1"/>
          <w:sz w:val="32"/>
          <w:szCs w:val="32"/>
          <w:lang w:val="en-US"/>
        </w:rPr>
      </w:pPr>
      <w:r w:rsidRPr="005E6294">
        <w:rPr>
          <w:rFonts w:ascii="Arial Rounded MT Bold" w:hAnsi="Arial Rounded MT Bold" w:cstheme="majorHAnsi"/>
          <w:color w:val="4472C4" w:themeColor="accent1"/>
          <w:sz w:val="32"/>
          <w:szCs w:val="32"/>
          <w:lang w:val="en-US"/>
        </w:rPr>
        <w:t>STOCK PRICE CHANGE CHART</w:t>
      </w:r>
    </w:p>
    <w:p w14:paraId="09795760"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p w14:paraId="07D5D8CD" w14:textId="12E8D67E" w:rsidR="00A66D91" w:rsidRDefault="00A66D91" w:rsidP="00AA3EBC">
      <w:pPr>
        <w:tabs>
          <w:tab w:val="left" w:pos="1065"/>
          <w:tab w:val="center" w:pos="4513"/>
        </w:tabs>
        <w:jc w:val="center"/>
        <w:rPr>
          <w:rFonts w:ascii="Arial Rounded MT Bold" w:hAnsi="Arial Rounded MT Bold" w:cstheme="majorHAnsi"/>
          <w:sz w:val="32"/>
          <w:szCs w:val="32"/>
          <w:lang w:val="en-US"/>
        </w:rPr>
      </w:pPr>
      <w:r w:rsidRPr="00AA3EBC">
        <w:rPr>
          <w:rFonts w:ascii="Arial Rounded MT Bold" w:hAnsi="Arial Rounded MT Bold" w:cstheme="majorHAnsi"/>
          <w:sz w:val="32"/>
          <w:szCs w:val="32"/>
          <w:lang w:val="en-US"/>
        </w:rPr>
        <w:t>VOLATILITY</w:t>
      </w:r>
    </w:p>
    <w:p w14:paraId="666DEA1C" w14:textId="77777777" w:rsidR="00AA3EBC" w:rsidRDefault="00AA3EBC" w:rsidP="00AA3EBC">
      <w:pPr>
        <w:tabs>
          <w:tab w:val="left" w:pos="1065"/>
          <w:tab w:val="center" w:pos="4513"/>
        </w:tabs>
        <w:jc w:val="center"/>
        <w:rPr>
          <w:rFonts w:ascii="Arial Rounded MT Bold" w:hAnsi="Arial Rounded MT Bold" w:cstheme="majorHAnsi"/>
          <w:sz w:val="32"/>
          <w:szCs w:val="32"/>
          <w:lang w:val="en-US"/>
        </w:rPr>
      </w:pPr>
    </w:p>
    <w:p w14:paraId="537272C8" w14:textId="77777777" w:rsidR="00AA3EBC" w:rsidRPr="00AA3EBC" w:rsidRDefault="00AA3EBC" w:rsidP="00AA3EBC">
      <w:pPr>
        <w:tabs>
          <w:tab w:val="left" w:pos="1065"/>
          <w:tab w:val="center" w:pos="4513"/>
        </w:tabs>
        <w:jc w:val="center"/>
        <w:rPr>
          <w:rFonts w:ascii="Footlight MT Light" w:hAnsi="Footlight MT Light" w:cstheme="majorHAnsi"/>
          <w:sz w:val="28"/>
          <w:szCs w:val="28"/>
        </w:rPr>
      </w:pPr>
      <w:r w:rsidRPr="00AA3EBC">
        <w:rPr>
          <w:rFonts w:ascii="Footlight MT Light" w:hAnsi="Footlight MT Light" w:cstheme="majorHAnsi"/>
          <w:sz w:val="28"/>
          <w:szCs w:val="28"/>
        </w:rPr>
        <w:t>JPMorgan Chase appears to be very steady, given 3 months investment horizon. </w:t>
      </w:r>
      <w:hyperlink r:id="rId9" w:tooltip="JPMorgan Chase dashboard" w:history="1">
        <w:r w:rsidRPr="00AA3EBC">
          <w:rPr>
            <w:rStyle w:val="Hyperlink"/>
            <w:rFonts w:ascii="Footlight MT Light" w:hAnsi="Footlight MT Light" w:cstheme="majorHAnsi"/>
            <w:color w:val="auto"/>
            <w:sz w:val="28"/>
            <w:szCs w:val="28"/>
          </w:rPr>
          <w:t>JPMorgan Chase</w:t>
        </w:r>
      </w:hyperlink>
      <w:r w:rsidRPr="00AA3EBC">
        <w:rPr>
          <w:rFonts w:ascii="Footlight MT Light" w:hAnsi="Footlight MT Light" w:cstheme="majorHAnsi"/>
          <w:sz w:val="28"/>
          <w:szCs w:val="28"/>
        </w:rPr>
        <w:t> holds Efficiency (Sharpe) Ratio of 0.31, which attests that the entity had a 0.31% return per unit of volatility over the last 3 months. We have found thirty </w:t>
      </w:r>
      <w:hyperlink r:id="rId10" w:tooltip="JPMorgan Chase technical indicators" w:history="1">
        <w:r w:rsidRPr="00AA3EBC">
          <w:rPr>
            <w:rStyle w:val="Hyperlink"/>
            <w:rFonts w:ascii="Footlight MT Light" w:hAnsi="Footlight MT Light" w:cstheme="majorHAnsi"/>
            <w:color w:val="auto"/>
            <w:sz w:val="28"/>
            <w:szCs w:val="28"/>
          </w:rPr>
          <w:t>technical indicators</w:t>
        </w:r>
      </w:hyperlink>
      <w:r w:rsidRPr="00AA3EBC">
        <w:rPr>
          <w:rFonts w:ascii="Footlight MT Light" w:hAnsi="Footlight MT Light" w:cstheme="majorHAnsi"/>
          <w:sz w:val="28"/>
          <w:szCs w:val="28"/>
        </w:rPr>
        <w:t> for JPMorgan Chase, which you can use to evaluate the volatility of the firm. Please utilize JPMorgan Chase's </w:t>
      </w:r>
      <w:hyperlink r:id="rId11" w:tooltip="JPMorgan Chase Risk Adjusted Performance" w:history="1">
        <w:r w:rsidRPr="00AA3EBC">
          <w:rPr>
            <w:rStyle w:val="Hyperlink"/>
            <w:rFonts w:ascii="Footlight MT Light" w:hAnsi="Footlight MT Light" w:cstheme="majorHAnsi"/>
            <w:color w:val="auto"/>
            <w:sz w:val="28"/>
            <w:szCs w:val="28"/>
          </w:rPr>
          <w:t>risk adjusted performance</w:t>
        </w:r>
      </w:hyperlink>
      <w:r w:rsidRPr="00AA3EBC">
        <w:rPr>
          <w:rFonts w:ascii="Footlight MT Light" w:hAnsi="Footlight MT Light" w:cstheme="majorHAnsi"/>
          <w:sz w:val="28"/>
          <w:szCs w:val="28"/>
        </w:rPr>
        <w:t> of 0.1958, and Market Risk Adjusted Performance of 0.3508 to validate if our risk estimates are consistent with your expectations. </w:t>
      </w:r>
      <w:r w:rsidRPr="00AA3EBC">
        <w:rPr>
          <w:rFonts w:ascii="Footlight MT Light" w:hAnsi="Footlight MT Light" w:cstheme="majorHAnsi"/>
          <w:b/>
          <w:bCs/>
          <w:sz w:val="28"/>
          <w:szCs w:val="28"/>
        </w:rPr>
        <w:t>Key indicators related to JPMorgan Chase's volatility include:</w:t>
      </w:r>
    </w:p>
    <w:tbl>
      <w:tblPr>
        <w:tblW w:w="10260" w:type="dxa"/>
        <w:tblCellSpacing w:w="15" w:type="dxa"/>
        <w:tblInd w:w="-610" w:type="dxa"/>
        <w:shd w:val="clear" w:color="auto" w:fill="F7F7F7"/>
        <w:tblCellMar>
          <w:top w:w="15" w:type="dxa"/>
          <w:left w:w="15" w:type="dxa"/>
          <w:bottom w:w="15" w:type="dxa"/>
          <w:right w:w="15" w:type="dxa"/>
        </w:tblCellMar>
        <w:tblLook w:val="04A0" w:firstRow="1" w:lastRow="0" w:firstColumn="1" w:lastColumn="0" w:noHBand="0" w:noVBand="1"/>
      </w:tblPr>
      <w:tblGrid>
        <w:gridCol w:w="2876"/>
        <w:gridCol w:w="3019"/>
        <w:gridCol w:w="4365"/>
      </w:tblGrid>
      <w:tr w:rsidR="00AA3EBC" w:rsidRPr="00AA3EBC" w14:paraId="047F775B" w14:textId="77777777" w:rsidTr="0039541C">
        <w:trPr>
          <w:trHeight w:val="1854"/>
          <w:tblCellSpacing w:w="15" w:type="dxa"/>
        </w:trPr>
        <w:tc>
          <w:tcPr>
            <w:tcW w:w="2831" w:type="dxa"/>
            <w:tcBorders>
              <w:top w:val="nil"/>
              <w:left w:val="nil"/>
              <w:bottom w:val="nil"/>
              <w:right w:val="nil"/>
            </w:tcBorders>
            <w:shd w:val="clear" w:color="auto" w:fill="F7F7F7"/>
            <w:tcMar>
              <w:top w:w="96" w:type="dxa"/>
              <w:left w:w="0" w:type="dxa"/>
              <w:bottom w:w="180" w:type="dxa"/>
              <w:right w:w="96" w:type="dxa"/>
            </w:tcMar>
            <w:hideMark/>
          </w:tcPr>
          <w:p w14:paraId="68AA4782"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360 Days Market Risk</w:t>
            </w:r>
          </w:p>
          <w:p w14:paraId="678632CC" w14:textId="77777777" w:rsidR="00AA3EBC" w:rsidRPr="00AA3EBC" w:rsidRDefault="00000000" w:rsidP="00AA3EBC">
            <w:pPr>
              <w:tabs>
                <w:tab w:val="left" w:pos="1065"/>
                <w:tab w:val="center" w:pos="4513"/>
              </w:tabs>
              <w:jc w:val="center"/>
              <w:rPr>
                <w:rFonts w:ascii="Arial Rounded MT Bold" w:hAnsi="Arial Rounded MT Bold" w:cstheme="majorHAnsi"/>
                <w:color w:val="4472C4" w:themeColor="accent1"/>
                <w:sz w:val="32"/>
                <w:szCs w:val="32"/>
              </w:rPr>
            </w:pPr>
            <w:hyperlink r:id="rId12" w:tooltip="JPMorgan Chase Risk" w:history="1">
              <w:r w:rsidR="00AA3EBC" w:rsidRPr="00AA3EBC">
                <w:rPr>
                  <w:rStyle w:val="Hyperlink"/>
                  <w:rFonts w:ascii="Footlight MT Light" w:hAnsi="Footlight MT Light" w:cstheme="majorHAnsi"/>
                  <w:color w:val="auto"/>
                  <w:sz w:val="32"/>
                  <w:szCs w:val="32"/>
                </w:rPr>
                <w:t>Very steady</w:t>
              </w:r>
            </w:hyperlink>
          </w:p>
        </w:tc>
        <w:tc>
          <w:tcPr>
            <w:tcW w:w="2989" w:type="dxa"/>
            <w:tcBorders>
              <w:top w:val="nil"/>
              <w:left w:val="nil"/>
              <w:bottom w:val="nil"/>
              <w:right w:val="nil"/>
            </w:tcBorders>
            <w:shd w:val="clear" w:color="auto" w:fill="F7F7F7"/>
            <w:tcMar>
              <w:top w:w="96" w:type="dxa"/>
              <w:left w:w="96" w:type="dxa"/>
              <w:bottom w:w="180" w:type="dxa"/>
              <w:right w:w="96" w:type="dxa"/>
            </w:tcMar>
            <w:hideMark/>
          </w:tcPr>
          <w:p w14:paraId="22579D85"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Chance Of Distress</w:t>
            </w:r>
          </w:p>
          <w:p w14:paraId="1642AFE4" w14:textId="77777777" w:rsidR="00AA3EBC" w:rsidRPr="00AA3EBC" w:rsidRDefault="00000000" w:rsidP="00AA3EBC">
            <w:pPr>
              <w:tabs>
                <w:tab w:val="left" w:pos="1065"/>
                <w:tab w:val="center" w:pos="4513"/>
              </w:tabs>
              <w:jc w:val="center"/>
              <w:rPr>
                <w:rFonts w:ascii="Arial Rounded MT Bold" w:hAnsi="Arial Rounded MT Bold" w:cstheme="majorHAnsi"/>
                <w:color w:val="4472C4" w:themeColor="accent1"/>
                <w:sz w:val="32"/>
                <w:szCs w:val="32"/>
              </w:rPr>
            </w:pPr>
            <w:hyperlink r:id="rId13" w:tooltip="JPMorgan Chase Probability of Bankruptcy " w:history="1">
              <w:r w:rsidR="00AA3EBC" w:rsidRPr="00AA3EBC">
                <w:rPr>
                  <w:rStyle w:val="Hyperlink"/>
                  <w:rFonts w:ascii="Footlight MT Light" w:hAnsi="Footlight MT Light" w:cstheme="majorHAnsi"/>
                  <w:color w:val="auto"/>
                  <w:sz w:val="32"/>
                  <w:szCs w:val="32"/>
                </w:rPr>
                <w:t>Low</w:t>
              </w:r>
            </w:hyperlink>
          </w:p>
        </w:tc>
        <w:tc>
          <w:tcPr>
            <w:tcW w:w="4320" w:type="dxa"/>
            <w:tcBorders>
              <w:top w:val="nil"/>
              <w:left w:val="nil"/>
              <w:bottom w:val="nil"/>
              <w:right w:val="nil"/>
            </w:tcBorders>
            <w:shd w:val="clear" w:color="auto" w:fill="F7F7F7"/>
            <w:tcMar>
              <w:top w:w="96" w:type="dxa"/>
              <w:left w:w="96" w:type="dxa"/>
              <w:bottom w:w="180" w:type="dxa"/>
              <w:right w:w="0" w:type="dxa"/>
            </w:tcMar>
            <w:hideMark/>
          </w:tcPr>
          <w:p w14:paraId="176276A0" w14:textId="77777777" w:rsidR="00AA3EBC" w:rsidRPr="00AA3EBC" w:rsidRDefault="00AA3EBC" w:rsidP="00AA3EBC">
            <w:pPr>
              <w:tabs>
                <w:tab w:val="left" w:pos="1065"/>
                <w:tab w:val="center" w:pos="4513"/>
              </w:tabs>
              <w:jc w:val="center"/>
              <w:rPr>
                <w:rFonts w:ascii="Footlight MT Light" w:hAnsi="Footlight MT Light" w:cstheme="majorHAnsi"/>
                <w:b/>
                <w:bCs/>
                <w:sz w:val="32"/>
                <w:szCs w:val="32"/>
              </w:rPr>
            </w:pPr>
            <w:r w:rsidRPr="00AA3EBC">
              <w:rPr>
                <w:rFonts w:ascii="Footlight MT Light" w:hAnsi="Footlight MT Light" w:cstheme="majorHAnsi"/>
                <w:b/>
                <w:bCs/>
                <w:sz w:val="32"/>
                <w:szCs w:val="32"/>
              </w:rPr>
              <w:t>360 Days Economic Sensitivity</w:t>
            </w:r>
          </w:p>
          <w:p w14:paraId="376DA5D4" w14:textId="77777777" w:rsidR="00AA3EBC" w:rsidRPr="00AA3EBC" w:rsidRDefault="00000000" w:rsidP="00AA3EBC">
            <w:pPr>
              <w:tabs>
                <w:tab w:val="left" w:pos="1065"/>
                <w:tab w:val="center" w:pos="4513"/>
              </w:tabs>
              <w:jc w:val="center"/>
              <w:rPr>
                <w:rFonts w:ascii="Arial Rounded MT Bold" w:hAnsi="Arial Rounded MT Bold" w:cstheme="majorHAnsi"/>
                <w:color w:val="4472C4" w:themeColor="accent1"/>
                <w:sz w:val="32"/>
                <w:szCs w:val="32"/>
              </w:rPr>
            </w:pPr>
            <w:hyperlink r:id="rId14" w:tooltip="JPMorgan Chase Sensitivity to Market" w:history="1">
              <w:r w:rsidR="00AA3EBC" w:rsidRPr="00AA3EBC">
                <w:rPr>
                  <w:rStyle w:val="Hyperlink"/>
                  <w:rFonts w:ascii="Footlight MT Light" w:hAnsi="Footlight MT Light" w:cstheme="majorHAnsi"/>
                  <w:color w:val="auto"/>
                  <w:sz w:val="32"/>
                  <w:szCs w:val="32"/>
                </w:rPr>
                <w:t>Follows the market closely</w:t>
              </w:r>
            </w:hyperlink>
          </w:p>
        </w:tc>
      </w:tr>
    </w:tbl>
    <w:p w14:paraId="2912A086" w14:textId="77777777" w:rsidR="00AA3EBC" w:rsidRPr="00AA3EBC" w:rsidRDefault="00AA3EBC" w:rsidP="00AA3EBC">
      <w:pPr>
        <w:tabs>
          <w:tab w:val="left" w:pos="1065"/>
          <w:tab w:val="center" w:pos="4513"/>
        </w:tabs>
        <w:jc w:val="center"/>
        <w:rPr>
          <w:rFonts w:ascii="Arial Rounded MT Bold" w:hAnsi="Arial Rounded MT Bold" w:cstheme="majorHAnsi"/>
          <w:color w:val="4472C4" w:themeColor="accent1"/>
          <w:sz w:val="32"/>
          <w:szCs w:val="32"/>
        </w:rPr>
      </w:pPr>
      <w:r w:rsidRPr="00AA3EBC">
        <w:rPr>
          <w:rFonts w:ascii="Footlight MT Light" w:hAnsi="Footlight MT Light" w:cstheme="majorHAnsi"/>
          <w:sz w:val="28"/>
          <w:szCs w:val="28"/>
        </w:rPr>
        <w:t>JPMorgan Chase Stock volatility depicts how high the prices fluctuate around the mean (or its average) price. In other words, it is a statistical measure of the distribution of JPMorgan daily returns, and it is calculated using variance and standard deviation. We also use JPMorgan's beta, its </w:t>
      </w:r>
      <w:hyperlink r:id="rId15" w:tooltip="JPMorgan Chase Co sensitivity to the market" w:history="1">
        <w:r w:rsidRPr="00AA3EBC">
          <w:rPr>
            <w:rStyle w:val="Hyperlink"/>
            <w:rFonts w:ascii="Footlight MT Light" w:hAnsi="Footlight MT Light" w:cstheme="majorHAnsi"/>
            <w:color w:val="auto"/>
            <w:sz w:val="28"/>
            <w:szCs w:val="28"/>
          </w:rPr>
          <w:t>sensitivity to the market</w:t>
        </w:r>
      </w:hyperlink>
      <w:r w:rsidRPr="00AA3EBC">
        <w:rPr>
          <w:rFonts w:ascii="Footlight MT Light" w:hAnsi="Footlight MT Light" w:cstheme="majorHAnsi"/>
          <w:sz w:val="28"/>
          <w:szCs w:val="28"/>
        </w:rPr>
        <w:t>, as well as its odds of financial distress to provide a more practical estimation of JPMorgan Chase volatility</w:t>
      </w:r>
      <w:r w:rsidRPr="00AA3EBC">
        <w:rPr>
          <w:rFonts w:ascii="Arial Rounded MT Bold" w:hAnsi="Arial Rounded MT Bold" w:cstheme="majorHAnsi"/>
          <w:color w:val="4472C4" w:themeColor="accent1"/>
          <w:sz w:val="32"/>
          <w:szCs w:val="32"/>
        </w:rPr>
        <w:t>.</w:t>
      </w:r>
    </w:p>
    <w:p w14:paraId="216E4B3F"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387"/>
        <w:gridCol w:w="160"/>
        <w:gridCol w:w="6"/>
        <w:gridCol w:w="160"/>
        <w:gridCol w:w="992"/>
      </w:tblGrid>
      <w:tr w:rsidR="001E13A1" w:rsidRPr="001E13A1" w14:paraId="01346957" w14:textId="77777777" w:rsidTr="001E13A1">
        <w:tc>
          <w:tcPr>
            <w:tcW w:w="0" w:type="auto"/>
            <w:shd w:val="clear" w:color="auto" w:fill="EBEBEB"/>
            <w:tcMar>
              <w:top w:w="0" w:type="dxa"/>
              <w:left w:w="0" w:type="dxa"/>
              <w:bottom w:w="0" w:type="dxa"/>
              <w:right w:w="0" w:type="dxa"/>
            </w:tcMar>
            <w:vAlign w:val="center"/>
            <w:hideMark/>
          </w:tcPr>
          <w:p w14:paraId="011ABD83" w14:textId="77777777" w:rsidR="001E13A1" w:rsidRPr="001E13A1" w:rsidRDefault="001E13A1" w:rsidP="001E13A1">
            <w:pPr>
              <w:tabs>
                <w:tab w:val="left" w:pos="1065"/>
                <w:tab w:val="center" w:pos="4513"/>
              </w:tabs>
              <w:jc w:val="center"/>
              <w:rPr>
                <w:rFonts w:ascii="Arial Rounded MT Bold" w:hAnsi="Arial Rounded MT Bold" w:cstheme="majorHAnsi"/>
                <w:b/>
                <w:bCs/>
                <w:sz w:val="32"/>
                <w:szCs w:val="32"/>
              </w:rPr>
            </w:pPr>
            <w:r w:rsidRPr="001E13A1">
              <w:rPr>
                <w:rFonts w:ascii="Arial Rounded MT Bold" w:hAnsi="Arial Rounded MT Bold" w:cstheme="majorHAnsi"/>
                <w:b/>
                <w:bCs/>
                <w:color w:val="4472C4" w:themeColor="accent1"/>
                <w:sz w:val="32"/>
                <w:szCs w:val="32"/>
              </w:rPr>
              <w:lastRenderedPageBreak/>
              <w:t>JPMorgan Beta</w:t>
            </w:r>
          </w:p>
        </w:tc>
        <w:tc>
          <w:tcPr>
            <w:tcW w:w="0" w:type="auto"/>
            <w:shd w:val="clear" w:color="auto" w:fill="EBEBEB"/>
            <w:tcMar>
              <w:top w:w="0" w:type="dxa"/>
              <w:left w:w="0" w:type="dxa"/>
              <w:bottom w:w="0" w:type="dxa"/>
              <w:right w:w="0" w:type="dxa"/>
            </w:tcMar>
            <w:vAlign w:val="center"/>
            <w:hideMark/>
          </w:tcPr>
          <w:p w14:paraId="79E4F9F1" w14:textId="77777777" w:rsidR="001E13A1" w:rsidRP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60558AF6"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p>
        </w:tc>
        <w:tc>
          <w:tcPr>
            <w:tcW w:w="0" w:type="auto"/>
            <w:shd w:val="clear" w:color="auto" w:fill="EBEBEB"/>
            <w:tcMar>
              <w:top w:w="0" w:type="dxa"/>
              <w:left w:w="0" w:type="dxa"/>
              <w:bottom w:w="0" w:type="dxa"/>
              <w:right w:w="0" w:type="dxa"/>
            </w:tcMar>
            <w:vAlign w:val="center"/>
            <w:hideMark/>
          </w:tcPr>
          <w:p w14:paraId="4CC0E0D9"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r w:rsidRPr="001E13A1">
              <w:rPr>
                <w:rFonts w:ascii="Arial Rounded MT Bold" w:hAnsi="Arial Rounded MT Bold" w:cstheme="majorHAnsi"/>
                <w:color w:val="4472C4" w:themeColor="accent1"/>
                <w:sz w:val="32"/>
                <w:szCs w:val="32"/>
              </w:rPr>
              <w:t>  </w:t>
            </w:r>
          </w:p>
        </w:tc>
        <w:tc>
          <w:tcPr>
            <w:tcW w:w="0" w:type="auto"/>
            <w:shd w:val="clear" w:color="auto" w:fill="EBEBEB"/>
            <w:noWrap/>
            <w:tcMar>
              <w:top w:w="0" w:type="dxa"/>
              <w:left w:w="0" w:type="dxa"/>
              <w:bottom w:w="0" w:type="dxa"/>
              <w:right w:w="0" w:type="dxa"/>
            </w:tcMar>
            <w:vAlign w:val="center"/>
            <w:hideMark/>
          </w:tcPr>
          <w:p w14:paraId="1E7ECABD" w14:textId="77777777" w:rsidR="001E13A1" w:rsidRPr="001E13A1" w:rsidRDefault="001E13A1" w:rsidP="001E13A1">
            <w:pPr>
              <w:tabs>
                <w:tab w:val="left" w:pos="1065"/>
                <w:tab w:val="center" w:pos="4513"/>
              </w:tabs>
              <w:jc w:val="center"/>
              <w:rPr>
                <w:rFonts w:ascii="Arial Rounded MT Bold" w:hAnsi="Arial Rounded MT Bold" w:cstheme="majorHAnsi"/>
                <w:b/>
                <w:bCs/>
                <w:color w:val="4472C4" w:themeColor="accent1"/>
                <w:sz w:val="32"/>
                <w:szCs w:val="32"/>
              </w:rPr>
            </w:pPr>
            <w:r w:rsidRPr="001E13A1">
              <w:rPr>
                <w:rFonts w:ascii="Arial Rounded MT Bold" w:hAnsi="Arial Rounded MT Bold" w:cstheme="majorHAnsi"/>
                <w:b/>
                <w:bCs/>
                <w:color w:val="4472C4" w:themeColor="accent1"/>
                <w:sz w:val="32"/>
                <w:szCs w:val="32"/>
              </w:rPr>
              <w:t>  </w:t>
            </w:r>
            <w:hyperlink r:id="rId16" w:tooltip="JPMorgan Chase fundamentals" w:history="1">
              <w:r w:rsidRPr="001E13A1">
                <w:rPr>
                  <w:rStyle w:val="Hyperlink"/>
                  <w:rFonts w:ascii="Arial Rounded MT Bold" w:hAnsi="Arial Rounded MT Bold" w:cstheme="majorHAnsi"/>
                  <w:b/>
                  <w:bCs/>
                  <w:color w:val="auto"/>
                  <w:sz w:val="32"/>
                  <w:szCs w:val="32"/>
                </w:rPr>
                <w:t>0.81</w:t>
              </w:r>
            </w:hyperlink>
            <w:r w:rsidRPr="001E13A1">
              <w:rPr>
                <w:rFonts w:ascii="Arial Rounded MT Bold" w:hAnsi="Arial Rounded MT Bold" w:cstheme="majorHAnsi"/>
                <w:b/>
                <w:bCs/>
                <w:sz w:val="32"/>
                <w:szCs w:val="32"/>
              </w:rPr>
              <w:t> </w:t>
            </w:r>
            <w:r w:rsidRPr="001E13A1">
              <w:rPr>
                <w:rFonts w:ascii="Arial Rounded MT Bold" w:hAnsi="Arial Rounded MT Bold" w:cstheme="majorHAnsi"/>
                <w:b/>
                <w:bCs/>
                <w:color w:val="4472C4" w:themeColor="accent1"/>
                <w:sz w:val="32"/>
                <w:szCs w:val="32"/>
              </w:rPr>
              <w:t> </w:t>
            </w:r>
          </w:p>
        </w:tc>
      </w:tr>
    </w:tbl>
    <w:p w14:paraId="0813E9C6" w14:textId="77777777" w:rsidR="001E13A1" w:rsidRDefault="001E13A1" w:rsidP="001E13A1">
      <w:pPr>
        <w:tabs>
          <w:tab w:val="left" w:pos="1065"/>
          <w:tab w:val="center" w:pos="4513"/>
        </w:tabs>
        <w:jc w:val="center"/>
        <w:rPr>
          <w:rFonts w:ascii="Footlight MT Light" w:hAnsi="Footlight MT Light" w:cstheme="majorHAnsi"/>
          <w:color w:val="4472C4" w:themeColor="accent1"/>
          <w:sz w:val="28"/>
          <w:szCs w:val="28"/>
        </w:rPr>
      </w:pPr>
    </w:p>
    <w:p w14:paraId="52B9D651" w14:textId="251C7D23" w:rsid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Footlight MT Light" w:hAnsi="Footlight MT Light" w:cstheme="majorHAnsi"/>
          <w:sz w:val="28"/>
          <w:szCs w:val="28"/>
        </w:rPr>
        <w:t>JPMorgan standard deviation measures the daily dispersion of prices over your selected time horizon relative to its mean. A typical volatile entity has a high standard deviation, while the deviation of a stable instrument is usually low. As a downside, the standard deviation calculates all uncertainty as risk, even</w:t>
      </w:r>
      <w:r>
        <w:rPr>
          <w:rFonts w:ascii="Footlight MT Light" w:hAnsi="Footlight MT Light" w:cstheme="majorHAnsi"/>
          <w:sz w:val="28"/>
          <w:szCs w:val="28"/>
        </w:rPr>
        <w:t xml:space="preserve"> </w:t>
      </w:r>
      <w:r w:rsidRPr="001E13A1">
        <w:rPr>
          <w:rFonts w:ascii="Footlight MT Light" w:hAnsi="Footlight MT Light" w:cstheme="majorHAnsi"/>
          <w:sz w:val="28"/>
          <w:szCs w:val="28"/>
        </w:rPr>
        <w:t xml:space="preserve">when it is in your </w:t>
      </w:r>
      <w:proofErr w:type="spellStart"/>
      <w:r w:rsidRPr="001E13A1">
        <w:rPr>
          <w:rFonts w:ascii="Footlight MT Light" w:hAnsi="Footlight MT Light" w:cstheme="majorHAnsi"/>
          <w:sz w:val="28"/>
          <w:szCs w:val="28"/>
        </w:rPr>
        <w:t>favor</w:t>
      </w:r>
      <w:proofErr w:type="spellEnd"/>
      <w:r w:rsidRPr="001E13A1">
        <w:rPr>
          <w:rFonts w:ascii="Footlight MT Light" w:hAnsi="Footlight MT Light" w:cstheme="majorHAnsi"/>
          <w:sz w:val="28"/>
          <w:szCs w:val="28"/>
        </w:rPr>
        <w:t>, such as above-average returns</w:t>
      </w:r>
      <w:r w:rsidRPr="001E13A1">
        <w:rPr>
          <w:rFonts w:ascii="Arial Rounded MT Bold" w:hAnsi="Arial Rounded MT Bold" w:cstheme="majorHAnsi"/>
          <w:sz w:val="32"/>
          <w:szCs w:val="32"/>
        </w:rPr>
        <w:t>.</w:t>
      </w:r>
    </w:p>
    <w:p w14:paraId="424AEC05" w14:textId="77777777" w:rsidR="00924CC5" w:rsidRDefault="00924CC5" w:rsidP="001E13A1">
      <w:pPr>
        <w:tabs>
          <w:tab w:val="left" w:pos="1065"/>
          <w:tab w:val="center" w:pos="4513"/>
        </w:tabs>
        <w:jc w:val="center"/>
        <w:rPr>
          <w:rFonts w:ascii="Arial Rounded MT Bold" w:hAnsi="Arial Rounded MT Bold" w:cstheme="majorHAnsi"/>
          <w:sz w:val="32"/>
          <w:szCs w:val="32"/>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988"/>
        <w:gridCol w:w="160"/>
        <w:gridCol w:w="6"/>
        <w:gridCol w:w="160"/>
        <w:gridCol w:w="992"/>
      </w:tblGrid>
      <w:tr w:rsidR="00924CC5" w:rsidRPr="00924CC5" w14:paraId="58DB0FBA" w14:textId="77777777" w:rsidTr="00924CC5">
        <w:tc>
          <w:tcPr>
            <w:tcW w:w="0" w:type="auto"/>
            <w:shd w:val="clear" w:color="auto" w:fill="EBEBEB"/>
            <w:tcMar>
              <w:top w:w="0" w:type="dxa"/>
              <w:left w:w="0" w:type="dxa"/>
              <w:bottom w:w="0" w:type="dxa"/>
              <w:right w:w="0" w:type="dxa"/>
            </w:tcMar>
            <w:vAlign w:val="center"/>
            <w:hideMark/>
          </w:tcPr>
          <w:p w14:paraId="57EE0137" w14:textId="77777777" w:rsidR="00924CC5" w:rsidRPr="00924CC5" w:rsidRDefault="00924CC5" w:rsidP="00924CC5">
            <w:pPr>
              <w:tabs>
                <w:tab w:val="left" w:pos="1065"/>
                <w:tab w:val="center" w:pos="4513"/>
              </w:tabs>
              <w:jc w:val="center"/>
              <w:rPr>
                <w:rFonts w:ascii="Arial Rounded MT Bold" w:hAnsi="Arial Rounded MT Bold" w:cstheme="majorHAnsi"/>
                <w:b/>
                <w:bCs/>
                <w:sz w:val="32"/>
                <w:szCs w:val="32"/>
              </w:rPr>
            </w:pPr>
            <w:r w:rsidRPr="00924CC5">
              <w:rPr>
                <w:rFonts w:ascii="Arial Rounded MT Bold" w:hAnsi="Arial Rounded MT Bold" w:cstheme="majorHAnsi"/>
                <w:b/>
                <w:bCs/>
                <w:color w:val="0070C0"/>
                <w:sz w:val="32"/>
                <w:szCs w:val="32"/>
              </w:rPr>
              <w:t>Standard Deviation</w:t>
            </w:r>
          </w:p>
        </w:tc>
        <w:tc>
          <w:tcPr>
            <w:tcW w:w="0" w:type="auto"/>
            <w:shd w:val="clear" w:color="auto" w:fill="EBEBEB"/>
            <w:tcMar>
              <w:top w:w="0" w:type="dxa"/>
              <w:left w:w="0" w:type="dxa"/>
              <w:bottom w:w="0" w:type="dxa"/>
              <w:right w:w="0" w:type="dxa"/>
            </w:tcMar>
            <w:vAlign w:val="center"/>
            <w:hideMark/>
          </w:tcPr>
          <w:p w14:paraId="60B17558"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12EF8D0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p>
        </w:tc>
        <w:tc>
          <w:tcPr>
            <w:tcW w:w="0" w:type="auto"/>
            <w:shd w:val="clear" w:color="auto" w:fill="EBEBEB"/>
            <w:tcMar>
              <w:top w:w="0" w:type="dxa"/>
              <w:left w:w="0" w:type="dxa"/>
              <w:bottom w:w="0" w:type="dxa"/>
              <w:right w:w="0" w:type="dxa"/>
            </w:tcMar>
            <w:vAlign w:val="center"/>
            <w:hideMark/>
          </w:tcPr>
          <w:p w14:paraId="0B0334F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noWrap/>
            <w:tcMar>
              <w:top w:w="0" w:type="dxa"/>
              <w:left w:w="0" w:type="dxa"/>
              <w:bottom w:w="0" w:type="dxa"/>
              <w:right w:w="0" w:type="dxa"/>
            </w:tcMar>
            <w:vAlign w:val="center"/>
            <w:hideMark/>
          </w:tcPr>
          <w:p w14:paraId="1514C520" w14:textId="77777777" w:rsidR="00924CC5" w:rsidRPr="00924CC5" w:rsidRDefault="00924CC5" w:rsidP="00924CC5">
            <w:pPr>
              <w:tabs>
                <w:tab w:val="left" w:pos="1065"/>
                <w:tab w:val="center" w:pos="4513"/>
              </w:tabs>
              <w:jc w:val="center"/>
              <w:rPr>
                <w:rFonts w:ascii="Arial Rounded MT Bold" w:hAnsi="Arial Rounded MT Bold" w:cstheme="majorHAnsi"/>
                <w:b/>
                <w:bCs/>
                <w:sz w:val="32"/>
                <w:szCs w:val="32"/>
              </w:rPr>
            </w:pPr>
            <w:r w:rsidRPr="00924CC5">
              <w:rPr>
                <w:rFonts w:ascii="Arial Rounded MT Bold" w:hAnsi="Arial Rounded MT Bold" w:cstheme="majorHAnsi"/>
                <w:b/>
                <w:bCs/>
                <w:sz w:val="32"/>
                <w:szCs w:val="32"/>
              </w:rPr>
              <w:t>  0.84  </w:t>
            </w:r>
          </w:p>
        </w:tc>
      </w:tr>
    </w:tbl>
    <w:p w14:paraId="5541271E"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66F727C3" w14:textId="63086CC2" w:rsidR="00924CC5" w:rsidRDefault="00924CC5" w:rsidP="00924CC5">
      <w:pPr>
        <w:tabs>
          <w:tab w:val="left" w:pos="1065"/>
          <w:tab w:val="center" w:pos="4513"/>
        </w:tabs>
        <w:jc w:val="center"/>
        <w:rPr>
          <w:rFonts w:ascii="Footlight MT Light" w:hAnsi="Footlight MT Light" w:cstheme="majorHAnsi"/>
          <w:sz w:val="28"/>
          <w:szCs w:val="28"/>
        </w:rPr>
      </w:pPr>
      <w:r w:rsidRPr="00924CC5">
        <w:rPr>
          <w:rFonts w:ascii="Footlight MT Light" w:hAnsi="Footlight MT Light" w:cstheme="majorHAnsi"/>
          <w:sz w:val="28"/>
          <w:szCs w:val="28"/>
        </w:rPr>
        <w:t>It is essential to understand the difference between upside risk (as represented by JPMorgan Chase's</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standard deviation) and the downside risk, which can be measured by semi-deviation or</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 xml:space="preserve">downside deviation of JPMorgan Chase's daily returns or price. Since the actual investment returns on holding a position in </w:t>
      </w:r>
      <w:r w:rsidR="00A97BF9">
        <w:rPr>
          <w:rFonts w:ascii="Footlight MT Light" w:hAnsi="Footlight MT Light" w:cstheme="majorHAnsi"/>
          <w:sz w:val="28"/>
          <w:szCs w:val="28"/>
        </w:rPr>
        <w:t xml:space="preserve">JP </w:t>
      </w:r>
      <w:r w:rsidRPr="00924CC5">
        <w:rPr>
          <w:rFonts w:ascii="Footlight MT Light" w:hAnsi="Footlight MT Light" w:cstheme="majorHAnsi"/>
          <w:sz w:val="28"/>
          <w:szCs w:val="28"/>
        </w:rPr>
        <w:t>morgan</w:t>
      </w:r>
      <w:r w:rsidRPr="00924CC5">
        <w:rPr>
          <w:rFonts w:ascii="Arial Rounded MT Bold" w:hAnsi="Arial Rounded MT Bold" w:cstheme="majorHAnsi"/>
          <w:sz w:val="32"/>
          <w:szCs w:val="32"/>
        </w:rPr>
        <w:t xml:space="preserve"> </w:t>
      </w:r>
      <w:r w:rsidRPr="00924CC5">
        <w:rPr>
          <w:rFonts w:ascii="Footlight MT Light" w:hAnsi="Footlight MT Light" w:cstheme="majorHAnsi"/>
          <w:sz w:val="28"/>
          <w:szCs w:val="28"/>
        </w:rPr>
        <w:t>stock tend to have a non-normal distribution, there will be different probabilities for losses than for gains. The likelihood of losses is reflected in the downside risk of an investment in JPMorgan Chase.</w:t>
      </w:r>
    </w:p>
    <w:p w14:paraId="25C96339"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0923A5F4" w14:textId="245939F4" w:rsidR="00A66D91" w:rsidRDefault="00A66D91" w:rsidP="00886964">
      <w:pPr>
        <w:tabs>
          <w:tab w:val="left" w:pos="1065"/>
          <w:tab w:val="center" w:pos="4513"/>
        </w:tabs>
        <w:jc w:val="center"/>
        <w:rPr>
          <w:rFonts w:ascii="Arial Rounded MT Bold" w:hAnsi="Arial Rounded MT Bold" w:cstheme="majorHAnsi"/>
          <w:sz w:val="32"/>
          <w:szCs w:val="32"/>
        </w:rPr>
      </w:pPr>
    </w:p>
    <w:p w14:paraId="28B69244" w14:textId="7F1604D7" w:rsidR="00886964" w:rsidRDefault="00886964" w:rsidP="00886964">
      <w:pPr>
        <w:tabs>
          <w:tab w:val="left" w:pos="1065"/>
          <w:tab w:val="center" w:pos="4513"/>
        </w:tabs>
        <w:jc w:val="center"/>
        <w:rPr>
          <w:rFonts w:ascii="Arial Rounded MT Bold" w:hAnsi="Arial Rounded MT Bold" w:cstheme="majorHAnsi"/>
          <w:sz w:val="32"/>
          <w:szCs w:val="32"/>
        </w:rPr>
      </w:pPr>
      <w:r w:rsidRPr="00886964">
        <w:rPr>
          <w:rFonts w:ascii="Arial Rounded MT Bold" w:hAnsi="Arial Rounded MT Bold" w:cstheme="majorHAnsi"/>
          <w:noProof/>
          <w:sz w:val="32"/>
          <w:szCs w:val="32"/>
        </w:rPr>
        <w:drawing>
          <wp:inline distT="0" distB="0" distL="0" distR="0" wp14:anchorId="696F6EAA" wp14:editId="7E0D35DA">
            <wp:extent cx="5731510" cy="3641985"/>
            <wp:effectExtent l="0" t="0" r="2540" b="0"/>
            <wp:docPr id="193580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41985"/>
                    </a:xfrm>
                    <a:prstGeom prst="rect">
                      <a:avLst/>
                    </a:prstGeom>
                    <a:noFill/>
                    <a:ln>
                      <a:noFill/>
                    </a:ln>
                  </pic:spPr>
                </pic:pic>
              </a:graphicData>
            </a:graphic>
          </wp:inline>
        </w:drawing>
      </w:r>
    </w:p>
    <w:p w14:paraId="376AA508" w14:textId="7C5C9CBC" w:rsidR="00886964" w:rsidRPr="00886964" w:rsidRDefault="00886964" w:rsidP="00886964">
      <w:pPr>
        <w:tabs>
          <w:tab w:val="left" w:pos="1065"/>
          <w:tab w:val="center" w:pos="4513"/>
        </w:tabs>
        <w:jc w:val="center"/>
        <w:rPr>
          <w:rFonts w:ascii="Arial Rounded MT Bold" w:hAnsi="Arial Rounded MT Bold" w:cstheme="majorHAnsi"/>
          <w:sz w:val="32"/>
          <w:szCs w:val="32"/>
        </w:rPr>
      </w:pPr>
      <w:r>
        <w:rPr>
          <w:rFonts w:ascii="Arial Rounded MT Bold" w:hAnsi="Arial Rounded MT Bold" w:cstheme="majorHAnsi"/>
          <w:sz w:val="32"/>
          <w:szCs w:val="32"/>
        </w:rPr>
        <w:lastRenderedPageBreak/>
        <w:t>AVERAGE TRADE VOLUME:</w:t>
      </w:r>
    </w:p>
    <w:p w14:paraId="634A23AD" w14:textId="3A41B9B2" w:rsidR="00A66D91" w:rsidRDefault="002C5687" w:rsidP="00A66D91">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noProof/>
          <w:color w:val="4472C4" w:themeColor="accent1"/>
          <w:sz w:val="32"/>
          <w:szCs w:val="32"/>
          <w:lang w:val="en-US"/>
        </w:rPr>
        <w:drawing>
          <wp:inline distT="0" distB="0" distL="0" distR="0" wp14:anchorId="067DB79C" wp14:editId="5C6227D1">
            <wp:extent cx="5731510" cy="4093936"/>
            <wp:effectExtent l="0" t="0" r="2540" b="1905"/>
            <wp:docPr id="1104210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pic:spPr>
                </pic:pic>
              </a:graphicData>
            </a:graphic>
          </wp:inline>
        </w:drawing>
      </w:r>
    </w:p>
    <w:p w14:paraId="2945CCAD" w14:textId="2C3A2A7A" w:rsidR="002C5687" w:rsidRDefault="002C5687" w:rsidP="002C5687">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AVERAGE TRADE VOLUME OF JP MORGAN </w:t>
      </w:r>
      <w:r w:rsidRPr="002C5687">
        <w:rPr>
          <w:rFonts w:ascii="Arial Rounded MT Bold" w:hAnsi="Arial Rounded MT Bold" w:cstheme="majorHAnsi"/>
          <w:color w:val="4472C4" w:themeColor="accent1"/>
          <w:sz w:val="32"/>
          <w:szCs w:val="32"/>
          <w:lang w:val="en-US"/>
        </w:rPr>
        <w:t>since past year</w:t>
      </w:r>
    </w:p>
    <w:p w14:paraId="6781B263" w14:textId="77777777" w:rsidR="002E067A" w:rsidRDefault="002E067A" w:rsidP="002C5687">
      <w:pPr>
        <w:tabs>
          <w:tab w:val="left" w:pos="1065"/>
          <w:tab w:val="center" w:pos="4513"/>
        </w:tabs>
        <w:jc w:val="center"/>
        <w:rPr>
          <w:rFonts w:ascii="Arial Rounded MT Bold" w:hAnsi="Arial Rounded MT Bold" w:cstheme="majorHAnsi"/>
          <w:color w:val="4472C4" w:themeColor="accent1"/>
          <w:sz w:val="32"/>
          <w:szCs w:val="32"/>
          <w:lang w:val="en-US"/>
        </w:rPr>
      </w:pPr>
    </w:p>
    <w:p w14:paraId="65F9C868" w14:textId="20A93C6E" w:rsidR="002E067A" w:rsidRPr="002E067A" w:rsidRDefault="002E067A" w:rsidP="002E067A">
      <w:pPr>
        <w:tabs>
          <w:tab w:val="left" w:pos="1065"/>
          <w:tab w:val="center" w:pos="4513"/>
        </w:tabs>
        <w:jc w:val="center"/>
        <w:rPr>
          <w:rFonts w:ascii="Arial Rounded MT Bold" w:hAnsi="Arial Rounded MT Bold" w:cstheme="majorHAnsi"/>
          <w:color w:val="ED7D31" w:themeColor="accent2"/>
          <w:sz w:val="32"/>
          <w:szCs w:val="32"/>
          <w:lang w:val="en-US"/>
        </w:rPr>
      </w:pPr>
      <w:r w:rsidRPr="002E067A">
        <w:rPr>
          <w:rFonts w:ascii="Arial Rounded MT Bold" w:hAnsi="Arial Rounded MT Bold" w:cstheme="majorHAnsi"/>
          <w:color w:val="ED7D31" w:themeColor="accent2"/>
          <w:sz w:val="32"/>
          <w:szCs w:val="32"/>
          <w:lang w:val="en-US"/>
        </w:rPr>
        <w:t xml:space="preserve">STOCK COMPARISON AND </w:t>
      </w:r>
      <w:proofErr w:type="gramStart"/>
      <w:r w:rsidRPr="002E067A">
        <w:rPr>
          <w:rFonts w:ascii="Arial Rounded MT Bold" w:hAnsi="Arial Rounded MT Bold" w:cstheme="majorHAnsi"/>
          <w:color w:val="ED7D31" w:themeColor="accent2"/>
          <w:sz w:val="32"/>
          <w:szCs w:val="32"/>
          <w:lang w:val="en-US"/>
        </w:rPr>
        <w:t>ANALYSIS :</w:t>
      </w:r>
      <w:proofErr w:type="gramEnd"/>
    </w:p>
    <w:p w14:paraId="52C6AB6D" w14:textId="77777777" w:rsidR="002E067A" w:rsidRDefault="002E067A" w:rsidP="002E067A">
      <w:pPr>
        <w:tabs>
          <w:tab w:val="left" w:pos="1065"/>
          <w:tab w:val="center" w:pos="4513"/>
        </w:tabs>
        <w:rPr>
          <w:rFonts w:ascii="Arial Rounded MT Bold" w:hAnsi="Arial Rounded MT Bold" w:cstheme="majorHAnsi"/>
          <w:color w:val="4472C4" w:themeColor="accent1"/>
          <w:sz w:val="32"/>
          <w:szCs w:val="32"/>
          <w:lang w:val="en-US"/>
        </w:rPr>
      </w:pPr>
    </w:p>
    <w:p w14:paraId="3915CEB5" w14:textId="5596CDC9" w:rsidR="002E067A" w:rsidRPr="002E067A" w:rsidRDefault="002E067A" w:rsidP="002E067A">
      <w:pPr>
        <w:tabs>
          <w:tab w:val="left" w:pos="1065"/>
          <w:tab w:val="center" w:pos="4513"/>
        </w:tabs>
        <w:rPr>
          <w:rFonts w:ascii="Felix Titling" w:hAnsi="Felix Titling" w:cstheme="majorHAnsi"/>
          <w:color w:val="ED7D31" w:themeColor="accent2"/>
          <w:sz w:val="144"/>
          <w:szCs w:val="144"/>
          <w:lang w:val="en-US"/>
        </w:rPr>
      </w:pPr>
      <w:r>
        <w:rPr>
          <w:rFonts w:ascii="Arial Rounded MT Bold" w:hAnsi="Arial Rounded MT Bold" w:cstheme="majorHAnsi"/>
          <w:noProof/>
          <w:color w:val="4472C4" w:themeColor="accent1"/>
          <w:sz w:val="32"/>
          <w:szCs w:val="32"/>
          <w:lang w:val="en-US"/>
        </w:rPr>
        <w:drawing>
          <wp:inline distT="0" distB="0" distL="0" distR="0" wp14:anchorId="4733BC1F" wp14:editId="5EF6B2B6">
            <wp:extent cx="2466975" cy="1847850"/>
            <wp:effectExtent l="0" t="0" r="9525" b="0"/>
            <wp:docPr id="2136943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r>
        <w:rPr>
          <w:rFonts w:ascii="Arial Rounded MT Bold" w:hAnsi="Arial Rounded MT Bold" w:cstheme="majorHAnsi"/>
          <w:color w:val="4472C4" w:themeColor="accent1"/>
          <w:sz w:val="32"/>
          <w:szCs w:val="32"/>
          <w:lang w:val="en-US"/>
        </w:rPr>
        <w:t xml:space="preserve">    </w:t>
      </w:r>
      <w:r w:rsidRPr="002E067A">
        <w:rPr>
          <w:rFonts w:ascii="Felix Titling" w:hAnsi="Felix Titling" w:cstheme="majorHAnsi"/>
          <w:color w:val="ED7D31" w:themeColor="accent2"/>
          <w:sz w:val="144"/>
          <w:szCs w:val="144"/>
          <w:lang w:val="en-US"/>
        </w:rPr>
        <w:t>VS</w:t>
      </w:r>
      <w:r>
        <w:rPr>
          <w:noProof/>
        </w:rPr>
        <w:drawing>
          <wp:inline distT="0" distB="0" distL="0" distR="0" wp14:anchorId="023DA794" wp14:editId="241EDB6B">
            <wp:extent cx="1876425" cy="1876425"/>
            <wp:effectExtent l="0" t="0" r="9525" b="9525"/>
            <wp:docPr id="1607749021" name="Picture 13" descr="ET NOW - Here is the new logo for Nifty 50 index unveiled at the National  Stock Exchange headquarters today . . . #nse #national #stocks #exchange # logo #etnow #news #update #headqua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T NOW - Here is the new logo for Nifty 50 index unveiled at the National  Stock Exchange headquarters today . . . #nse #national #stocks #exchange # logo #etnow #news #update #headquar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4D0E13C6" w14:textId="77777777" w:rsidR="00A66D91" w:rsidRDefault="00A66D91" w:rsidP="00C91712">
      <w:pPr>
        <w:tabs>
          <w:tab w:val="left" w:pos="1065"/>
          <w:tab w:val="center" w:pos="4513"/>
        </w:tabs>
        <w:rPr>
          <w:rFonts w:ascii="Arial Rounded MT Bold" w:hAnsi="Arial Rounded MT Bold" w:cstheme="majorHAnsi"/>
          <w:color w:val="4472C4" w:themeColor="accent1"/>
          <w:sz w:val="32"/>
          <w:szCs w:val="32"/>
          <w:lang w:val="en-US"/>
        </w:rPr>
      </w:pPr>
    </w:p>
    <w:tbl>
      <w:tblPr>
        <w:tblpPr w:leftFromText="180" w:rightFromText="180" w:vertAnchor="text" w:horzAnchor="margin" w:tblpY="1021"/>
        <w:tblW w:w="9540" w:type="dxa"/>
        <w:tblCellSpacing w:w="15" w:type="dxa"/>
        <w:tblCellMar>
          <w:top w:w="15" w:type="dxa"/>
          <w:left w:w="15" w:type="dxa"/>
          <w:bottom w:w="15" w:type="dxa"/>
          <w:right w:w="15" w:type="dxa"/>
        </w:tblCellMar>
        <w:tblLook w:val="04A0" w:firstRow="1" w:lastRow="0" w:firstColumn="1" w:lastColumn="0" w:noHBand="0" w:noVBand="1"/>
      </w:tblPr>
      <w:tblGrid>
        <w:gridCol w:w="3690"/>
        <w:gridCol w:w="2790"/>
        <w:gridCol w:w="3060"/>
      </w:tblGrid>
      <w:tr w:rsidR="0039541C" w:rsidRPr="006221AF" w14:paraId="691BD4EF" w14:textId="77777777" w:rsidTr="0039541C">
        <w:trPr>
          <w:gridAfter w:val="2"/>
          <w:wAfter w:w="5805" w:type="dxa"/>
          <w:trHeight w:val="600"/>
          <w:tblCellSpacing w:w="15" w:type="dxa"/>
        </w:trPr>
        <w:tc>
          <w:tcPr>
            <w:tcW w:w="3645" w:type="dxa"/>
            <w:tcBorders>
              <w:top w:val="nil"/>
              <w:left w:val="nil"/>
              <w:right w:val="nil"/>
            </w:tcBorders>
            <w:tcMar>
              <w:top w:w="150" w:type="dxa"/>
              <w:left w:w="75" w:type="dxa"/>
              <w:bottom w:w="150" w:type="dxa"/>
              <w:right w:w="0" w:type="dxa"/>
            </w:tcMar>
            <w:vAlign w:val="center"/>
            <w:hideMark/>
          </w:tcPr>
          <w:p w14:paraId="2A1B01AB" w14:textId="77777777" w:rsidR="0039541C" w:rsidRPr="006221AF" w:rsidRDefault="0039541C" w:rsidP="0039541C">
            <w:pPr>
              <w:spacing w:after="0" w:line="240" w:lineRule="auto"/>
              <w:rPr>
                <w:rFonts w:ascii="Noto Sans" w:eastAsia="Times New Roman" w:hAnsi="Noto Sans" w:cs="Noto Sans"/>
                <w:b/>
                <w:bCs/>
                <w:color w:val="000000"/>
                <w:kern w:val="0"/>
                <w:sz w:val="21"/>
                <w:szCs w:val="21"/>
                <w:lang w:eastAsia="en-IN" w:bidi="hi-IN"/>
                <w14:ligatures w14:val="none"/>
              </w:rPr>
            </w:pPr>
            <w:r w:rsidRPr="006221AF">
              <w:rPr>
                <w:rFonts w:ascii="Noto Sans" w:eastAsia="Times New Roman" w:hAnsi="Noto Sans" w:cs="Noto Sans"/>
                <w:b/>
                <w:bCs/>
                <w:color w:val="000000"/>
                <w:kern w:val="0"/>
                <w:sz w:val="21"/>
                <w:szCs w:val="21"/>
                <w:lang w:eastAsia="en-IN" w:bidi="hi-IN"/>
                <w14:ligatures w14:val="none"/>
              </w:rPr>
              <w:lastRenderedPageBreak/>
              <w:t>Price Information</w:t>
            </w:r>
          </w:p>
        </w:tc>
      </w:tr>
      <w:tr w:rsidR="0039541C" w:rsidRPr="006221AF" w14:paraId="5A5AD063" w14:textId="77777777" w:rsidTr="0039541C">
        <w:trPr>
          <w:trHeight w:val="450"/>
          <w:tblCellSpacing w:w="15" w:type="dxa"/>
        </w:trPr>
        <w:tc>
          <w:tcPr>
            <w:tcW w:w="3645" w:type="dxa"/>
            <w:tcMar>
              <w:top w:w="60" w:type="dxa"/>
              <w:left w:w="120" w:type="dxa"/>
              <w:bottom w:w="60" w:type="dxa"/>
              <w:right w:w="120" w:type="dxa"/>
            </w:tcMar>
            <w:vAlign w:val="center"/>
            <w:hideMark/>
          </w:tcPr>
          <w:p w14:paraId="6BC4D087"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Exchange</w:t>
            </w:r>
          </w:p>
        </w:tc>
        <w:tc>
          <w:tcPr>
            <w:tcW w:w="2760" w:type="dxa"/>
            <w:tcMar>
              <w:top w:w="60" w:type="dxa"/>
              <w:left w:w="60" w:type="dxa"/>
              <w:bottom w:w="60" w:type="dxa"/>
              <w:right w:w="60" w:type="dxa"/>
            </w:tcMar>
            <w:vAlign w:val="center"/>
            <w:hideMark/>
          </w:tcPr>
          <w:p w14:paraId="7880C6F9"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NYSE</w:t>
            </w:r>
          </w:p>
        </w:tc>
        <w:tc>
          <w:tcPr>
            <w:tcW w:w="3015" w:type="dxa"/>
            <w:tcMar>
              <w:top w:w="60" w:type="dxa"/>
              <w:left w:w="60" w:type="dxa"/>
              <w:bottom w:w="60" w:type="dxa"/>
              <w:right w:w="60" w:type="dxa"/>
            </w:tcMar>
            <w:vAlign w:val="center"/>
            <w:hideMark/>
          </w:tcPr>
          <w:p w14:paraId="7F5E291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NASDAQ</w:t>
            </w:r>
          </w:p>
        </w:tc>
      </w:tr>
      <w:tr w:rsidR="0039541C" w:rsidRPr="006221AF" w14:paraId="145FF5FB" w14:textId="77777777" w:rsidTr="0039541C">
        <w:trPr>
          <w:trHeight w:val="450"/>
          <w:tblCellSpacing w:w="15" w:type="dxa"/>
        </w:trPr>
        <w:tc>
          <w:tcPr>
            <w:tcW w:w="3645" w:type="dxa"/>
            <w:tcMar>
              <w:top w:w="60" w:type="dxa"/>
              <w:left w:w="120" w:type="dxa"/>
              <w:bottom w:w="60" w:type="dxa"/>
              <w:right w:w="120" w:type="dxa"/>
            </w:tcMar>
            <w:vAlign w:val="center"/>
            <w:hideMark/>
          </w:tcPr>
          <w:p w14:paraId="68F943FF"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Open</w:t>
            </w:r>
          </w:p>
        </w:tc>
        <w:tc>
          <w:tcPr>
            <w:tcW w:w="2760" w:type="dxa"/>
            <w:tcMar>
              <w:top w:w="60" w:type="dxa"/>
              <w:left w:w="60" w:type="dxa"/>
              <w:bottom w:w="60" w:type="dxa"/>
              <w:right w:w="60" w:type="dxa"/>
            </w:tcMar>
            <w:vAlign w:val="center"/>
            <w:hideMark/>
          </w:tcPr>
          <w:p w14:paraId="3DB28C4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20.08</w:t>
            </w:r>
          </w:p>
        </w:tc>
        <w:tc>
          <w:tcPr>
            <w:tcW w:w="3015" w:type="dxa"/>
            <w:tcMar>
              <w:top w:w="60" w:type="dxa"/>
              <w:left w:w="60" w:type="dxa"/>
              <w:bottom w:w="60" w:type="dxa"/>
              <w:right w:w="60" w:type="dxa"/>
            </w:tcMar>
            <w:vAlign w:val="center"/>
            <w:hideMark/>
          </w:tcPr>
          <w:p w14:paraId="05BBE57F"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57.38</w:t>
            </w:r>
          </w:p>
        </w:tc>
      </w:tr>
      <w:tr w:rsidR="0039541C" w:rsidRPr="006221AF" w14:paraId="3180CF00" w14:textId="77777777" w:rsidTr="0039541C">
        <w:trPr>
          <w:trHeight w:val="450"/>
          <w:tblCellSpacing w:w="15" w:type="dxa"/>
        </w:trPr>
        <w:tc>
          <w:tcPr>
            <w:tcW w:w="3645" w:type="dxa"/>
            <w:tcMar>
              <w:top w:w="60" w:type="dxa"/>
              <w:left w:w="120" w:type="dxa"/>
              <w:bottom w:w="60" w:type="dxa"/>
              <w:right w:w="120" w:type="dxa"/>
            </w:tcMar>
            <w:vAlign w:val="center"/>
            <w:hideMark/>
          </w:tcPr>
          <w:p w14:paraId="406C648B"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2760" w:type="dxa"/>
            <w:tcMar>
              <w:top w:w="60" w:type="dxa"/>
              <w:left w:w="60" w:type="dxa"/>
              <w:bottom w:w="60" w:type="dxa"/>
              <w:right w:w="60" w:type="dxa"/>
            </w:tcMar>
            <w:vAlign w:val="center"/>
            <w:hideMark/>
          </w:tcPr>
          <w:p w14:paraId="1959F17B"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20.22</w:t>
            </w:r>
          </w:p>
        </w:tc>
        <w:tc>
          <w:tcPr>
            <w:tcW w:w="3015" w:type="dxa"/>
            <w:tcMar>
              <w:top w:w="60" w:type="dxa"/>
              <w:left w:w="60" w:type="dxa"/>
              <w:bottom w:w="60" w:type="dxa"/>
              <w:right w:w="60" w:type="dxa"/>
            </w:tcMar>
            <w:vAlign w:val="center"/>
            <w:hideMark/>
          </w:tcPr>
          <w:p w14:paraId="2A91AC0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w:t>
            </w:r>
          </w:p>
        </w:tc>
      </w:tr>
      <w:tr w:rsidR="0039541C" w:rsidRPr="006221AF" w14:paraId="58F43FE4" w14:textId="77777777" w:rsidTr="0039541C">
        <w:trPr>
          <w:trHeight w:val="450"/>
          <w:tblCellSpacing w:w="15" w:type="dxa"/>
        </w:trPr>
        <w:tc>
          <w:tcPr>
            <w:tcW w:w="3645" w:type="dxa"/>
            <w:tcMar>
              <w:top w:w="60" w:type="dxa"/>
              <w:left w:w="120" w:type="dxa"/>
              <w:bottom w:w="60" w:type="dxa"/>
              <w:right w:w="120" w:type="dxa"/>
            </w:tcMar>
            <w:vAlign w:val="center"/>
            <w:hideMark/>
          </w:tcPr>
          <w:p w14:paraId="3591F9A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2760" w:type="dxa"/>
            <w:tcMar>
              <w:top w:w="60" w:type="dxa"/>
              <w:left w:w="60" w:type="dxa"/>
              <w:bottom w:w="60" w:type="dxa"/>
              <w:right w:w="60" w:type="dxa"/>
            </w:tcMar>
            <w:vAlign w:val="center"/>
            <w:hideMark/>
          </w:tcPr>
          <w:p w14:paraId="3C2386E3"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19.86</w:t>
            </w:r>
          </w:p>
        </w:tc>
        <w:tc>
          <w:tcPr>
            <w:tcW w:w="3015" w:type="dxa"/>
            <w:tcMar>
              <w:top w:w="60" w:type="dxa"/>
              <w:left w:w="60" w:type="dxa"/>
              <w:bottom w:w="60" w:type="dxa"/>
              <w:right w:w="60" w:type="dxa"/>
            </w:tcMar>
            <w:vAlign w:val="center"/>
            <w:hideMark/>
          </w:tcPr>
          <w:p w14:paraId="39FA78AC"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57.00</w:t>
            </w:r>
          </w:p>
        </w:tc>
      </w:tr>
      <w:tr w:rsidR="0039541C" w:rsidRPr="006221AF" w14:paraId="1BB4A7BB" w14:textId="77777777" w:rsidTr="0039541C">
        <w:trPr>
          <w:trHeight w:val="450"/>
          <w:tblCellSpacing w:w="15" w:type="dxa"/>
        </w:trPr>
        <w:tc>
          <w:tcPr>
            <w:tcW w:w="3645" w:type="dxa"/>
            <w:tcMar>
              <w:top w:w="60" w:type="dxa"/>
              <w:left w:w="120" w:type="dxa"/>
              <w:bottom w:w="60" w:type="dxa"/>
              <w:right w:w="120" w:type="dxa"/>
            </w:tcMar>
            <w:vAlign w:val="center"/>
            <w:hideMark/>
          </w:tcPr>
          <w:p w14:paraId="2D43ECC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Last</w:t>
            </w:r>
          </w:p>
        </w:tc>
        <w:tc>
          <w:tcPr>
            <w:tcW w:w="2760" w:type="dxa"/>
            <w:tcMar>
              <w:top w:w="60" w:type="dxa"/>
              <w:left w:w="60" w:type="dxa"/>
              <w:bottom w:w="60" w:type="dxa"/>
              <w:right w:w="60" w:type="dxa"/>
            </w:tcMar>
            <w:vAlign w:val="center"/>
            <w:hideMark/>
          </w:tcPr>
          <w:p w14:paraId="21DED400"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20.13</w:t>
            </w:r>
          </w:p>
        </w:tc>
        <w:tc>
          <w:tcPr>
            <w:tcW w:w="3015" w:type="dxa"/>
            <w:tcMar>
              <w:top w:w="60" w:type="dxa"/>
              <w:left w:w="60" w:type="dxa"/>
              <w:bottom w:w="60" w:type="dxa"/>
              <w:right w:w="60" w:type="dxa"/>
            </w:tcMar>
            <w:vAlign w:val="center"/>
            <w:hideMark/>
          </w:tcPr>
          <w:p w14:paraId="7C77D1B3"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57.07</w:t>
            </w:r>
          </w:p>
        </w:tc>
      </w:tr>
      <w:tr w:rsidR="0039541C" w:rsidRPr="006221AF" w14:paraId="2DAFA1F2" w14:textId="77777777" w:rsidTr="0039541C">
        <w:trPr>
          <w:trHeight w:val="450"/>
          <w:tblCellSpacing w:w="15" w:type="dxa"/>
        </w:trPr>
        <w:tc>
          <w:tcPr>
            <w:tcW w:w="3645" w:type="dxa"/>
            <w:tcMar>
              <w:top w:w="60" w:type="dxa"/>
              <w:left w:w="120" w:type="dxa"/>
              <w:bottom w:w="60" w:type="dxa"/>
              <w:right w:w="120" w:type="dxa"/>
            </w:tcMar>
            <w:vAlign w:val="center"/>
            <w:hideMark/>
          </w:tcPr>
          <w:p w14:paraId="7C93736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Change</w:t>
            </w:r>
          </w:p>
        </w:tc>
        <w:tc>
          <w:tcPr>
            <w:tcW w:w="2760" w:type="dxa"/>
            <w:tcMar>
              <w:top w:w="60" w:type="dxa"/>
              <w:left w:w="60" w:type="dxa"/>
              <w:bottom w:w="60" w:type="dxa"/>
              <w:right w:w="60" w:type="dxa"/>
            </w:tcMar>
            <w:vAlign w:val="center"/>
            <w:hideMark/>
          </w:tcPr>
          <w:p w14:paraId="3FBEC7F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-0.03</w:t>
            </w:r>
          </w:p>
        </w:tc>
        <w:tc>
          <w:tcPr>
            <w:tcW w:w="3015" w:type="dxa"/>
            <w:tcMar>
              <w:top w:w="60" w:type="dxa"/>
              <w:left w:w="60" w:type="dxa"/>
              <w:bottom w:w="60" w:type="dxa"/>
              <w:right w:w="60" w:type="dxa"/>
            </w:tcMar>
            <w:vAlign w:val="center"/>
            <w:hideMark/>
          </w:tcPr>
          <w:p w14:paraId="1509A29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+0.11</w:t>
            </w:r>
          </w:p>
        </w:tc>
      </w:tr>
      <w:tr w:rsidR="0039541C" w:rsidRPr="006221AF" w14:paraId="488F6F87" w14:textId="77777777" w:rsidTr="0039541C">
        <w:trPr>
          <w:trHeight w:val="450"/>
          <w:tblCellSpacing w:w="15" w:type="dxa"/>
        </w:trPr>
        <w:tc>
          <w:tcPr>
            <w:tcW w:w="3645" w:type="dxa"/>
            <w:tcMar>
              <w:top w:w="60" w:type="dxa"/>
              <w:left w:w="120" w:type="dxa"/>
              <w:bottom w:w="60" w:type="dxa"/>
              <w:right w:w="120" w:type="dxa"/>
            </w:tcMar>
            <w:vAlign w:val="center"/>
            <w:hideMark/>
          </w:tcPr>
          <w:p w14:paraId="45E49D00"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 Change</w:t>
            </w:r>
          </w:p>
        </w:tc>
        <w:tc>
          <w:tcPr>
            <w:tcW w:w="2760" w:type="dxa"/>
            <w:tcMar>
              <w:top w:w="60" w:type="dxa"/>
              <w:left w:w="60" w:type="dxa"/>
              <w:bottom w:w="60" w:type="dxa"/>
              <w:right w:w="60" w:type="dxa"/>
            </w:tcMar>
            <w:vAlign w:val="center"/>
            <w:hideMark/>
          </w:tcPr>
          <w:p w14:paraId="6E67EBE7"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-0.15%</w:t>
            </w:r>
          </w:p>
        </w:tc>
        <w:tc>
          <w:tcPr>
            <w:tcW w:w="3015" w:type="dxa"/>
            <w:tcMar>
              <w:top w:w="60" w:type="dxa"/>
              <w:left w:w="60" w:type="dxa"/>
              <w:bottom w:w="60" w:type="dxa"/>
              <w:right w:w="60" w:type="dxa"/>
            </w:tcMar>
            <w:vAlign w:val="center"/>
            <w:hideMark/>
          </w:tcPr>
          <w:p w14:paraId="23D1F422"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+0.19%</w:t>
            </w:r>
          </w:p>
        </w:tc>
      </w:tr>
      <w:tr w:rsidR="0039541C" w:rsidRPr="006221AF" w14:paraId="3D69894D" w14:textId="77777777" w:rsidTr="0039541C">
        <w:trPr>
          <w:trHeight w:val="450"/>
          <w:tblCellSpacing w:w="15" w:type="dxa"/>
        </w:trPr>
        <w:tc>
          <w:tcPr>
            <w:tcW w:w="3645" w:type="dxa"/>
            <w:tcMar>
              <w:top w:w="60" w:type="dxa"/>
              <w:left w:w="120" w:type="dxa"/>
              <w:bottom w:w="60" w:type="dxa"/>
              <w:right w:w="120" w:type="dxa"/>
            </w:tcMar>
            <w:vAlign w:val="center"/>
            <w:hideMark/>
          </w:tcPr>
          <w:p w14:paraId="41B66A3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Volume</w:t>
            </w:r>
          </w:p>
        </w:tc>
        <w:tc>
          <w:tcPr>
            <w:tcW w:w="2760" w:type="dxa"/>
            <w:tcMar>
              <w:top w:w="60" w:type="dxa"/>
              <w:left w:w="60" w:type="dxa"/>
              <w:bottom w:w="60" w:type="dxa"/>
              <w:right w:w="60" w:type="dxa"/>
            </w:tcMar>
            <w:vAlign w:val="center"/>
            <w:hideMark/>
          </w:tcPr>
          <w:p w14:paraId="0E1536C5"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223,006</w:t>
            </w:r>
          </w:p>
        </w:tc>
        <w:tc>
          <w:tcPr>
            <w:tcW w:w="3015" w:type="dxa"/>
            <w:tcMar>
              <w:top w:w="60" w:type="dxa"/>
              <w:left w:w="60" w:type="dxa"/>
              <w:bottom w:w="60" w:type="dxa"/>
              <w:right w:w="60" w:type="dxa"/>
            </w:tcMar>
            <w:vAlign w:val="center"/>
            <w:hideMark/>
          </w:tcPr>
          <w:p w14:paraId="5EE2C9EE"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12,833</w:t>
            </w:r>
          </w:p>
        </w:tc>
      </w:tr>
      <w:tr w:rsidR="0039541C" w:rsidRPr="006221AF" w14:paraId="41DB6190" w14:textId="77777777" w:rsidTr="0039541C">
        <w:trPr>
          <w:trHeight w:val="450"/>
          <w:tblCellSpacing w:w="15" w:type="dxa"/>
        </w:trPr>
        <w:tc>
          <w:tcPr>
            <w:tcW w:w="3645" w:type="dxa"/>
            <w:tcMar>
              <w:top w:w="60" w:type="dxa"/>
              <w:left w:w="120" w:type="dxa"/>
              <w:bottom w:w="60" w:type="dxa"/>
              <w:right w:w="120" w:type="dxa"/>
            </w:tcMar>
            <w:vAlign w:val="center"/>
            <w:hideMark/>
          </w:tcPr>
          <w:p w14:paraId="14C520A6"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20-Day Average Volume</w:t>
            </w:r>
          </w:p>
        </w:tc>
        <w:tc>
          <w:tcPr>
            <w:tcW w:w="2760" w:type="dxa"/>
            <w:tcMar>
              <w:top w:w="60" w:type="dxa"/>
              <w:left w:w="60" w:type="dxa"/>
              <w:bottom w:w="60" w:type="dxa"/>
              <w:right w:w="60" w:type="dxa"/>
            </w:tcMar>
            <w:vAlign w:val="center"/>
            <w:hideMark/>
          </w:tcPr>
          <w:p w14:paraId="6982335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203,661</w:t>
            </w:r>
          </w:p>
        </w:tc>
        <w:tc>
          <w:tcPr>
            <w:tcW w:w="3015" w:type="dxa"/>
            <w:tcMar>
              <w:top w:w="60" w:type="dxa"/>
              <w:left w:w="60" w:type="dxa"/>
              <w:bottom w:w="60" w:type="dxa"/>
              <w:right w:w="60" w:type="dxa"/>
            </w:tcMar>
            <w:vAlign w:val="center"/>
            <w:hideMark/>
          </w:tcPr>
          <w:p w14:paraId="42F8121B"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29,997</w:t>
            </w:r>
          </w:p>
        </w:tc>
      </w:tr>
      <w:tr w:rsidR="0039541C" w:rsidRPr="006221AF" w14:paraId="280815DA" w14:textId="77777777" w:rsidTr="0039541C">
        <w:trPr>
          <w:trHeight w:val="450"/>
          <w:tblCellSpacing w:w="15" w:type="dxa"/>
        </w:trPr>
        <w:tc>
          <w:tcPr>
            <w:tcW w:w="3645" w:type="dxa"/>
            <w:tcMar>
              <w:top w:w="60" w:type="dxa"/>
              <w:left w:w="120" w:type="dxa"/>
              <w:bottom w:w="60" w:type="dxa"/>
              <w:right w:w="120" w:type="dxa"/>
            </w:tcMar>
            <w:vAlign w:val="center"/>
            <w:hideMark/>
          </w:tcPr>
          <w:p w14:paraId="183A9D4B"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Previous Close</w:t>
            </w:r>
          </w:p>
        </w:tc>
        <w:tc>
          <w:tcPr>
            <w:tcW w:w="2760" w:type="dxa"/>
            <w:tcMar>
              <w:top w:w="60" w:type="dxa"/>
              <w:left w:w="60" w:type="dxa"/>
              <w:bottom w:w="60" w:type="dxa"/>
              <w:right w:w="60" w:type="dxa"/>
            </w:tcMar>
            <w:vAlign w:val="center"/>
            <w:hideMark/>
          </w:tcPr>
          <w:p w14:paraId="1BB100C5"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20.16</w:t>
            </w:r>
          </w:p>
        </w:tc>
        <w:tc>
          <w:tcPr>
            <w:tcW w:w="3015" w:type="dxa"/>
            <w:tcMar>
              <w:top w:w="60" w:type="dxa"/>
              <w:left w:w="60" w:type="dxa"/>
              <w:bottom w:w="60" w:type="dxa"/>
              <w:right w:w="60" w:type="dxa"/>
            </w:tcMar>
            <w:vAlign w:val="center"/>
            <w:hideMark/>
          </w:tcPr>
          <w:p w14:paraId="707733B8"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56.96</w:t>
            </w:r>
          </w:p>
        </w:tc>
      </w:tr>
      <w:tr w:rsidR="0039541C" w:rsidRPr="006221AF" w14:paraId="09099A0A" w14:textId="77777777" w:rsidTr="0039541C">
        <w:trPr>
          <w:trHeight w:val="450"/>
          <w:tblCellSpacing w:w="15" w:type="dxa"/>
        </w:trPr>
        <w:tc>
          <w:tcPr>
            <w:tcW w:w="3645" w:type="dxa"/>
            <w:tcMar>
              <w:top w:w="60" w:type="dxa"/>
              <w:left w:w="120" w:type="dxa"/>
              <w:bottom w:w="60" w:type="dxa"/>
              <w:right w:w="120" w:type="dxa"/>
            </w:tcMar>
            <w:vAlign w:val="center"/>
            <w:hideMark/>
          </w:tcPr>
          <w:p w14:paraId="593B175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Industry</w:t>
            </w:r>
          </w:p>
        </w:tc>
        <w:tc>
          <w:tcPr>
            <w:tcW w:w="2760" w:type="dxa"/>
            <w:tcMar>
              <w:top w:w="60" w:type="dxa"/>
              <w:left w:w="60" w:type="dxa"/>
              <w:bottom w:w="60" w:type="dxa"/>
              <w:right w:w="60" w:type="dxa"/>
            </w:tcMar>
            <w:vAlign w:val="center"/>
            <w:hideMark/>
          </w:tcPr>
          <w:p w14:paraId="4AFB924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c>
          <w:tcPr>
            <w:tcW w:w="3015" w:type="dxa"/>
            <w:tcMar>
              <w:top w:w="60" w:type="dxa"/>
              <w:left w:w="60" w:type="dxa"/>
              <w:bottom w:w="60" w:type="dxa"/>
              <w:right w:w="60" w:type="dxa"/>
            </w:tcMar>
            <w:vAlign w:val="center"/>
            <w:hideMark/>
          </w:tcPr>
          <w:p w14:paraId="3027FC5F"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r>
      <w:tr w:rsidR="0039541C" w:rsidRPr="006221AF" w14:paraId="6A06AE37" w14:textId="77777777" w:rsidTr="0039541C">
        <w:trPr>
          <w:trHeight w:val="450"/>
          <w:tblCellSpacing w:w="15" w:type="dxa"/>
        </w:trPr>
        <w:tc>
          <w:tcPr>
            <w:tcW w:w="3645" w:type="dxa"/>
            <w:tcMar>
              <w:top w:w="60" w:type="dxa"/>
              <w:left w:w="120" w:type="dxa"/>
              <w:bottom w:w="60" w:type="dxa"/>
              <w:right w:w="120" w:type="dxa"/>
            </w:tcMar>
            <w:vAlign w:val="center"/>
            <w:hideMark/>
          </w:tcPr>
          <w:p w14:paraId="506716B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Has Options</w:t>
            </w:r>
          </w:p>
        </w:tc>
        <w:tc>
          <w:tcPr>
            <w:tcW w:w="2760" w:type="dxa"/>
            <w:tcMar>
              <w:top w:w="60" w:type="dxa"/>
              <w:left w:w="60" w:type="dxa"/>
              <w:bottom w:w="60" w:type="dxa"/>
              <w:right w:w="60" w:type="dxa"/>
            </w:tcMar>
            <w:vAlign w:val="center"/>
            <w:hideMark/>
          </w:tcPr>
          <w:p w14:paraId="1DDF8DAD"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No</w:t>
            </w:r>
          </w:p>
        </w:tc>
        <w:tc>
          <w:tcPr>
            <w:tcW w:w="3015" w:type="dxa"/>
            <w:tcMar>
              <w:top w:w="60" w:type="dxa"/>
              <w:left w:w="60" w:type="dxa"/>
              <w:bottom w:w="60" w:type="dxa"/>
              <w:right w:w="60" w:type="dxa"/>
            </w:tcMar>
            <w:vAlign w:val="center"/>
            <w:hideMark/>
          </w:tcPr>
          <w:p w14:paraId="244AF0D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Yes</w:t>
            </w:r>
          </w:p>
        </w:tc>
      </w:tr>
    </w:tbl>
    <w:p w14:paraId="150C17F6" w14:textId="34452C4F"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r w:rsidRPr="00C91712">
        <w:rPr>
          <w:rFonts w:ascii="Arial Rounded MT Bold" w:hAnsi="Arial Rounded MT Bold" w:cstheme="majorHAnsi"/>
          <w:color w:val="4472C4" w:themeColor="accent1"/>
          <w:sz w:val="32"/>
          <w:szCs w:val="32"/>
          <w:lang w:val="en-US"/>
        </w:rPr>
        <w:t>Price Information</w:t>
      </w:r>
    </w:p>
    <w:p w14:paraId="6774D910" w14:textId="77777777"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p>
    <w:p w14:paraId="146FB1E5" w14:textId="77777777" w:rsidR="0039541C" w:rsidRDefault="0039541C" w:rsidP="00C91712">
      <w:pPr>
        <w:tabs>
          <w:tab w:val="left" w:pos="1065"/>
          <w:tab w:val="center" w:pos="4513"/>
        </w:tabs>
        <w:rPr>
          <w:rFonts w:ascii="Arial Rounded MT Bold" w:hAnsi="Arial Rounded MT Bold" w:cstheme="majorHAnsi"/>
          <w:color w:val="4472C4" w:themeColor="accent1"/>
          <w:sz w:val="32"/>
          <w:szCs w:val="32"/>
          <w:lang w:val="en-US"/>
        </w:rPr>
      </w:pPr>
    </w:p>
    <w:p w14:paraId="7FF478E1" w14:textId="1D5657B6" w:rsidR="00993A92" w:rsidRDefault="006221AF" w:rsidP="00C91712">
      <w:pPr>
        <w:tabs>
          <w:tab w:val="left" w:pos="1065"/>
          <w:tab w:val="center" w:pos="4513"/>
        </w:tabs>
        <w:rPr>
          <w:rFonts w:ascii="Arial Rounded MT Bold" w:hAnsi="Arial Rounded MT Bold" w:cstheme="majorHAnsi"/>
          <w:color w:val="4472C4" w:themeColor="accent1"/>
          <w:sz w:val="32"/>
          <w:szCs w:val="32"/>
          <w:lang w:val="en-US"/>
        </w:rPr>
      </w:pPr>
      <w:proofErr w:type="gramStart"/>
      <w:r>
        <w:rPr>
          <w:rFonts w:ascii="Arial Rounded MT Bold" w:hAnsi="Arial Rounded MT Bold" w:cstheme="majorHAnsi"/>
          <w:color w:val="4472C4" w:themeColor="accent1"/>
          <w:sz w:val="32"/>
          <w:szCs w:val="32"/>
          <w:lang w:val="en-US"/>
        </w:rPr>
        <w:t xml:space="preserve">PERFORMANCE </w:t>
      </w:r>
      <w:r w:rsidR="00993A92">
        <w:rPr>
          <w:rFonts w:ascii="Arial Rounded MT Bold" w:hAnsi="Arial Rounded MT Bold" w:cstheme="majorHAnsi"/>
          <w:color w:val="4472C4" w:themeColor="accent1"/>
          <w:sz w:val="32"/>
          <w:szCs w:val="32"/>
          <w:lang w:val="en-US"/>
        </w:rPr>
        <w:t>:</w:t>
      </w:r>
      <w:proofErr w:type="gramEnd"/>
      <w:r w:rsidR="00993A92">
        <w:rPr>
          <w:rFonts w:ascii="Arial Rounded MT Bold" w:hAnsi="Arial Rounded MT Bold" w:cstheme="majorHAnsi"/>
          <w:color w:val="4472C4" w:themeColor="accent1"/>
          <w:sz w:val="32"/>
          <w:szCs w:val="32"/>
          <w:lang w:val="en-US"/>
        </w:rPr>
        <w:t xml:space="preserve"> </w:t>
      </w:r>
    </w:p>
    <w:p w14:paraId="41ADF5B6" w14:textId="6B6CEEB2"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5 days</w:t>
      </w:r>
    </w:p>
    <w:tbl>
      <w:tblPr>
        <w:tblpPr w:leftFromText="180" w:rightFromText="180" w:vertAnchor="page" w:horzAnchor="margin" w:tblpY="12226"/>
        <w:tblW w:w="7558" w:type="dxa"/>
        <w:tblCellSpacing w:w="15" w:type="dxa"/>
        <w:tblCellMar>
          <w:top w:w="15" w:type="dxa"/>
          <w:left w:w="15" w:type="dxa"/>
          <w:bottom w:w="15" w:type="dxa"/>
          <w:right w:w="15" w:type="dxa"/>
        </w:tblCellMar>
        <w:tblLook w:val="04A0" w:firstRow="1" w:lastRow="0" w:firstColumn="1" w:lastColumn="0" w:noHBand="0" w:noVBand="1"/>
      </w:tblPr>
      <w:tblGrid>
        <w:gridCol w:w="1209"/>
        <w:gridCol w:w="3609"/>
        <w:gridCol w:w="2740"/>
      </w:tblGrid>
      <w:tr w:rsidR="006221AF" w:rsidRPr="006221AF" w14:paraId="2A1C953D" w14:textId="77777777" w:rsidTr="006221AF">
        <w:trPr>
          <w:trHeight w:val="595"/>
          <w:tblCellSpacing w:w="15" w:type="dxa"/>
        </w:trPr>
        <w:tc>
          <w:tcPr>
            <w:tcW w:w="1164" w:type="dxa"/>
            <w:tcMar>
              <w:top w:w="60" w:type="dxa"/>
              <w:left w:w="120" w:type="dxa"/>
              <w:bottom w:w="60" w:type="dxa"/>
              <w:right w:w="120" w:type="dxa"/>
            </w:tcMar>
            <w:vAlign w:val="center"/>
            <w:hideMark/>
          </w:tcPr>
          <w:p w14:paraId="336E515D"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w:t>
            </w:r>
            <w:proofErr w:type="spellStart"/>
            <w:r w:rsidRPr="006221AF">
              <w:rPr>
                <w:rFonts w:ascii="Noto Sans" w:eastAsia="Times New Roman" w:hAnsi="Noto Sans" w:cs="Noto Sans"/>
                <w:color w:val="000000"/>
                <w:kern w:val="0"/>
                <w:sz w:val="21"/>
                <w:szCs w:val="21"/>
                <w:lang w:eastAsia="en-IN" w:bidi="hi-IN"/>
                <w14:ligatures w14:val="none"/>
              </w:rPr>
              <w:t>Chg</w:t>
            </w:r>
            <w:proofErr w:type="spellEnd"/>
          </w:p>
        </w:tc>
        <w:tc>
          <w:tcPr>
            <w:tcW w:w="3579" w:type="dxa"/>
            <w:tcMar>
              <w:top w:w="60" w:type="dxa"/>
              <w:left w:w="60" w:type="dxa"/>
              <w:bottom w:w="60" w:type="dxa"/>
              <w:right w:w="60" w:type="dxa"/>
            </w:tcMar>
            <w:vAlign w:val="center"/>
            <w:hideMark/>
          </w:tcPr>
          <w:p w14:paraId="2A341D73"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+0.25% since 03/22/24</w:t>
            </w:r>
          </w:p>
        </w:tc>
        <w:tc>
          <w:tcPr>
            <w:tcW w:w="2695" w:type="dxa"/>
            <w:tcMar>
              <w:top w:w="60" w:type="dxa"/>
              <w:left w:w="60" w:type="dxa"/>
              <w:bottom w:w="60" w:type="dxa"/>
              <w:right w:w="60" w:type="dxa"/>
            </w:tcMar>
            <w:vAlign w:val="center"/>
            <w:hideMark/>
          </w:tcPr>
          <w:p w14:paraId="2C5A9540"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+1.95% since 03/22/24</w:t>
            </w:r>
          </w:p>
        </w:tc>
      </w:tr>
      <w:tr w:rsidR="006221AF" w:rsidRPr="006221AF" w14:paraId="0D3229FA" w14:textId="77777777" w:rsidTr="006221AF">
        <w:trPr>
          <w:trHeight w:val="595"/>
          <w:tblCellSpacing w:w="15" w:type="dxa"/>
        </w:trPr>
        <w:tc>
          <w:tcPr>
            <w:tcW w:w="1164" w:type="dxa"/>
            <w:tcMar>
              <w:top w:w="60" w:type="dxa"/>
              <w:left w:w="120" w:type="dxa"/>
              <w:bottom w:w="60" w:type="dxa"/>
              <w:right w:w="120" w:type="dxa"/>
            </w:tcMar>
            <w:vAlign w:val="center"/>
            <w:hideMark/>
          </w:tcPr>
          <w:p w14:paraId="25960899"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3579" w:type="dxa"/>
            <w:tcMar>
              <w:top w:w="60" w:type="dxa"/>
              <w:left w:w="60" w:type="dxa"/>
              <w:bottom w:w="60" w:type="dxa"/>
              <w:right w:w="60" w:type="dxa"/>
            </w:tcMar>
            <w:vAlign w:val="center"/>
            <w:hideMark/>
          </w:tcPr>
          <w:p w14:paraId="07D49B5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19.76 on 03/26/24</w:t>
            </w:r>
          </w:p>
        </w:tc>
        <w:tc>
          <w:tcPr>
            <w:tcW w:w="2695" w:type="dxa"/>
            <w:tcMar>
              <w:top w:w="60" w:type="dxa"/>
              <w:left w:w="60" w:type="dxa"/>
              <w:bottom w:w="60" w:type="dxa"/>
              <w:right w:w="60" w:type="dxa"/>
            </w:tcMar>
            <w:vAlign w:val="center"/>
            <w:hideMark/>
          </w:tcPr>
          <w:p w14:paraId="02583692"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55.92 on 03/27/24</w:t>
            </w:r>
          </w:p>
        </w:tc>
      </w:tr>
      <w:tr w:rsidR="006221AF" w:rsidRPr="006221AF" w14:paraId="4829DBA5" w14:textId="77777777" w:rsidTr="006221AF">
        <w:trPr>
          <w:trHeight w:val="595"/>
          <w:tblCellSpacing w:w="15" w:type="dxa"/>
        </w:trPr>
        <w:tc>
          <w:tcPr>
            <w:tcW w:w="1164" w:type="dxa"/>
            <w:tcMar>
              <w:top w:w="60" w:type="dxa"/>
              <w:left w:w="120" w:type="dxa"/>
              <w:bottom w:w="60" w:type="dxa"/>
              <w:right w:w="120" w:type="dxa"/>
            </w:tcMar>
            <w:vAlign w:val="center"/>
            <w:hideMark/>
          </w:tcPr>
          <w:p w14:paraId="5881125F"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3579" w:type="dxa"/>
            <w:tcMar>
              <w:top w:w="60" w:type="dxa"/>
              <w:left w:w="60" w:type="dxa"/>
              <w:bottom w:w="60" w:type="dxa"/>
              <w:right w:w="60" w:type="dxa"/>
            </w:tcMar>
            <w:vAlign w:val="center"/>
            <w:hideMark/>
          </w:tcPr>
          <w:p w14:paraId="6AAA99F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20.23 on 03/28/24</w:t>
            </w:r>
          </w:p>
        </w:tc>
        <w:tc>
          <w:tcPr>
            <w:tcW w:w="2695" w:type="dxa"/>
            <w:tcMar>
              <w:top w:w="60" w:type="dxa"/>
              <w:left w:w="60" w:type="dxa"/>
              <w:bottom w:w="60" w:type="dxa"/>
              <w:right w:w="60" w:type="dxa"/>
            </w:tcMar>
            <w:vAlign w:val="center"/>
            <w:hideMark/>
          </w:tcPr>
          <w:p w14:paraId="2DE1BD59"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 on 04/01/24</w:t>
            </w:r>
          </w:p>
        </w:tc>
      </w:tr>
    </w:tbl>
    <w:p w14:paraId="3A5BEB94"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2C86C602"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71544380"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0EEE9732" w14:textId="77777777" w:rsidR="00A66D91" w:rsidRDefault="00A66D91"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7EED32CF"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171B12E0"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text" w:horzAnchor="margin" w:tblpY="421"/>
        <w:tblW w:w="7830" w:type="dxa"/>
        <w:tblCellSpacing w:w="15" w:type="dxa"/>
        <w:tblCellMar>
          <w:top w:w="15" w:type="dxa"/>
          <w:left w:w="15" w:type="dxa"/>
          <w:bottom w:w="15" w:type="dxa"/>
          <w:right w:w="15" w:type="dxa"/>
        </w:tblCellMar>
        <w:tblLook w:val="04A0" w:firstRow="1" w:lastRow="0" w:firstColumn="1" w:lastColumn="0" w:noHBand="0" w:noVBand="1"/>
      </w:tblPr>
      <w:tblGrid>
        <w:gridCol w:w="2160"/>
        <w:gridCol w:w="3330"/>
        <w:gridCol w:w="2340"/>
      </w:tblGrid>
      <w:tr w:rsidR="00993A92" w:rsidRPr="00993A92" w14:paraId="4ED437D0" w14:textId="77777777" w:rsidTr="00993A92">
        <w:trPr>
          <w:trHeight w:val="450"/>
          <w:tblCellSpacing w:w="15" w:type="dxa"/>
        </w:trPr>
        <w:tc>
          <w:tcPr>
            <w:tcW w:w="2115" w:type="dxa"/>
            <w:tcMar>
              <w:top w:w="60" w:type="dxa"/>
              <w:left w:w="120" w:type="dxa"/>
              <w:bottom w:w="60" w:type="dxa"/>
              <w:right w:w="120" w:type="dxa"/>
            </w:tcMar>
            <w:vAlign w:val="center"/>
            <w:hideMark/>
          </w:tcPr>
          <w:p w14:paraId="181F48C8"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300" w:type="dxa"/>
            <w:tcMar>
              <w:top w:w="60" w:type="dxa"/>
              <w:left w:w="60" w:type="dxa"/>
              <w:bottom w:w="60" w:type="dxa"/>
              <w:right w:w="60" w:type="dxa"/>
            </w:tcMar>
            <w:vAlign w:val="center"/>
            <w:hideMark/>
          </w:tcPr>
          <w:p w14:paraId="0337E90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+1.10% since 03/01/24</w:t>
            </w:r>
          </w:p>
        </w:tc>
        <w:tc>
          <w:tcPr>
            <w:tcW w:w="2295" w:type="dxa"/>
            <w:tcMar>
              <w:top w:w="60" w:type="dxa"/>
              <w:left w:w="60" w:type="dxa"/>
              <w:bottom w:w="60" w:type="dxa"/>
              <w:right w:w="60" w:type="dxa"/>
            </w:tcMar>
            <w:vAlign w:val="center"/>
            <w:hideMark/>
          </w:tcPr>
          <w:p w14:paraId="12F3E9F2"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-0.47% since 03/01/24</w:t>
            </w:r>
          </w:p>
        </w:tc>
      </w:tr>
      <w:tr w:rsidR="00993A92" w:rsidRPr="00993A92" w14:paraId="5A4CB2DB" w14:textId="77777777" w:rsidTr="00993A92">
        <w:trPr>
          <w:trHeight w:val="450"/>
          <w:tblCellSpacing w:w="15" w:type="dxa"/>
        </w:trPr>
        <w:tc>
          <w:tcPr>
            <w:tcW w:w="2115" w:type="dxa"/>
            <w:tcMar>
              <w:top w:w="60" w:type="dxa"/>
              <w:left w:w="120" w:type="dxa"/>
              <w:bottom w:w="60" w:type="dxa"/>
              <w:right w:w="120" w:type="dxa"/>
            </w:tcMar>
            <w:vAlign w:val="center"/>
            <w:hideMark/>
          </w:tcPr>
          <w:p w14:paraId="3E6DF8E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300" w:type="dxa"/>
            <w:tcMar>
              <w:top w:w="60" w:type="dxa"/>
              <w:left w:w="60" w:type="dxa"/>
              <w:bottom w:w="60" w:type="dxa"/>
              <w:right w:w="60" w:type="dxa"/>
            </w:tcMar>
            <w:vAlign w:val="center"/>
            <w:hideMark/>
          </w:tcPr>
          <w:p w14:paraId="1BF2CE0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19.76 on 03/26/24</w:t>
            </w:r>
          </w:p>
        </w:tc>
        <w:tc>
          <w:tcPr>
            <w:tcW w:w="2295" w:type="dxa"/>
            <w:tcMar>
              <w:top w:w="60" w:type="dxa"/>
              <w:left w:w="60" w:type="dxa"/>
              <w:bottom w:w="60" w:type="dxa"/>
              <w:right w:w="60" w:type="dxa"/>
            </w:tcMar>
            <w:vAlign w:val="center"/>
            <w:hideMark/>
          </w:tcPr>
          <w:p w14:paraId="4CD68BA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55.34 on 03/19/24</w:t>
            </w:r>
          </w:p>
        </w:tc>
      </w:tr>
      <w:tr w:rsidR="00993A92" w:rsidRPr="00993A92" w14:paraId="5C4A3B4A" w14:textId="77777777" w:rsidTr="00993A92">
        <w:trPr>
          <w:trHeight w:val="240"/>
          <w:tblCellSpacing w:w="15" w:type="dxa"/>
        </w:trPr>
        <w:tc>
          <w:tcPr>
            <w:tcW w:w="2115" w:type="dxa"/>
            <w:tcMar>
              <w:top w:w="60" w:type="dxa"/>
              <w:left w:w="120" w:type="dxa"/>
              <w:bottom w:w="60" w:type="dxa"/>
              <w:right w:w="120" w:type="dxa"/>
            </w:tcMar>
            <w:vAlign w:val="center"/>
            <w:hideMark/>
          </w:tcPr>
          <w:p w14:paraId="4B76728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300" w:type="dxa"/>
            <w:tcMar>
              <w:top w:w="60" w:type="dxa"/>
              <w:left w:w="60" w:type="dxa"/>
              <w:bottom w:w="60" w:type="dxa"/>
              <w:right w:w="60" w:type="dxa"/>
            </w:tcMar>
            <w:vAlign w:val="center"/>
            <w:hideMark/>
          </w:tcPr>
          <w:p w14:paraId="1A15296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295" w:type="dxa"/>
            <w:tcMar>
              <w:top w:w="60" w:type="dxa"/>
              <w:left w:w="60" w:type="dxa"/>
              <w:bottom w:w="60" w:type="dxa"/>
              <w:right w:w="60" w:type="dxa"/>
            </w:tcMar>
            <w:vAlign w:val="center"/>
            <w:hideMark/>
          </w:tcPr>
          <w:p w14:paraId="38E2CF6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82F0C66" w14:textId="1A1FD024" w:rsidR="006221AF" w:rsidRDefault="00993A92" w:rsidP="00993A92">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1 Month </w:t>
      </w:r>
    </w:p>
    <w:p w14:paraId="24BBD304" w14:textId="77777777" w:rsidR="00993A92" w:rsidRPr="005E6294" w:rsidRDefault="00993A92"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page" w:horzAnchor="margin" w:tblpY="5011"/>
        <w:tblW w:w="8010" w:type="dxa"/>
        <w:tblCellSpacing w:w="15" w:type="dxa"/>
        <w:tblCellMar>
          <w:top w:w="15" w:type="dxa"/>
          <w:left w:w="15" w:type="dxa"/>
          <w:bottom w:w="15" w:type="dxa"/>
          <w:right w:w="15" w:type="dxa"/>
        </w:tblCellMar>
        <w:tblLook w:val="04A0" w:firstRow="1" w:lastRow="0" w:firstColumn="1" w:lastColumn="0" w:noHBand="0" w:noVBand="1"/>
      </w:tblPr>
      <w:tblGrid>
        <w:gridCol w:w="2250"/>
        <w:gridCol w:w="3150"/>
        <w:gridCol w:w="2610"/>
      </w:tblGrid>
      <w:tr w:rsidR="00993A92" w:rsidRPr="00993A92" w14:paraId="39C0603F" w14:textId="77777777" w:rsidTr="00993A92">
        <w:trPr>
          <w:trHeight w:val="450"/>
          <w:tblCellSpacing w:w="15" w:type="dxa"/>
        </w:trPr>
        <w:tc>
          <w:tcPr>
            <w:tcW w:w="2205" w:type="dxa"/>
            <w:tcMar>
              <w:top w:w="60" w:type="dxa"/>
              <w:left w:w="120" w:type="dxa"/>
              <w:bottom w:w="60" w:type="dxa"/>
              <w:right w:w="120" w:type="dxa"/>
            </w:tcMar>
            <w:vAlign w:val="center"/>
            <w:hideMark/>
          </w:tcPr>
          <w:p w14:paraId="44E4ACD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120" w:type="dxa"/>
            <w:tcMar>
              <w:top w:w="60" w:type="dxa"/>
              <w:left w:w="60" w:type="dxa"/>
              <w:bottom w:w="60" w:type="dxa"/>
              <w:right w:w="60" w:type="dxa"/>
            </w:tcMar>
            <w:vAlign w:val="center"/>
            <w:hideMark/>
          </w:tcPr>
          <w:p w14:paraId="13C8AD4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+6.21% since 12/29/23</w:t>
            </w:r>
          </w:p>
        </w:tc>
        <w:tc>
          <w:tcPr>
            <w:tcW w:w="2565" w:type="dxa"/>
            <w:tcMar>
              <w:top w:w="60" w:type="dxa"/>
              <w:left w:w="60" w:type="dxa"/>
              <w:bottom w:w="60" w:type="dxa"/>
              <w:right w:w="60" w:type="dxa"/>
            </w:tcMar>
            <w:vAlign w:val="center"/>
            <w:hideMark/>
          </w:tcPr>
          <w:p w14:paraId="14ACFEA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+5.57% since 12/29/23</w:t>
            </w:r>
          </w:p>
        </w:tc>
      </w:tr>
      <w:tr w:rsidR="00993A92" w:rsidRPr="00993A92" w14:paraId="167DE815" w14:textId="77777777" w:rsidTr="00993A92">
        <w:trPr>
          <w:trHeight w:val="450"/>
          <w:tblCellSpacing w:w="15" w:type="dxa"/>
        </w:trPr>
        <w:tc>
          <w:tcPr>
            <w:tcW w:w="2205" w:type="dxa"/>
            <w:tcMar>
              <w:top w:w="60" w:type="dxa"/>
              <w:left w:w="120" w:type="dxa"/>
              <w:bottom w:w="60" w:type="dxa"/>
              <w:right w:w="120" w:type="dxa"/>
            </w:tcMar>
            <w:vAlign w:val="center"/>
            <w:hideMark/>
          </w:tcPr>
          <w:p w14:paraId="2439153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120" w:type="dxa"/>
            <w:tcMar>
              <w:top w:w="60" w:type="dxa"/>
              <w:left w:w="60" w:type="dxa"/>
              <w:bottom w:w="60" w:type="dxa"/>
              <w:right w:w="60" w:type="dxa"/>
            </w:tcMar>
            <w:vAlign w:val="center"/>
            <w:hideMark/>
          </w:tcPr>
          <w:p w14:paraId="3CEFF85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18.80 on 01/03/24</w:t>
            </w:r>
          </w:p>
        </w:tc>
        <w:tc>
          <w:tcPr>
            <w:tcW w:w="2565" w:type="dxa"/>
            <w:tcMar>
              <w:top w:w="60" w:type="dxa"/>
              <w:left w:w="60" w:type="dxa"/>
              <w:bottom w:w="60" w:type="dxa"/>
              <w:right w:w="60" w:type="dxa"/>
            </w:tcMar>
            <w:vAlign w:val="center"/>
            <w:hideMark/>
          </w:tcPr>
          <w:p w14:paraId="5D17B44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53.37 on 01/23/24</w:t>
            </w:r>
          </w:p>
        </w:tc>
      </w:tr>
      <w:tr w:rsidR="00993A92" w:rsidRPr="00993A92" w14:paraId="270F0E03" w14:textId="77777777" w:rsidTr="00993A92">
        <w:trPr>
          <w:trHeight w:val="450"/>
          <w:tblCellSpacing w:w="15" w:type="dxa"/>
        </w:trPr>
        <w:tc>
          <w:tcPr>
            <w:tcW w:w="2205" w:type="dxa"/>
            <w:tcMar>
              <w:top w:w="60" w:type="dxa"/>
              <w:left w:w="120" w:type="dxa"/>
              <w:bottom w:w="60" w:type="dxa"/>
              <w:right w:w="120" w:type="dxa"/>
            </w:tcMar>
            <w:vAlign w:val="center"/>
            <w:hideMark/>
          </w:tcPr>
          <w:p w14:paraId="773D37E1"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120" w:type="dxa"/>
            <w:tcMar>
              <w:top w:w="60" w:type="dxa"/>
              <w:left w:w="60" w:type="dxa"/>
              <w:bottom w:w="60" w:type="dxa"/>
              <w:right w:w="60" w:type="dxa"/>
            </w:tcMar>
            <w:vAlign w:val="center"/>
            <w:hideMark/>
          </w:tcPr>
          <w:p w14:paraId="0295B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565" w:type="dxa"/>
            <w:tcMar>
              <w:top w:w="60" w:type="dxa"/>
              <w:left w:w="60" w:type="dxa"/>
              <w:bottom w:w="60" w:type="dxa"/>
              <w:right w:w="60" w:type="dxa"/>
            </w:tcMar>
            <w:vAlign w:val="center"/>
            <w:hideMark/>
          </w:tcPr>
          <w:p w14:paraId="440738F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B500CD5" w14:textId="77777777" w:rsidR="00226623" w:rsidRP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498298AA" w14:textId="77777777" w:rsidR="00FF6D65" w:rsidRDefault="00FF6D65" w:rsidP="006221AF">
      <w:pPr>
        <w:tabs>
          <w:tab w:val="left" w:pos="1065"/>
          <w:tab w:val="center" w:pos="4513"/>
        </w:tabs>
        <w:rPr>
          <w:rFonts w:ascii="Arial Rounded MT Bold" w:hAnsi="Arial Rounded MT Bold" w:cstheme="majorHAnsi"/>
          <w:color w:val="4472C4" w:themeColor="accent1"/>
          <w:sz w:val="32"/>
          <w:szCs w:val="32"/>
          <w:lang w:val="en-US"/>
        </w:rPr>
      </w:pPr>
    </w:p>
    <w:p w14:paraId="416F3617"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F4C5F4A" w14:textId="2CF8BA1F"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3 </w:t>
      </w:r>
      <w:proofErr w:type="gramStart"/>
      <w:r>
        <w:rPr>
          <w:rFonts w:ascii="Arial Rounded MT Bold" w:hAnsi="Arial Rounded MT Bold" w:cstheme="majorHAnsi"/>
          <w:color w:val="4472C4" w:themeColor="accent1"/>
          <w:sz w:val="32"/>
          <w:szCs w:val="32"/>
          <w:lang w:val="en-US"/>
        </w:rPr>
        <w:t>MONTH</w:t>
      </w:r>
      <w:proofErr w:type="gramEnd"/>
    </w:p>
    <w:p w14:paraId="51C0497D"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E9D12BB"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8757A33"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6BD859A5"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5D0D262C"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74DE96BE" w14:textId="1F53F6BF"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 xml:space="preserve">6 </w:t>
      </w:r>
      <w:proofErr w:type="gramStart"/>
      <w:r>
        <w:rPr>
          <w:rFonts w:ascii="Arial Rounded MT Bold" w:hAnsi="Arial Rounded MT Bold" w:cstheme="majorHAnsi"/>
          <w:color w:val="4472C4" w:themeColor="accent1"/>
          <w:sz w:val="32"/>
          <w:szCs w:val="32"/>
          <w:lang w:val="en-US"/>
        </w:rPr>
        <w:t>MONTH</w:t>
      </w:r>
      <w:proofErr w:type="gramEnd"/>
      <w:r>
        <w:rPr>
          <w:rFonts w:ascii="Arial Rounded MT Bold" w:hAnsi="Arial Rounded MT Bold" w:cstheme="majorHAnsi"/>
          <w:color w:val="4472C4" w:themeColor="accent1"/>
          <w:sz w:val="32"/>
          <w:szCs w:val="32"/>
          <w:lang w:val="en-US"/>
        </w:rPr>
        <w:t xml:space="preserve"> </w:t>
      </w:r>
    </w:p>
    <w:tbl>
      <w:tblPr>
        <w:tblpPr w:leftFromText="180" w:rightFromText="180" w:vertAnchor="text" w:horzAnchor="margin" w:tblpXSpec="center" w:tblpY="-18"/>
        <w:tblW w:w="9180" w:type="dxa"/>
        <w:tblCellSpacing w:w="15" w:type="dxa"/>
        <w:tblCellMar>
          <w:top w:w="15" w:type="dxa"/>
          <w:left w:w="15" w:type="dxa"/>
          <w:bottom w:w="15" w:type="dxa"/>
          <w:right w:w="15" w:type="dxa"/>
        </w:tblCellMar>
        <w:tblLook w:val="04A0" w:firstRow="1" w:lastRow="0" w:firstColumn="1" w:lastColumn="0" w:noHBand="0" w:noVBand="1"/>
      </w:tblPr>
      <w:tblGrid>
        <w:gridCol w:w="2250"/>
        <w:gridCol w:w="3690"/>
        <w:gridCol w:w="3240"/>
      </w:tblGrid>
      <w:tr w:rsidR="00993A92" w:rsidRPr="00993A92" w14:paraId="4C5C2637" w14:textId="77777777" w:rsidTr="00993A92">
        <w:trPr>
          <w:trHeight w:val="450"/>
          <w:tblCellSpacing w:w="15" w:type="dxa"/>
        </w:trPr>
        <w:tc>
          <w:tcPr>
            <w:tcW w:w="2205" w:type="dxa"/>
            <w:tcMar>
              <w:top w:w="60" w:type="dxa"/>
              <w:left w:w="120" w:type="dxa"/>
              <w:bottom w:w="60" w:type="dxa"/>
              <w:right w:w="120" w:type="dxa"/>
            </w:tcMar>
            <w:vAlign w:val="center"/>
            <w:hideMark/>
          </w:tcPr>
          <w:p w14:paraId="1504446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660" w:type="dxa"/>
            <w:tcMar>
              <w:top w:w="60" w:type="dxa"/>
              <w:left w:w="60" w:type="dxa"/>
              <w:bottom w:w="60" w:type="dxa"/>
              <w:right w:w="60" w:type="dxa"/>
            </w:tcMar>
            <w:vAlign w:val="center"/>
            <w:hideMark/>
          </w:tcPr>
          <w:p w14:paraId="5FC0727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+11.55% since 09/29/23</w:t>
            </w:r>
          </w:p>
        </w:tc>
        <w:tc>
          <w:tcPr>
            <w:tcW w:w="3195" w:type="dxa"/>
            <w:tcMar>
              <w:top w:w="60" w:type="dxa"/>
              <w:left w:w="60" w:type="dxa"/>
              <w:bottom w:w="60" w:type="dxa"/>
              <w:right w:w="60" w:type="dxa"/>
            </w:tcMar>
            <w:vAlign w:val="center"/>
            <w:hideMark/>
          </w:tcPr>
          <w:p w14:paraId="74F50E28"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+17.33% since 09/29/23</w:t>
            </w:r>
          </w:p>
        </w:tc>
      </w:tr>
      <w:tr w:rsidR="00993A92" w:rsidRPr="00993A92" w14:paraId="72FD6CF5" w14:textId="77777777" w:rsidTr="00993A92">
        <w:trPr>
          <w:trHeight w:val="450"/>
          <w:tblCellSpacing w:w="15" w:type="dxa"/>
        </w:trPr>
        <w:tc>
          <w:tcPr>
            <w:tcW w:w="2205" w:type="dxa"/>
            <w:tcMar>
              <w:top w:w="60" w:type="dxa"/>
              <w:left w:w="120" w:type="dxa"/>
              <w:bottom w:w="60" w:type="dxa"/>
              <w:right w:w="120" w:type="dxa"/>
            </w:tcMar>
            <w:vAlign w:val="center"/>
            <w:hideMark/>
          </w:tcPr>
          <w:p w14:paraId="0632DFA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660" w:type="dxa"/>
            <w:tcMar>
              <w:top w:w="60" w:type="dxa"/>
              <w:left w:w="60" w:type="dxa"/>
              <w:bottom w:w="60" w:type="dxa"/>
              <w:right w:w="60" w:type="dxa"/>
            </w:tcMar>
            <w:vAlign w:val="center"/>
            <w:hideMark/>
          </w:tcPr>
          <w:p w14:paraId="68BBC59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16.96 on 10/31/23</w:t>
            </w:r>
          </w:p>
        </w:tc>
        <w:tc>
          <w:tcPr>
            <w:tcW w:w="3195" w:type="dxa"/>
            <w:tcMar>
              <w:top w:w="60" w:type="dxa"/>
              <w:left w:w="60" w:type="dxa"/>
              <w:bottom w:w="60" w:type="dxa"/>
              <w:right w:w="60" w:type="dxa"/>
            </w:tcMar>
            <w:vAlign w:val="center"/>
            <w:hideMark/>
          </w:tcPr>
          <w:p w14:paraId="06971DB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46.60 on 10/26/23</w:t>
            </w:r>
          </w:p>
        </w:tc>
      </w:tr>
      <w:tr w:rsidR="00993A92" w:rsidRPr="00993A92" w14:paraId="707C7628" w14:textId="77777777" w:rsidTr="00993A92">
        <w:trPr>
          <w:trHeight w:val="450"/>
          <w:tblCellSpacing w:w="15" w:type="dxa"/>
        </w:trPr>
        <w:tc>
          <w:tcPr>
            <w:tcW w:w="2205" w:type="dxa"/>
            <w:tcMar>
              <w:top w:w="60" w:type="dxa"/>
              <w:left w:w="120" w:type="dxa"/>
              <w:bottom w:w="60" w:type="dxa"/>
              <w:right w:w="120" w:type="dxa"/>
            </w:tcMar>
            <w:vAlign w:val="center"/>
            <w:hideMark/>
          </w:tcPr>
          <w:p w14:paraId="7F49DBD3"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660" w:type="dxa"/>
            <w:tcMar>
              <w:top w:w="60" w:type="dxa"/>
              <w:left w:w="60" w:type="dxa"/>
              <w:bottom w:w="60" w:type="dxa"/>
              <w:right w:w="60" w:type="dxa"/>
            </w:tcMar>
            <w:vAlign w:val="center"/>
            <w:hideMark/>
          </w:tcPr>
          <w:p w14:paraId="4F83325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3195" w:type="dxa"/>
            <w:tcMar>
              <w:top w:w="60" w:type="dxa"/>
              <w:left w:w="60" w:type="dxa"/>
              <w:bottom w:w="60" w:type="dxa"/>
              <w:right w:w="60" w:type="dxa"/>
            </w:tcMar>
            <w:vAlign w:val="center"/>
            <w:hideMark/>
          </w:tcPr>
          <w:p w14:paraId="772F748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tbl>
      <w:tblPr>
        <w:tblpPr w:leftFromText="180" w:rightFromText="180" w:vertAnchor="text" w:horzAnchor="margin" w:tblpXSpec="center" w:tblpY="2631"/>
        <w:tblW w:w="10980" w:type="dxa"/>
        <w:tblCellSpacing w:w="15" w:type="dxa"/>
        <w:tblCellMar>
          <w:top w:w="15" w:type="dxa"/>
          <w:left w:w="15" w:type="dxa"/>
          <w:bottom w:w="15" w:type="dxa"/>
          <w:right w:w="15" w:type="dxa"/>
        </w:tblCellMar>
        <w:tblLook w:val="04A0" w:firstRow="1" w:lastRow="0" w:firstColumn="1" w:lastColumn="0" w:noHBand="0" w:noVBand="1"/>
      </w:tblPr>
      <w:tblGrid>
        <w:gridCol w:w="1547"/>
        <w:gridCol w:w="2953"/>
        <w:gridCol w:w="3150"/>
        <w:gridCol w:w="3330"/>
      </w:tblGrid>
      <w:tr w:rsidR="00993A92" w:rsidRPr="00993A92" w14:paraId="5CC129A3" w14:textId="77777777" w:rsidTr="00993A92">
        <w:trPr>
          <w:gridAfter w:val="3"/>
          <w:wAfter w:w="9388" w:type="dxa"/>
          <w:trHeight w:val="600"/>
          <w:tblCellSpacing w:w="15" w:type="dxa"/>
        </w:trPr>
        <w:tc>
          <w:tcPr>
            <w:tcW w:w="1502" w:type="dxa"/>
            <w:tcBorders>
              <w:top w:val="nil"/>
              <w:left w:val="nil"/>
              <w:right w:val="nil"/>
            </w:tcBorders>
            <w:tcMar>
              <w:top w:w="150" w:type="dxa"/>
              <w:left w:w="75" w:type="dxa"/>
              <w:bottom w:w="150" w:type="dxa"/>
              <w:right w:w="0" w:type="dxa"/>
            </w:tcMar>
            <w:vAlign w:val="center"/>
            <w:hideMark/>
          </w:tcPr>
          <w:p w14:paraId="186E5BB7" w14:textId="77777777" w:rsidR="00993A92" w:rsidRPr="00993A92" w:rsidRDefault="00993A92" w:rsidP="00993A92">
            <w:pPr>
              <w:spacing w:after="0" w:line="240" w:lineRule="auto"/>
              <w:rPr>
                <w:rFonts w:ascii="Noto Sans" w:eastAsia="Times New Roman" w:hAnsi="Noto Sans" w:cs="Noto Sans"/>
                <w:b/>
                <w:bCs/>
                <w:color w:val="000000"/>
                <w:kern w:val="0"/>
                <w:sz w:val="21"/>
                <w:szCs w:val="21"/>
                <w:lang w:eastAsia="en-IN" w:bidi="hi-IN"/>
                <w14:ligatures w14:val="none"/>
              </w:rPr>
            </w:pPr>
            <w:r w:rsidRPr="00993A92">
              <w:rPr>
                <w:rFonts w:ascii="Noto Sans" w:eastAsia="Times New Roman" w:hAnsi="Noto Sans" w:cs="Noto Sans"/>
                <w:b/>
                <w:bCs/>
                <w:color w:val="000000"/>
                <w:kern w:val="0"/>
                <w:sz w:val="21"/>
                <w:szCs w:val="21"/>
                <w:lang w:eastAsia="en-IN" w:bidi="hi-IN"/>
                <w14:ligatures w14:val="none"/>
              </w:rPr>
              <w:t>Key Statistics</w:t>
            </w:r>
          </w:p>
        </w:tc>
      </w:tr>
      <w:tr w:rsidR="00993A92" w:rsidRPr="00993A92" w14:paraId="0E7A3C43"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796727D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Market Capitalization, $K</w:t>
            </w:r>
          </w:p>
        </w:tc>
        <w:tc>
          <w:tcPr>
            <w:tcW w:w="3120" w:type="dxa"/>
            <w:tcMar>
              <w:top w:w="60" w:type="dxa"/>
              <w:left w:w="60" w:type="dxa"/>
              <w:bottom w:w="60" w:type="dxa"/>
              <w:right w:w="60" w:type="dxa"/>
            </w:tcMar>
            <w:vAlign w:val="center"/>
            <w:hideMark/>
          </w:tcPr>
          <w:p w14:paraId="0570EE0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58675023"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142,400</w:t>
            </w:r>
          </w:p>
        </w:tc>
      </w:tr>
      <w:tr w:rsidR="00993A92" w:rsidRPr="00993A92" w14:paraId="105DE5AE"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02669F40"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Shares Outstanding, K</w:t>
            </w:r>
          </w:p>
        </w:tc>
        <w:tc>
          <w:tcPr>
            <w:tcW w:w="3120" w:type="dxa"/>
            <w:tcMar>
              <w:top w:w="60" w:type="dxa"/>
              <w:left w:w="60" w:type="dxa"/>
              <w:bottom w:w="60" w:type="dxa"/>
              <w:right w:w="60" w:type="dxa"/>
            </w:tcMar>
            <w:vAlign w:val="center"/>
            <w:hideMark/>
          </w:tcPr>
          <w:p w14:paraId="35F8039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6AF5BB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2,500</w:t>
            </w:r>
          </w:p>
        </w:tc>
      </w:tr>
      <w:tr w:rsidR="00993A92" w:rsidRPr="00993A92" w14:paraId="60C950B5"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7D40FD2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Sales</w:t>
            </w:r>
          </w:p>
        </w:tc>
        <w:tc>
          <w:tcPr>
            <w:tcW w:w="3120" w:type="dxa"/>
            <w:tcMar>
              <w:top w:w="60" w:type="dxa"/>
              <w:left w:w="60" w:type="dxa"/>
              <w:bottom w:w="60" w:type="dxa"/>
              <w:right w:w="60" w:type="dxa"/>
            </w:tcMar>
            <w:vAlign w:val="center"/>
            <w:hideMark/>
          </w:tcPr>
          <w:p w14:paraId="413CC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53182827"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64926122"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262A293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Net Income</w:t>
            </w:r>
          </w:p>
        </w:tc>
        <w:tc>
          <w:tcPr>
            <w:tcW w:w="3120" w:type="dxa"/>
            <w:tcMar>
              <w:top w:w="60" w:type="dxa"/>
              <w:left w:w="60" w:type="dxa"/>
              <w:bottom w:w="60" w:type="dxa"/>
              <w:right w:w="60" w:type="dxa"/>
            </w:tcMar>
            <w:vAlign w:val="center"/>
            <w:hideMark/>
          </w:tcPr>
          <w:p w14:paraId="3A7BE75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3E65DB1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542FEC6C"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5EA55182"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Sales</w:t>
            </w:r>
          </w:p>
        </w:tc>
        <w:tc>
          <w:tcPr>
            <w:tcW w:w="3120" w:type="dxa"/>
            <w:tcMar>
              <w:top w:w="60" w:type="dxa"/>
              <w:left w:w="60" w:type="dxa"/>
              <w:bottom w:w="60" w:type="dxa"/>
              <w:right w:w="60" w:type="dxa"/>
            </w:tcMar>
            <w:vAlign w:val="center"/>
            <w:hideMark/>
          </w:tcPr>
          <w:p w14:paraId="0734C13F"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DE6394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52988A35"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4D8DDBB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Net Income</w:t>
            </w:r>
          </w:p>
        </w:tc>
        <w:tc>
          <w:tcPr>
            <w:tcW w:w="3120" w:type="dxa"/>
            <w:tcMar>
              <w:top w:w="60" w:type="dxa"/>
              <w:left w:w="60" w:type="dxa"/>
              <w:bottom w:w="60" w:type="dxa"/>
              <w:right w:w="60" w:type="dxa"/>
            </w:tcMar>
            <w:vAlign w:val="center"/>
            <w:hideMark/>
          </w:tcPr>
          <w:p w14:paraId="5632548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63E13AC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176033D2" w14:textId="77777777" w:rsidTr="00993A92">
        <w:trPr>
          <w:trHeight w:val="450"/>
          <w:tblCellSpacing w:w="15" w:type="dxa"/>
        </w:trPr>
        <w:tc>
          <w:tcPr>
            <w:tcW w:w="4455" w:type="dxa"/>
            <w:gridSpan w:val="2"/>
            <w:tcMar>
              <w:top w:w="60" w:type="dxa"/>
              <w:left w:w="120" w:type="dxa"/>
              <w:bottom w:w="60" w:type="dxa"/>
              <w:right w:w="120" w:type="dxa"/>
            </w:tcMar>
            <w:vAlign w:val="center"/>
            <w:hideMark/>
          </w:tcPr>
          <w:p w14:paraId="40FAE9A6"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60-Month Beta</w:t>
            </w:r>
          </w:p>
        </w:tc>
        <w:tc>
          <w:tcPr>
            <w:tcW w:w="3120" w:type="dxa"/>
            <w:tcMar>
              <w:top w:w="60" w:type="dxa"/>
              <w:left w:w="60" w:type="dxa"/>
              <w:bottom w:w="60" w:type="dxa"/>
              <w:right w:w="60" w:type="dxa"/>
            </w:tcMar>
            <w:vAlign w:val="center"/>
            <w:hideMark/>
          </w:tcPr>
          <w:p w14:paraId="74E2495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282465C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0.72</w:t>
            </w:r>
          </w:p>
        </w:tc>
      </w:tr>
    </w:tbl>
    <w:p w14:paraId="1E4B8FAF"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B039EAA"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0B6079F3" w14:textId="4BF55AAA" w:rsidR="00993A92" w:rsidRDefault="001A20C5" w:rsidP="006221AF">
      <w:pPr>
        <w:tabs>
          <w:tab w:val="left" w:pos="1065"/>
          <w:tab w:val="center" w:pos="4513"/>
        </w:tabs>
        <w:rPr>
          <w:rFonts w:ascii="Arial Rounded MT Bold" w:hAnsi="Arial Rounded MT Bold" w:cstheme="majorHAnsi"/>
          <w:color w:val="4472C4" w:themeColor="accent1"/>
          <w:sz w:val="32"/>
          <w:szCs w:val="32"/>
          <w:lang w:val="en-US"/>
        </w:rPr>
      </w:pPr>
      <w:r>
        <w:rPr>
          <w:rFonts w:ascii="Arial Rounded MT Bold" w:hAnsi="Arial Rounded MT Bold" w:cstheme="majorHAnsi"/>
          <w:color w:val="4472C4" w:themeColor="accent1"/>
          <w:sz w:val="32"/>
          <w:szCs w:val="32"/>
          <w:lang w:val="en-US"/>
        </w:rPr>
        <w:t>KEY EVENTS:</w:t>
      </w:r>
    </w:p>
    <w:p w14:paraId="13B7246F" w14:textId="77777777" w:rsidR="001A20C5" w:rsidRDefault="001A20C5" w:rsidP="006221AF">
      <w:pPr>
        <w:tabs>
          <w:tab w:val="left" w:pos="1065"/>
          <w:tab w:val="center" w:pos="4513"/>
        </w:tabs>
        <w:rPr>
          <w:rFonts w:ascii="Arial Rounded MT Bold" w:hAnsi="Arial Rounded MT Bold" w:cstheme="majorHAnsi"/>
          <w:color w:val="4472C4" w:themeColor="accent1"/>
          <w:sz w:val="32"/>
          <w:szCs w:val="32"/>
          <w:lang w:val="en-US"/>
        </w:rPr>
      </w:pPr>
    </w:p>
    <w:p w14:paraId="50157770" w14:textId="77777777" w:rsidR="001A20C5" w:rsidRPr="001A20C5" w:rsidRDefault="001A20C5" w:rsidP="001A20C5">
      <w:pPr>
        <w:spacing w:after="105" w:line="630" w:lineRule="atLeast"/>
        <w:outlineLvl w:val="0"/>
        <w:rPr>
          <w:rFonts w:ascii="Poppins" w:eastAsia="Times New Roman" w:hAnsi="Poppins" w:cs="Poppins"/>
          <w:b/>
          <w:bCs/>
          <w:color w:val="000000"/>
          <w:kern w:val="36"/>
          <w:sz w:val="48"/>
          <w:szCs w:val="48"/>
          <w:lang w:eastAsia="en-IN" w:bidi="hi-IN"/>
          <w14:ligatures w14:val="none"/>
        </w:rPr>
      </w:pPr>
      <w:r w:rsidRPr="001A20C5">
        <w:rPr>
          <w:rFonts w:ascii="Poppins" w:eastAsia="Times New Roman" w:hAnsi="Poppins" w:cs="Poppins"/>
          <w:b/>
          <w:bCs/>
          <w:color w:val="000000"/>
          <w:kern w:val="36"/>
          <w:sz w:val="48"/>
          <w:szCs w:val="48"/>
          <w:lang w:eastAsia="en-IN" w:bidi="hi-IN"/>
          <w14:ligatures w14:val="none"/>
        </w:rPr>
        <w:t>JPMorgan, Citi, Wells Fargo beat expectations with first-quarter earnings riding on interest rate hikes</w:t>
      </w:r>
    </w:p>
    <w:p w14:paraId="6293E04C" w14:textId="77777777" w:rsidR="001A20C5" w:rsidRPr="001A20C5" w:rsidRDefault="001A20C5" w:rsidP="001A20C5">
      <w:pPr>
        <w:spacing w:line="360" w:lineRule="atLeast"/>
        <w:outlineLvl w:val="1"/>
        <w:rPr>
          <w:rFonts w:ascii="Poppins" w:eastAsia="Times New Roman" w:hAnsi="Poppins" w:cs="Poppins"/>
          <w:color w:val="000000"/>
          <w:kern w:val="0"/>
          <w:sz w:val="24"/>
          <w:szCs w:val="24"/>
          <w:lang w:eastAsia="en-IN" w:bidi="hi-IN"/>
          <w14:ligatures w14:val="none"/>
        </w:rPr>
      </w:pPr>
      <w:r w:rsidRPr="001A20C5">
        <w:rPr>
          <w:rFonts w:ascii="Poppins" w:eastAsia="Times New Roman" w:hAnsi="Poppins" w:cs="Poppins"/>
          <w:color w:val="000000"/>
          <w:kern w:val="0"/>
          <w:sz w:val="24"/>
          <w:szCs w:val="24"/>
          <w:lang w:eastAsia="en-IN" w:bidi="hi-IN"/>
          <w14:ligatures w14:val="none"/>
        </w:rPr>
        <w:t>These banks were able to brush off the crisis and set aside billions of dollars in case of loan defaults as the economic outlook darkened</w:t>
      </w:r>
    </w:p>
    <w:p w14:paraId="5A5AFFF5" w14:textId="3E589ED2" w:rsidR="001A20C5" w:rsidRPr="001A20C5" w:rsidRDefault="001A20C5" w:rsidP="001A20C5">
      <w:pPr>
        <w:pStyle w:val="ListParagraph"/>
        <w:numPr>
          <w:ilvl w:val="0"/>
          <w:numId w:val="4"/>
        </w:numPr>
        <w:tabs>
          <w:tab w:val="left" w:pos="1065"/>
          <w:tab w:val="center" w:pos="4513"/>
        </w:tabs>
        <w:rPr>
          <w:rFonts w:ascii="Footlight MT Light" w:hAnsi="Footlight MT Light" w:cstheme="majorHAnsi"/>
          <w:color w:val="4472C4" w:themeColor="accent1"/>
          <w:sz w:val="28"/>
          <w:szCs w:val="28"/>
          <w:lang w:val="en-US"/>
        </w:rPr>
      </w:pPr>
      <w:r w:rsidRPr="001A20C5">
        <w:rPr>
          <w:rFonts w:ascii="Footlight MT Light" w:hAnsi="Footlight MT Light" w:cs="Poppins"/>
          <w:color w:val="000000"/>
          <w:sz w:val="28"/>
          <w:szCs w:val="28"/>
        </w:rPr>
        <w:t>In the first quarter of 2023, JPMorgan Chase &amp; Co, Citigroup, and Wells Fargo &amp; Co reported impressive earnings due to higher interest payments, despite the banking crisis triggered by the collapse of two regional lenders. These banks were able to brush off the crisis and set aside billions of dollars in case of loan defaults as the economic outlook darkened.</w:t>
      </w:r>
    </w:p>
    <w:p w14:paraId="240C9CB3" w14:textId="3183680B"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t xml:space="preserve">JPMorgan CEO Jamie </w:t>
      </w:r>
      <w:proofErr w:type="spellStart"/>
      <w:r w:rsidRPr="001A20C5">
        <w:rPr>
          <w:rFonts w:ascii="Footlight MT Light" w:hAnsi="Footlight MT Light" w:cs="Poppins"/>
          <w:color w:val="000000"/>
          <w:sz w:val="28"/>
          <w:szCs w:val="28"/>
        </w:rPr>
        <w:t>Dimon</w:t>
      </w:r>
      <w:proofErr w:type="spellEnd"/>
      <w:r w:rsidRPr="001A20C5">
        <w:rPr>
          <w:rFonts w:ascii="Footlight MT Light" w:hAnsi="Footlight MT Light" w:cs="Poppins"/>
          <w:color w:val="000000"/>
          <w:sz w:val="28"/>
          <w:szCs w:val="28"/>
        </w:rPr>
        <w:t xml:space="preserve"> warned that although the US economy remains strong, the recent banking crisis could make lenders more cautious and impact consumer spending. "The storm clouds that we have been monitoring for the past year remain on the horizon, and the banking industry turmoil adds to these risks," </w:t>
      </w:r>
      <w:proofErr w:type="spellStart"/>
      <w:r w:rsidRPr="001A20C5">
        <w:rPr>
          <w:rFonts w:ascii="Footlight MT Light" w:hAnsi="Footlight MT Light" w:cs="Poppins"/>
          <w:color w:val="000000"/>
          <w:sz w:val="28"/>
          <w:szCs w:val="28"/>
        </w:rPr>
        <w:t>Dimon</w:t>
      </w:r>
      <w:proofErr w:type="spellEnd"/>
      <w:r w:rsidRPr="001A20C5">
        <w:rPr>
          <w:rFonts w:ascii="Footlight MT Light" w:hAnsi="Footlight MT Light" w:cs="Poppins"/>
          <w:color w:val="000000"/>
          <w:sz w:val="28"/>
          <w:szCs w:val="28"/>
        </w:rPr>
        <w:t xml:space="preserve"> said.</w:t>
      </w:r>
    </w:p>
    <w:p w14:paraId="39731731" w14:textId="77777777"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lastRenderedPageBreak/>
        <w:t>JPMorgan reported a 52 per cent increase in profit to $12.62 billion, or $4.10 per share, in the first quarter, beating market expectations. Its loan loss provisions increased by 56 per cent from last year to $2.3 billion. Net interest income, which measures how much a bank earns from lending, surged by 49 per cent. The bank also saw a surge in deposits in the first quarter as customers moved their money to bigger banks due to fears over the health of regional lenders.</w:t>
      </w:r>
    </w:p>
    <w:p w14:paraId="0F4D8227" w14:textId="77777777" w:rsidR="001A20C5" w:rsidRPr="001A20C5" w:rsidRDefault="001A20C5" w:rsidP="001A20C5">
      <w:pPr>
        <w:pStyle w:val="NormalWeb"/>
        <w:numPr>
          <w:ilvl w:val="0"/>
          <w:numId w:val="4"/>
        </w:numPr>
        <w:spacing w:before="0" w:beforeAutospacing="0" w:after="150" w:afterAutospacing="0" w:line="420" w:lineRule="atLeast"/>
        <w:rPr>
          <w:rFonts w:ascii="Footlight MT Light" w:hAnsi="Footlight MT Light" w:cs="Poppins"/>
          <w:color w:val="000000"/>
          <w:sz w:val="28"/>
          <w:szCs w:val="28"/>
        </w:rPr>
      </w:pPr>
      <w:r w:rsidRPr="001A20C5">
        <w:rPr>
          <w:rFonts w:ascii="Footlight MT Light" w:hAnsi="Footlight MT Light" w:cs="Poppins"/>
          <w:color w:val="000000"/>
          <w:sz w:val="28"/>
          <w:szCs w:val="28"/>
        </w:rPr>
        <w:t>Citigroup also beat Wall Street expectations, thanks to higher interest payments from borrowers, but CEO Jane Fraser told analysts on a conference call that the U.S. is more likely to enter a mild recession later this year. "That could be exacerbated in depth and duration in a more severe credit crunch," Fraser said.</w:t>
      </w:r>
    </w:p>
    <w:p w14:paraId="386D4CA4"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7ED0DC40"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34FAACC1"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281BB9D3"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107EEBCD" w14:textId="2129770E" w:rsidR="001A20C5" w:rsidRDefault="001A20C5" w:rsidP="001A20C5">
      <w:pPr>
        <w:pStyle w:val="ListParagraph"/>
        <w:tabs>
          <w:tab w:val="left" w:pos="1065"/>
          <w:tab w:val="center" w:pos="4513"/>
        </w:tabs>
        <w:rPr>
          <w:rFonts w:ascii="Footlight MT Light" w:hAnsi="Footlight MT Light" w:cstheme="majorHAnsi"/>
          <w:color w:val="4472C4" w:themeColor="accent1"/>
          <w:sz w:val="144"/>
          <w:szCs w:val="144"/>
          <w:lang w:val="en-US"/>
        </w:rPr>
      </w:pPr>
      <w:r w:rsidRPr="001A20C5">
        <w:rPr>
          <w:rFonts w:ascii="Footlight MT Light" w:hAnsi="Footlight MT Light" w:cstheme="majorHAnsi"/>
          <w:color w:val="4472C4" w:themeColor="accent1"/>
          <w:sz w:val="144"/>
          <w:szCs w:val="144"/>
          <w:lang w:val="en-US"/>
        </w:rPr>
        <w:t>THANK YOU</w:t>
      </w:r>
    </w:p>
    <w:p w14:paraId="056C7EE1" w14:textId="77777777" w:rsidR="001A20C5" w:rsidRPr="001A20C5" w:rsidRDefault="001A20C5" w:rsidP="001A20C5">
      <w:pPr>
        <w:rPr>
          <w:lang w:val="en-US"/>
        </w:rPr>
      </w:pPr>
    </w:p>
    <w:p w14:paraId="3DD1E817" w14:textId="77777777" w:rsidR="001A20C5" w:rsidRPr="001A20C5" w:rsidRDefault="001A20C5" w:rsidP="001A20C5">
      <w:pPr>
        <w:rPr>
          <w:lang w:val="en-US"/>
        </w:rPr>
      </w:pPr>
    </w:p>
    <w:p w14:paraId="74D7F9E9" w14:textId="77777777" w:rsidR="001A20C5" w:rsidRPr="001A20C5" w:rsidRDefault="001A20C5" w:rsidP="001A20C5">
      <w:pPr>
        <w:rPr>
          <w:lang w:val="en-US"/>
        </w:rPr>
      </w:pPr>
    </w:p>
    <w:p w14:paraId="0FEF7733" w14:textId="24A6A374"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BY</w:t>
      </w:r>
      <w:r w:rsidRPr="001A20C5">
        <w:rPr>
          <w:rFonts w:ascii="Footlight MT Light" w:hAnsi="Footlight MT Light" w:cstheme="majorHAnsi"/>
          <w:color w:val="FF0000"/>
          <w:sz w:val="40"/>
          <w:szCs w:val="40"/>
          <w:lang w:val="en-US"/>
        </w:rPr>
        <w:tab/>
      </w:r>
    </w:p>
    <w:p w14:paraId="0A5EB706" w14:textId="0FC7163F"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 xml:space="preserve">NAVDEEP </w:t>
      </w:r>
    </w:p>
    <w:p w14:paraId="02658E79" w14:textId="3C7868C3" w:rsidR="001A20C5" w:rsidRPr="001A20C5" w:rsidRDefault="001A20C5" w:rsidP="001A20C5">
      <w:pPr>
        <w:tabs>
          <w:tab w:val="left" w:pos="5220"/>
        </w:tabs>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121128807064</w:t>
      </w:r>
    </w:p>
    <w:p w14:paraId="2C81B882" w14:textId="422A1B97" w:rsidR="001A20C5" w:rsidRPr="001A20C5" w:rsidRDefault="001A20C5" w:rsidP="001A20C5">
      <w:pPr>
        <w:tabs>
          <w:tab w:val="left" w:pos="5220"/>
        </w:tabs>
        <w:rPr>
          <w:rFonts w:ascii="Footlight MT Light" w:hAnsi="Footlight MT Light" w:cstheme="majorHAnsi"/>
          <w:color w:val="4472C4" w:themeColor="accent1"/>
          <w:sz w:val="40"/>
          <w:szCs w:val="40"/>
          <w:lang w:val="en-US"/>
        </w:rPr>
      </w:pPr>
      <w:r w:rsidRPr="001A20C5">
        <w:rPr>
          <w:rFonts w:ascii="Footlight MT Light" w:hAnsi="Footlight MT Light" w:cstheme="majorHAnsi"/>
          <w:color w:val="FF0000"/>
          <w:sz w:val="40"/>
          <w:szCs w:val="40"/>
          <w:lang w:val="en-US"/>
        </w:rPr>
        <w:t>ANDHRA UNIVERISTY</w:t>
      </w:r>
    </w:p>
    <w:p w14:paraId="0F296A7A" w14:textId="77777777" w:rsidR="001A20C5" w:rsidRPr="001A20C5" w:rsidRDefault="001A20C5" w:rsidP="001A20C5">
      <w:pPr>
        <w:rPr>
          <w:lang w:val="en-US"/>
        </w:rPr>
      </w:pPr>
    </w:p>
    <w:sectPr w:rsidR="001A20C5" w:rsidRPr="001A20C5" w:rsidSect="00FB07D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383"/>
    <w:multiLevelType w:val="hybridMultilevel"/>
    <w:tmpl w:val="775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33091"/>
    <w:multiLevelType w:val="hybridMultilevel"/>
    <w:tmpl w:val="C7C0A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5630C9"/>
    <w:multiLevelType w:val="hybridMultilevel"/>
    <w:tmpl w:val="768C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16E4B"/>
    <w:multiLevelType w:val="hybridMultilevel"/>
    <w:tmpl w:val="FC60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890392"/>
    <w:multiLevelType w:val="hybridMultilevel"/>
    <w:tmpl w:val="F8B61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5786347">
    <w:abstractNumId w:val="0"/>
  </w:num>
  <w:num w:numId="2" w16cid:durableId="1236823363">
    <w:abstractNumId w:val="4"/>
  </w:num>
  <w:num w:numId="3" w16cid:durableId="1977248410">
    <w:abstractNumId w:val="3"/>
  </w:num>
  <w:num w:numId="4" w16cid:durableId="2060665154">
    <w:abstractNumId w:val="2"/>
  </w:num>
  <w:num w:numId="5" w16cid:durableId="24589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4"/>
    <w:rsid w:val="000616B1"/>
    <w:rsid w:val="001A20C5"/>
    <w:rsid w:val="001E13A1"/>
    <w:rsid w:val="00226623"/>
    <w:rsid w:val="00266A7E"/>
    <w:rsid w:val="002C5687"/>
    <w:rsid w:val="002D1C1B"/>
    <w:rsid w:val="002E067A"/>
    <w:rsid w:val="0039541C"/>
    <w:rsid w:val="004919E4"/>
    <w:rsid w:val="005A7489"/>
    <w:rsid w:val="005E6294"/>
    <w:rsid w:val="006221AF"/>
    <w:rsid w:val="006C73DD"/>
    <w:rsid w:val="006F40FD"/>
    <w:rsid w:val="0075510F"/>
    <w:rsid w:val="007B4F66"/>
    <w:rsid w:val="007F26F1"/>
    <w:rsid w:val="00886964"/>
    <w:rsid w:val="008E119B"/>
    <w:rsid w:val="00924CC5"/>
    <w:rsid w:val="00993A92"/>
    <w:rsid w:val="009F7404"/>
    <w:rsid w:val="00A66D91"/>
    <w:rsid w:val="00A97BF9"/>
    <w:rsid w:val="00AA3EBC"/>
    <w:rsid w:val="00AB210B"/>
    <w:rsid w:val="00C91712"/>
    <w:rsid w:val="00CD63DA"/>
    <w:rsid w:val="00D71F14"/>
    <w:rsid w:val="00ED24AB"/>
    <w:rsid w:val="00FB07DC"/>
    <w:rsid w:val="00FF6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2078"/>
  <w15:chartTrackingRefBased/>
  <w15:docId w15:val="{47B6C797-DE85-4501-AFFE-879DE5AA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1A20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A"/>
    <w:pPr>
      <w:ind w:left="720"/>
      <w:contextualSpacing/>
    </w:pPr>
  </w:style>
  <w:style w:type="character" w:styleId="Hyperlink">
    <w:name w:val="Hyperlink"/>
    <w:basedOn w:val="DefaultParagraphFont"/>
    <w:uiPriority w:val="99"/>
    <w:unhideWhenUsed/>
    <w:rsid w:val="00AA3EBC"/>
    <w:rPr>
      <w:color w:val="0563C1" w:themeColor="hyperlink"/>
      <w:u w:val="single"/>
    </w:rPr>
  </w:style>
  <w:style w:type="character" w:styleId="UnresolvedMention">
    <w:name w:val="Unresolved Mention"/>
    <w:basedOn w:val="DefaultParagraphFont"/>
    <w:uiPriority w:val="99"/>
    <w:semiHidden/>
    <w:unhideWhenUsed/>
    <w:rsid w:val="00AA3EBC"/>
    <w:rPr>
      <w:color w:val="605E5C"/>
      <w:shd w:val="clear" w:color="auto" w:fill="E1DFDD"/>
    </w:rPr>
  </w:style>
  <w:style w:type="character" w:customStyle="1" w:styleId="up">
    <w:name w:val="up"/>
    <w:basedOn w:val="DefaultParagraphFont"/>
    <w:rsid w:val="006221AF"/>
  </w:style>
  <w:style w:type="character" w:customStyle="1" w:styleId="down">
    <w:name w:val="down"/>
    <w:basedOn w:val="DefaultParagraphFont"/>
    <w:rsid w:val="00993A92"/>
  </w:style>
  <w:style w:type="character" w:customStyle="1" w:styleId="Heading1Char">
    <w:name w:val="Heading 1 Char"/>
    <w:basedOn w:val="DefaultParagraphFont"/>
    <w:link w:val="Heading1"/>
    <w:uiPriority w:val="9"/>
    <w:rsid w:val="001A20C5"/>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1A20C5"/>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1A20C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611">
      <w:bodyDiv w:val="1"/>
      <w:marLeft w:val="0"/>
      <w:marRight w:val="0"/>
      <w:marTop w:val="0"/>
      <w:marBottom w:val="0"/>
      <w:divBdr>
        <w:top w:val="none" w:sz="0" w:space="0" w:color="auto"/>
        <w:left w:val="none" w:sz="0" w:space="0" w:color="auto"/>
        <w:bottom w:val="none" w:sz="0" w:space="0" w:color="auto"/>
        <w:right w:val="none" w:sz="0" w:space="0" w:color="auto"/>
      </w:divBdr>
    </w:div>
    <w:div w:id="4409944">
      <w:bodyDiv w:val="1"/>
      <w:marLeft w:val="0"/>
      <w:marRight w:val="0"/>
      <w:marTop w:val="0"/>
      <w:marBottom w:val="0"/>
      <w:divBdr>
        <w:top w:val="none" w:sz="0" w:space="0" w:color="auto"/>
        <w:left w:val="none" w:sz="0" w:space="0" w:color="auto"/>
        <w:bottom w:val="none" w:sz="0" w:space="0" w:color="auto"/>
        <w:right w:val="none" w:sz="0" w:space="0" w:color="auto"/>
      </w:divBdr>
    </w:div>
    <w:div w:id="93015089">
      <w:bodyDiv w:val="1"/>
      <w:marLeft w:val="0"/>
      <w:marRight w:val="0"/>
      <w:marTop w:val="0"/>
      <w:marBottom w:val="0"/>
      <w:divBdr>
        <w:top w:val="none" w:sz="0" w:space="0" w:color="auto"/>
        <w:left w:val="none" w:sz="0" w:space="0" w:color="auto"/>
        <w:bottom w:val="none" w:sz="0" w:space="0" w:color="auto"/>
        <w:right w:val="none" w:sz="0" w:space="0" w:color="auto"/>
      </w:divBdr>
    </w:div>
    <w:div w:id="122312348">
      <w:bodyDiv w:val="1"/>
      <w:marLeft w:val="0"/>
      <w:marRight w:val="0"/>
      <w:marTop w:val="0"/>
      <w:marBottom w:val="0"/>
      <w:divBdr>
        <w:top w:val="none" w:sz="0" w:space="0" w:color="auto"/>
        <w:left w:val="none" w:sz="0" w:space="0" w:color="auto"/>
        <w:bottom w:val="none" w:sz="0" w:space="0" w:color="auto"/>
        <w:right w:val="none" w:sz="0" w:space="0" w:color="auto"/>
      </w:divBdr>
    </w:div>
    <w:div w:id="197739617">
      <w:bodyDiv w:val="1"/>
      <w:marLeft w:val="0"/>
      <w:marRight w:val="0"/>
      <w:marTop w:val="0"/>
      <w:marBottom w:val="0"/>
      <w:divBdr>
        <w:top w:val="none" w:sz="0" w:space="0" w:color="auto"/>
        <w:left w:val="none" w:sz="0" w:space="0" w:color="auto"/>
        <w:bottom w:val="none" w:sz="0" w:space="0" w:color="auto"/>
        <w:right w:val="none" w:sz="0" w:space="0" w:color="auto"/>
      </w:divBdr>
      <w:divsChild>
        <w:div w:id="1348021700">
          <w:marLeft w:val="0"/>
          <w:marRight w:val="0"/>
          <w:marTop w:val="75"/>
          <w:marBottom w:val="0"/>
          <w:divBdr>
            <w:top w:val="none" w:sz="0" w:space="0" w:color="auto"/>
            <w:left w:val="none" w:sz="0" w:space="0" w:color="auto"/>
            <w:bottom w:val="none" w:sz="0" w:space="0" w:color="auto"/>
            <w:right w:val="none" w:sz="0" w:space="0" w:color="auto"/>
          </w:divBdr>
        </w:div>
        <w:div w:id="2056196207">
          <w:marLeft w:val="0"/>
          <w:marRight w:val="0"/>
          <w:marTop w:val="0"/>
          <w:marBottom w:val="225"/>
          <w:divBdr>
            <w:top w:val="none" w:sz="0" w:space="0" w:color="auto"/>
            <w:left w:val="none" w:sz="0" w:space="0" w:color="auto"/>
            <w:bottom w:val="none" w:sz="0" w:space="0" w:color="auto"/>
            <w:right w:val="none" w:sz="0" w:space="0" w:color="auto"/>
          </w:divBdr>
        </w:div>
      </w:divsChild>
    </w:div>
    <w:div w:id="245575403">
      <w:bodyDiv w:val="1"/>
      <w:marLeft w:val="0"/>
      <w:marRight w:val="0"/>
      <w:marTop w:val="0"/>
      <w:marBottom w:val="0"/>
      <w:divBdr>
        <w:top w:val="none" w:sz="0" w:space="0" w:color="auto"/>
        <w:left w:val="none" w:sz="0" w:space="0" w:color="auto"/>
        <w:bottom w:val="none" w:sz="0" w:space="0" w:color="auto"/>
        <w:right w:val="none" w:sz="0" w:space="0" w:color="auto"/>
      </w:divBdr>
    </w:div>
    <w:div w:id="276066179">
      <w:bodyDiv w:val="1"/>
      <w:marLeft w:val="0"/>
      <w:marRight w:val="0"/>
      <w:marTop w:val="0"/>
      <w:marBottom w:val="0"/>
      <w:divBdr>
        <w:top w:val="none" w:sz="0" w:space="0" w:color="auto"/>
        <w:left w:val="none" w:sz="0" w:space="0" w:color="auto"/>
        <w:bottom w:val="none" w:sz="0" w:space="0" w:color="auto"/>
        <w:right w:val="none" w:sz="0" w:space="0" w:color="auto"/>
      </w:divBdr>
    </w:div>
    <w:div w:id="277034089">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7">
          <w:marLeft w:val="0"/>
          <w:marRight w:val="0"/>
          <w:marTop w:val="150"/>
          <w:marBottom w:val="105"/>
          <w:divBdr>
            <w:top w:val="none" w:sz="0" w:space="0" w:color="auto"/>
            <w:left w:val="none" w:sz="0" w:space="0" w:color="auto"/>
            <w:bottom w:val="none" w:sz="0" w:space="0" w:color="auto"/>
            <w:right w:val="none" w:sz="0" w:space="0" w:color="auto"/>
          </w:divBdr>
        </w:div>
        <w:div w:id="648291628">
          <w:marLeft w:val="0"/>
          <w:marRight w:val="0"/>
          <w:marTop w:val="0"/>
          <w:marBottom w:val="300"/>
          <w:divBdr>
            <w:top w:val="none" w:sz="0" w:space="0" w:color="auto"/>
            <w:left w:val="none" w:sz="0" w:space="0" w:color="auto"/>
            <w:bottom w:val="none" w:sz="0" w:space="0" w:color="auto"/>
            <w:right w:val="none" w:sz="0" w:space="0" w:color="auto"/>
          </w:divBdr>
        </w:div>
      </w:divsChild>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86733006">
      <w:bodyDiv w:val="1"/>
      <w:marLeft w:val="0"/>
      <w:marRight w:val="0"/>
      <w:marTop w:val="0"/>
      <w:marBottom w:val="0"/>
      <w:divBdr>
        <w:top w:val="none" w:sz="0" w:space="0" w:color="auto"/>
        <w:left w:val="none" w:sz="0" w:space="0" w:color="auto"/>
        <w:bottom w:val="none" w:sz="0" w:space="0" w:color="auto"/>
        <w:right w:val="none" w:sz="0" w:space="0" w:color="auto"/>
      </w:divBdr>
    </w:div>
    <w:div w:id="515731636">
      <w:bodyDiv w:val="1"/>
      <w:marLeft w:val="0"/>
      <w:marRight w:val="0"/>
      <w:marTop w:val="0"/>
      <w:marBottom w:val="0"/>
      <w:divBdr>
        <w:top w:val="none" w:sz="0" w:space="0" w:color="auto"/>
        <w:left w:val="none" w:sz="0" w:space="0" w:color="auto"/>
        <w:bottom w:val="none" w:sz="0" w:space="0" w:color="auto"/>
        <w:right w:val="none" w:sz="0" w:space="0" w:color="auto"/>
      </w:divBdr>
    </w:div>
    <w:div w:id="528104164">
      <w:bodyDiv w:val="1"/>
      <w:marLeft w:val="0"/>
      <w:marRight w:val="0"/>
      <w:marTop w:val="0"/>
      <w:marBottom w:val="0"/>
      <w:divBdr>
        <w:top w:val="none" w:sz="0" w:space="0" w:color="auto"/>
        <w:left w:val="none" w:sz="0" w:space="0" w:color="auto"/>
        <w:bottom w:val="none" w:sz="0" w:space="0" w:color="auto"/>
        <w:right w:val="none" w:sz="0" w:space="0" w:color="auto"/>
      </w:divBdr>
    </w:div>
    <w:div w:id="592006860">
      <w:bodyDiv w:val="1"/>
      <w:marLeft w:val="0"/>
      <w:marRight w:val="0"/>
      <w:marTop w:val="0"/>
      <w:marBottom w:val="0"/>
      <w:divBdr>
        <w:top w:val="none" w:sz="0" w:space="0" w:color="auto"/>
        <w:left w:val="none" w:sz="0" w:space="0" w:color="auto"/>
        <w:bottom w:val="none" w:sz="0" w:space="0" w:color="auto"/>
        <w:right w:val="none" w:sz="0" w:space="0" w:color="auto"/>
      </w:divBdr>
    </w:div>
    <w:div w:id="654987801">
      <w:bodyDiv w:val="1"/>
      <w:marLeft w:val="0"/>
      <w:marRight w:val="0"/>
      <w:marTop w:val="0"/>
      <w:marBottom w:val="0"/>
      <w:divBdr>
        <w:top w:val="none" w:sz="0" w:space="0" w:color="auto"/>
        <w:left w:val="none" w:sz="0" w:space="0" w:color="auto"/>
        <w:bottom w:val="none" w:sz="0" w:space="0" w:color="auto"/>
        <w:right w:val="none" w:sz="0" w:space="0" w:color="auto"/>
      </w:divBdr>
    </w:div>
    <w:div w:id="668094673">
      <w:bodyDiv w:val="1"/>
      <w:marLeft w:val="0"/>
      <w:marRight w:val="0"/>
      <w:marTop w:val="0"/>
      <w:marBottom w:val="0"/>
      <w:divBdr>
        <w:top w:val="none" w:sz="0" w:space="0" w:color="auto"/>
        <w:left w:val="none" w:sz="0" w:space="0" w:color="auto"/>
        <w:bottom w:val="none" w:sz="0" w:space="0" w:color="auto"/>
        <w:right w:val="none" w:sz="0" w:space="0" w:color="auto"/>
      </w:divBdr>
    </w:div>
    <w:div w:id="676881142">
      <w:bodyDiv w:val="1"/>
      <w:marLeft w:val="0"/>
      <w:marRight w:val="0"/>
      <w:marTop w:val="0"/>
      <w:marBottom w:val="0"/>
      <w:divBdr>
        <w:top w:val="none" w:sz="0" w:space="0" w:color="auto"/>
        <w:left w:val="none" w:sz="0" w:space="0" w:color="auto"/>
        <w:bottom w:val="none" w:sz="0" w:space="0" w:color="auto"/>
        <w:right w:val="none" w:sz="0" w:space="0" w:color="auto"/>
      </w:divBdr>
    </w:div>
    <w:div w:id="781606844">
      <w:bodyDiv w:val="1"/>
      <w:marLeft w:val="0"/>
      <w:marRight w:val="0"/>
      <w:marTop w:val="0"/>
      <w:marBottom w:val="0"/>
      <w:divBdr>
        <w:top w:val="none" w:sz="0" w:space="0" w:color="auto"/>
        <w:left w:val="none" w:sz="0" w:space="0" w:color="auto"/>
        <w:bottom w:val="none" w:sz="0" w:space="0" w:color="auto"/>
        <w:right w:val="none" w:sz="0" w:space="0" w:color="auto"/>
      </w:divBdr>
    </w:div>
    <w:div w:id="786389025">
      <w:bodyDiv w:val="1"/>
      <w:marLeft w:val="0"/>
      <w:marRight w:val="0"/>
      <w:marTop w:val="0"/>
      <w:marBottom w:val="0"/>
      <w:divBdr>
        <w:top w:val="none" w:sz="0" w:space="0" w:color="auto"/>
        <w:left w:val="none" w:sz="0" w:space="0" w:color="auto"/>
        <w:bottom w:val="none" w:sz="0" w:space="0" w:color="auto"/>
        <w:right w:val="none" w:sz="0" w:space="0" w:color="auto"/>
      </w:divBdr>
      <w:divsChild>
        <w:div w:id="1939830293">
          <w:marLeft w:val="0"/>
          <w:marRight w:val="0"/>
          <w:marTop w:val="0"/>
          <w:marBottom w:val="0"/>
          <w:divBdr>
            <w:top w:val="none" w:sz="0" w:space="0" w:color="auto"/>
            <w:left w:val="none" w:sz="0" w:space="0" w:color="auto"/>
            <w:bottom w:val="none" w:sz="0" w:space="0" w:color="auto"/>
            <w:right w:val="none" w:sz="0" w:space="0" w:color="auto"/>
          </w:divBdr>
        </w:div>
        <w:div w:id="1292593757">
          <w:marLeft w:val="0"/>
          <w:marRight w:val="0"/>
          <w:marTop w:val="75"/>
          <w:marBottom w:val="0"/>
          <w:divBdr>
            <w:top w:val="none" w:sz="0" w:space="0" w:color="auto"/>
            <w:left w:val="none" w:sz="0" w:space="0" w:color="auto"/>
            <w:bottom w:val="single" w:sz="12" w:space="0" w:color="11FF00"/>
            <w:right w:val="none" w:sz="0" w:space="0" w:color="auto"/>
          </w:divBdr>
          <w:divsChild>
            <w:div w:id="786002207">
              <w:marLeft w:val="0"/>
              <w:marRight w:val="0"/>
              <w:marTop w:val="0"/>
              <w:marBottom w:val="0"/>
              <w:divBdr>
                <w:top w:val="none" w:sz="0" w:space="0" w:color="auto"/>
                <w:left w:val="none" w:sz="0" w:space="0" w:color="auto"/>
                <w:bottom w:val="none" w:sz="0" w:space="0" w:color="auto"/>
                <w:right w:val="none" w:sz="0" w:space="0" w:color="auto"/>
              </w:divBdr>
            </w:div>
          </w:divsChild>
        </w:div>
        <w:div w:id="317198293">
          <w:marLeft w:val="0"/>
          <w:marRight w:val="0"/>
          <w:marTop w:val="0"/>
          <w:marBottom w:val="0"/>
          <w:divBdr>
            <w:top w:val="none" w:sz="0" w:space="0" w:color="auto"/>
            <w:left w:val="none" w:sz="0" w:space="0" w:color="auto"/>
            <w:bottom w:val="none" w:sz="0" w:space="0" w:color="auto"/>
            <w:right w:val="none" w:sz="0" w:space="0" w:color="auto"/>
          </w:divBdr>
        </w:div>
        <w:div w:id="1969046225">
          <w:marLeft w:val="0"/>
          <w:marRight w:val="0"/>
          <w:marTop w:val="75"/>
          <w:marBottom w:val="0"/>
          <w:divBdr>
            <w:top w:val="none" w:sz="0" w:space="0" w:color="auto"/>
            <w:left w:val="none" w:sz="0" w:space="0" w:color="auto"/>
            <w:bottom w:val="single" w:sz="12" w:space="0" w:color="84BB7B"/>
            <w:right w:val="none" w:sz="0" w:space="0" w:color="auto"/>
          </w:divBdr>
          <w:divsChild>
            <w:div w:id="1914243206">
              <w:marLeft w:val="0"/>
              <w:marRight w:val="0"/>
              <w:marTop w:val="0"/>
              <w:marBottom w:val="0"/>
              <w:divBdr>
                <w:top w:val="none" w:sz="0" w:space="0" w:color="auto"/>
                <w:left w:val="none" w:sz="0" w:space="0" w:color="auto"/>
                <w:bottom w:val="none" w:sz="0" w:space="0" w:color="auto"/>
                <w:right w:val="none" w:sz="0" w:space="0" w:color="auto"/>
              </w:divBdr>
            </w:div>
          </w:divsChild>
        </w:div>
        <w:div w:id="1692877952">
          <w:marLeft w:val="0"/>
          <w:marRight w:val="0"/>
          <w:marTop w:val="0"/>
          <w:marBottom w:val="0"/>
          <w:divBdr>
            <w:top w:val="none" w:sz="0" w:space="0" w:color="auto"/>
            <w:left w:val="none" w:sz="0" w:space="0" w:color="auto"/>
            <w:bottom w:val="none" w:sz="0" w:space="0" w:color="auto"/>
            <w:right w:val="none" w:sz="0" w:space="0" w:color="auto"/>
          </w:divBdr>
        </w:div>
        <w:div w:id="339818849">
          <w:marLeft w:val="0"/>
          <w:marRight w:val="0"/>
          <w:marTop w:val="75"/>
          <w:marBottom w:val="0"/>
          <w:divBdr>
            <w:top w:val="none" w:sz="0" w:space="0" w:color="auto"/>
            <w:left w:val="none" w:sz="0" w:space="0" w:color="auto"/>
            <w:bottom w:val="single" w:sz="12" w:space="0" w:color="FFCC00"/>
            <w:right w:val="none" w:sz="0" w:space="0" w:color="auto"/>
          </w:divBdr>
          <w:divsChild>
            <w:div w:id="1860505158">
              <w:marLeft w:val="0"/>
              <w:marRight w:val="0"/>
              <w:marTop w:val="0"/>
              <w:marBottom w:val="0"/>
              <w:divBdr>
                <w:top w:val="none" w:sz="0" w:space="0" w:color="auto"/>
                <w:left w:val="none" w:sz="0" w:space="0" w:color="auto"/>
                <w:bottom w:val="none" w:sz="0" w:space="0" w:color="auto"/>
                <w:right w:val="none" w:sz="0" w:space="0" w:color="auto"/>
              </w:divBdr>
            </w:div>
          </w:divsChild>
        </w:div>
        <w:div w:id="1988630604">
          <w:marLeft w:val="0"/>
          <w:marRight w:val="0"/>
          <w:marTop w:val="0"/>
          <w:marBottom w:val="225"/>
          <w:divBdr>
            <w:top w:val="none" w:sz="0" w:space="0" w:color="auto"/>
            <w:left w:val="none" w:sz="0" w:space="0" w:color="auto"/>
            <w:bottom w:val="none" w:sz="0" w:space="0" w:color="auto"/>
            <w:right w:val="none" w:sz="0" w:space="0" w:color="auto"/>
          </w:divBdr>
        </w:div>
      </w:divsChild>
    </w:div>
    <w:div w:id="887448558">
      <w:bodyDiv w:val="1"/>
      <w:marLeft w:val="0"/>
      <w:marRight w:val="0"/>
      <w:marTop w:val="0"/>
      <w:marBottom w:val="0"/>
      <w:divBdr>
        <w:top w:val="none" w:sz="0" w:space="0" w:color="auto"/>
        <w:left w:val="none" w:sz="0" w:space="0" w:color="auto"/>
        <w:bottom w:val="none" w:sz="0" w:space="0" w:color="auto"/>
        <w:right w:val="none" w:sz="0" w:space="0" w:color="auto"/>
      </w:divBdr>
    </w:div>
    <w:div w:id="945310136">
      <w:bodyDiv w:val="1"/>
      <w:marLeft w:val="0"/>
      <w:marRight w:val="0"/>
      <w:marTop w:val="0"/>
      <w:marBottom w:val="0"/>
      <w:divBdr>
        <w:top w:val="none" w:sz="0" w:space="0" w:color="auto"/>
        <w:left w:val="none" w:sz="0" w:space="0" w:color="auto"/>
        <w:bottom w:val="none" w:sz="0" w:space="0" w:color="auto"/>
        <w:right w:val="none" w:sz="0" w:space="0" w:color="auto"/>
      </w:divBdr>
    </w:div>
    <w:div w:id="981348287">
      <w:bodyDiv w:val="1"/>
      <w:marLeft w:val="0"/>
      <w:marRight w:val="0"/>
      <w:marTop w:val="0"/>
      <w:marBottom w:val="0"/>
      <w:divBdr>
        <w:top w:val="none" w:sz="0" w:space="0" w:color="auto"/>
        <w:left w:val="none" w:sz="0" w:space="0" w:color="auto"/>
        <w:bottom w:val="none" w:sz="0" w:space="0" w:color="auto"/>
        <w:right w:val="none" w:sz="0" w:space="0" w:color="auto"/>
      </w:divBdr>
    </w:div>
    <w:div w:id="1047146832">
      <w:bodyDiv w:val="1"/>
      <w:marLeft w:val="0"/>
      <w:marRight w:val="0"/>
      <w:marTop w:val="0"/>
      <w:marBottom w:val="0"/>
      <w:divBdr>
        <w:top w:val="none" w:sz="0" w:space="0" w:color="auto"/>
        <w:left w:val="none" w:sz="0" w:space="0" w:color="auto"/>
        <w:bottom w:val="none" w:sz="0" w:space="0" w:color="auto"/>
        <w:right w:val="none" w:sz="0" w:space="0" w:color="auto"/>
      </w:divBdr>
      <w:divsChild>
        <w:div w:id="1187405877">
          <w:marLeft w:val="0"/>
          <w:marRight w:val="0"/>
          <w:marTop w:val="75"/>
          <w:marBottom w:val="0"/>
          <w:divBdr>
            <w:top w:val="none" w:sz="0" w:space="0" w:color="auto"/>
            <w:left w:val="none" w:sz="0" w:space="0" w:color="auto"/>
            <w:bottom w:val="none" w:sz="0" w:space="0" w:color="auto"/>
            <w:right w:val="none" w:sz="0" w:space="0" w:color="auto"/>
          </w:divBdr>
        </w:div>
        <w:div w:id="966618611">
          <w:marLeft w:val="0"/>
          <w:marRight w:val="0"/>
          <w:marTop w:val="0"/>
          <w:marBottom w:val="225"/>
          <w:divBdr>
            <w:top w:val="none" w:sz="0" w:space="0" w:color="auto"/>
            <w:left w:val="none" w:sz="0" w:space="0" w:color="auto"/>
            <w:bottom w:val="none" w:sz="0" w:space="0" w:color="auto"/>
            <w:right w:val="none" w:sz="0" w:space="0" w:color="auto"/>
          </w:divBdr>
        </w:div>
        <w:div w:id="1362130303">
          <w:marLeft w:val="0"/>
          <w:marRight w:val="0"/>
          <w:marTop w:val="0"/>
          <w:marBottom w:val="75"/>
          <w:divBdr>
            <w:top w:val="single" w:sz="2" w:space="0" w:color="FFFFFF"/>
            <w:left w:val="single" w:sz="2" w:space="0" w:color="FFFFFF"/>
            <w:bottom w:val="single" w:sz="2" w:space="0" w:color="FFFFFF"/>
            <w:right w:val="single" w:sz="2" w:space="0" w:color="FFFFFF"/>
          </w:divBdr>
          <w:divsChild>
            <w:div w:id="1368337230">
              <w:marLeft w:val="0"/>
              <w:marRight w:val="0"/>
              <w:marTop w:val="0"/>
              <w:marBottom w:val="0"/>
              <w:divBdr>
                <w:top w:val="none" w:sz="0" w:space="0" w:color="auto"/>
                <w:left w:val="none" w:sz="0" w:space="0" w:color="auto"/>
                <w:bottom w:val="none" w:sz="0" w:space="0" w:color="auto"/>
                <w:right w:val="none" w:sz="0" w:space="0" w:color="auto"/>
              </w:divBdr>
              <w:divsChild>
                <w:div w:id="641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297">
      <w:bodyDiv w:val="1"/>
      <w:marLeft w:val="0"/>
      <w:marRight w:val="0"/>
      <w:marTop w:val="0"/>
      <w:marBottom w:val="0"/>
      <w:divBdr>
        <w:top w:val="none" w:sz="0" w:space="0" w:color="auto"/>
        <w:left w:val="none" w:sz="0" w:space="0" w:color="auto"/>
        <w:bottom w:val="none" w:sz="0" w:space="0" w:color="auto"/>
        <w:right w:val="none" w:sz="0" w:space="0" w:color="auto"/>
      </w:divBdr>
    </w:div>
    <w:div w:id="1183395443">
      <w:bodyDiv w:val="1"/>
      <w:marLeft w:val="0"/>
      <w:marRight w:val="0"/>
      <w:marTop w:val="0"/>
      <w:marBottom w:val="0"/>
      <w:divBdr>
        <w:top w:val="none" w:sz="0" w:space="0" w:color="auto"/>
        <w:left w:val="none" w:sz="0" w:space="0" w:color="auto"/>
        <w:bottom w:val="none" w:sz="0" w:space="0" w:color="auto"/>
        <w:right w:val="none" w:sz="0" w:space="0" w:color="auto"/>
      </w:divBdr>
      <w:divsChild>
        <w:div w:id="752120256">
          <w:marLeft w:val="0"/>
          <w:marRight w:val="0"/>
          <w:marTop w:val="0"/>
          <w:marBottom w:val="0"/>
          <w:divBdr>
            <w:top w:val="none" w:sz="0" w:space="0" w:color="auto"/>
            <w:left w:val="none" w:sz="0" w:space="0" w:color="auto"/>
            <w:bottom w:val="none" w:sz="0" w:space="0" w:color="auto"/>
            <w:right w:val="none" w:sz="0" w:space="0" w:color="auto"/>
          </w:divBdr>
        </w:div>
      </w:divsChild>
    </w:div>
    <w:div w:id="1183666241">
      <w:bodyDiv w:val="1"/>
      <w:marLeft w:val="0"/>
      <w:marRight w:val="0"/>
      <w:marTop w:val="0"/>
      <w:marBottom w:val="0"/>
      <w:divBdr>
        <w:top w:val="none" w:sz="0" w:space="0" w:color="auto"/>
        <w:left w:val="none" w:sz="0" w:space="0" w:color="auto"/>
        <w:bottom w:val="none" w:sz="0" w:space="0" w:color="auto"/>
        <w:right w:val="none" w:sz="0" w:space="0" w:color="auto"/>
      </w:divBdr>
    </w:div>
    <w:div w:id="1190802380">
      <w:bodyDiv w:val="1"/>
      <w:marLeft w:val="0"/>
      <w:marRight w:val="0"/>
      <w:marTop w:val="0"/>
      <w:marBottom w:val="0"/>
      <w:divBdr>
        <w:top w:val="none" w:sz="0" w:space="0" w:color="auto"/>
        <w:left w:val="none" w:sz="0" w:space="0" w:color="auto"/>
        <w:bottom w:val="none" w:sz="0" w:space="0" w:color="auto"/>
        <w:right w:val="none" w:sz="0" w:space="0" w:color="auto"/>
      </w:divBdr>
    </w:div>
    <w:div w:id="1195925934">
      <w:bodyDiv w:val="1"/>
      <w:marLeft w:val="0"/>
      <w:marRight w:val="0"/>
      <w:marTop w:val="0"/>
      <w:marBottom w:val="0"/>
      <w:divBdr>
        <w:top w:val="none" w:sz="0" w:space="0" w:color="auto"/>
        <w:left w:val="none" w:sz="0" w:space="0" w:color="auto"/>
        <w:bottom w:val="none" w:sz="0" w:space="0" w:color="auto"/>
        <w:right w:val="none" w:sz="0" w:space="0" w:color="auto"/>
      </w:divBdr>
      <w:divsChild>
        <w:div w:id="815924879">
          <w:marLeft w:val="0"/>
          <w:marRight w:val="0"/>
          <w:marTop w:val="0"/>
          <w:marBottom w:val="0"/>
          <w:divBdr>
            <w:top w:val="none" w:sz="0" w:space="0" w:color="auto"/>
            <w:left w:val="none" w:sz="0" w:space="0" w:color="auto"/>
            <w:bottom w:val="none" w:sz="0" w:space="0" w:color="auto"/>
            <w:right w:val="none" w:sz="0" w:space="0" w:color="auto"/>
          </w:divBdr>
        </w:div>
        <w:div w:id="1541435698">
          <w:marLeft w:val="0"/>
          <w:marRight w:val="0"/>
          <w:marTop w:val="75"/>
          <w:marBottom w:val="0"/>
          <w:divBdr>
            <w:top w:val="none" w:sz="0" w:space="0" w:color="auto"/>
            <w:left w:val="none" w:sz="0" w:space="0" w:color="auto"/>
            <w:bottom w:val="single" w:sz="12" w:space="0" w:color="11FF00"/>
            <w:right w:val="none" w:sz="0" w:space="0" w:color="auto"/>
          </w:divBdr>
          <w:divsChild>
            <w:div w:id="750541973">
              <w:marLeft w:val="0"/>
              <w:marRight w:val="0"/>
              <w:marTop w:val="0"/>
              <w:marBottom w:val="0"/>
              <w:divBdr>
                <w:top w:val="none" w:sz="0" w:space="0" w:color="auto"/>
                <w:left w:val="none" w:sz="0" w:space="0" w:color="auto"/>
                <w:bottom w:val="none" w:sz="0" w:space="0" w:color="auto"/>
                <w:right w:val="none" w:sz="0" w:space="0" w:color="auto"/>
              </w:divBdr>
            </w:div>
          </w:divsChild>
        </w:div>
        <w:div w:id="860900625">
          <w:marLeft w:val="0"/>
          <w:marRight w:val="0"/>
          <w:marTop w:val="0"/>
          <w:marBottom w:val="0"/>
          <w:divBdr>
            <w:top w:val="none" w:sz="0" w:space="0" w:color="auto"/>
            <w:left w:val="none" w:sz="0" w:space="0" w:color="auto"/>
            <w:bottom w:val="none" w:sz="0" w:space="0" w:color="auto"/>
            <w:right w:val="none" w:sz="0" w:space="0" w:color="auto"/>
          </w:divBdr>
        </w:div>
        <w:div w:id="390540505">
          <w:marLeft w:val="0"/>
          <w:marRight w:val="0"/>
          <w:marTop w:val="75"/>
          <w:marBottom w:val="0"/>
          <w:divBdr>
            <w:top w:val="none" w:sz="0" w:space="0" w:color="auto"/>
            <w:left w:val="none" w:sz="0" w:space="0" w:color="auto"/>
            <w:bottom w:val="single" w:sz="12" w:space="0" w:color="84BB7B"/>
            <w:right w:val="none" w:sz="0" w:space="0" w:color="auto"/>
          </w:divBdr>
          <w:divsChild>
            <w:div w:id="803624813">
              <w:marLeft w:val="0"/>
              <w:marRight w:val="0"/>
              <w:marTop w:val="0"/>
              <w:marBottom w:val="0"/>
              <w:divBdr>
                <w:top w:val="none" w:sz="0" w:space="0" w:color="auto"/>
                <w:left w:val="none" w:sz="0" w:space="0" w:color="auto"/>
                <w:bottom w:val="none" w:sz="0" w:space="0" w:color="auto"/>
                <w:right w:val="none" w:sz="0" w:space="0" w:color="auto"/>
              </w:divBdr>
            </w:div>
          </w:divsChild>
        </w:div>
        <w:div w:id="367949407">
          <w:marLeft w:val="0"/>
          <w:marRight w:val="0"/>
          <w:marTop w:val="0"/>
          <w:marBottom w:val="0"/>
          <w:divBdr>
            <w:top w:val="none" w:sz="0" w:space="0" w:color="auto"/>
            <w:left w:val="none" w:sz="0" w:space="0" w:color="auto"/>
            <w:bottom w:val="none" w:sz="0" w:space="0" w:color="auto"/>
            <w:right w:val="none" w:sz="0" w:space="0" w:color="auto"/>
          </w:divBdr>
        </w:div>
        <w:div w:id="589702327">
          <w:marLeft w:val="0"/>
          <w:marRight w:val="0"/>
          <w:marTop w:val="75"/>
          <w:marBottom w:val="0"/>
          <w:divBdr>
            <w:top w:val="none" w:sz="0" w:space="0" w:color="auto"/>
            <w:left w:val="none" w:sz="0" w:space="0" w:color="auto"/>
            <w:bottom w:val="single" w:sz="12" w:space="0" w:color="FFCC00"/>
            <w:right w:val="none" w:sz="0" w:space="0" w:color="auto"/>
          </w:divBdr>
          <w:divsChild>
            <w:div w:id="1182544794">
              <w:marLeft w:val="0"/>
              <w:marRight w:val="0"/>
              <w:marTop w:val="0"/>
              <w:marBottom w:val="0"/>
              <w:divBdr>
                <w:top w:val="none" w:sz="0" w:space="0" w:color="auto"/>
                <w:left w:val="none" w:sz="0" w:space="0" w:color="auto"/>
                <w:bottom w:val="none" w:sz="0" w:space="0" w:color="auto"/>
                <w:right w:val="none" w:sz="0" w:space="0" w:color="auto"/>
              </w:divBdr>
            </w:div>
          </w:divsChild>
        </w:div>
        <w:div w:id="473570841">
          <w:marLeft w:val="0"/>
          <w:marRight w:val="0"/>
          <w:marTop w:val="0"/>
          <w:marBottom w:val="225"/>
          <w:divBdr>
            <w:top w:val="none" w:sz="0" w:space="0" w:color="auto"/>
            <w:left w:val="none" w:sz="0" w:space="0" w:color="auto"/>
            <w:bottom w:val="none" w:sz="0" w:space="0" w:color="auto"/>
            <w:right w:val="none" w:sz="0" w:space="0" w:color="auto"/>
          </w:divBdr>
        </w:div>
      </w:divsChild>
    </w:div>
    <w:div w:id="1199975711">
      <w:bodyDiv w:val="1"/>
      <w:marLeft w:val="0"/>
      <w:marRight w:val="0"/>
      <w:marTop w:val="0"/>
      <w:marBottom w:val="0"/>
      <w:divBdr>
        <w:top w:val="none" w:sz="0" w:space="0" w:color="auto"/>
        <w:left w:val="none" w:sz="0" w:space="0" w:color="auto"/>
        <w:bottom w:val="none" w:sz="0" w:space="0" w:color="auto"/>
        <w:right w:val="none" w:sz="0" w:space="0" w:color="auto"/>
      </w:divBdr>
    </w:div>
    <w:div w:id="1200388923">
      <w:bodyDiv w:val="1"/>
      <w:marLeft w:val="0"/>
      <w:marRight w:val="0"/>
      <w:marTop w:val="0"/>
      <w:marBottom w:val="0"/>
      <w:divBdr>
        <w:top w:val="none" w:sz="0" w:space="0" w:color="auto"/>
        <w:left w:val="none" w:sz="0" w:space="0" w:color="auto"/>
        <w:bottom w:val="none" w:sz="0" w:space="0" w:color="auto"/>
        <w:right w:val="none" w:sz="0" w:space="0" w:color="auto"/>
      </w:divBdr>
    </w:div>
    <w:div w:id="1203175952">
      <w:bodyDiv w:val="1"/>
      <w:marLeft w:val="0"/>
      <w:marRight w:val="0"/>
      <w:marTop w:val="0"/>
      <w:marBottom w:val="0"/>
      <w:divBdr>
        <w:top w:val="none" w:sz="0" w:space="0" w:color="auto"/>
        <w:left w:val="none" w:sz="0" w:space="0" w:color="auto"/>
        <w:bottom w:val="none" w:sz="0" w:space="0" w:color="auto"/>
        <w:right w:val="none" w:sz="0" w:space="0" w:color="auto"/>
      </w:divBdr>
    </w:div>
    <w:div w:id="1266772558">
      <w:bodyDiv w:val="1"/>
      <w:marLeft w:val="0"/>
      <w:marRight w:val="0"/>
      <w:marTop w:val="0"/>
      <w:marBottom w:val="0"/>
      <w:divBdr>
        <w:top w:val="none" w:sz="0" w:space="0" w:color="auto"/>
        <w:left w:val="none" w:sz="0" w:space="0" w:color="auto"/>
        <w:bottom w:val="none" w:sz="0" w:space="0" w:color="auto"/>
        <w:right w:val="none" w:sz="0" w:space="0" w:color="auto"/>
      </w:divBdr>
    </w:div>
    <w:div w:id="1292708468">
      <w:bodyDiv w:val="1"/>
      <w:marLeft w:val="0"/>
      <w:marRight w:val="0"/>
      <w:marTop w:val="0"/>
      <w:marBottom w:val="0"/>
      <w:divBdr>
        <w:top w:val="none" w:sz="0" w:space="0" w:color="auto"/>
        <w:left w:val="none" w:sz="0" w:space="0" w:color="auto"/>
        <w:bottom w:val="none" w:sz="0" w:space="0" w:color="auto"/>
        <w:right w:val="none" w:sz="0" w:space="0" w:color="auto"/>
      </w:divBdr>
    </w:div>
    <w:div w:id="1304121823">
      <w:bodyDiv w:val="1"/>
      <w:marLeft w:val="0"/>
      <w:marRight w:val="0"/>
      <w:marTop w:val="0"/>
      <w:marBottom w:val="0"/>
      <w:divBdr>
        <w:top w:val="none" w:sz="0" w:space="0" w:color="auto"/>
        <w:left w:val="none" w:sz="0" w:space="0" w:color="auto"/>
        <w:bottom w:val="none" w:sz="0" w:space="0" w:color="auto"/>
        <w:right w:val="none" w:sz="0" w:space="0" w:color="auto"/>
      </w:divBdr>
    </w:div>
    <w:div w:id="1340230338">
      <w:bodyDiv w:val="1"/>
      <w:marLeft w:val="0"/>
      <w:marRight w:val="0"/>
      <w:marTop w:val="0"/>
      <w:marBottom w:val="0"/>
      <w:divBdr>
        <w:top w:val="none" w:sz="0" w:space="0" w:color="auto"/>
        <w:left w:val="none" w:sz="0" w:space="0" w:color="auto"/>
        <w:bottom w:val="none" w:sz="0" w:space="0" w:color="auto"/>
        <w:right w:val="none" w:sz="0" w:space="0" w:color="auto"/>
      </w:divBdr>
    </w:div>
    <w:div w:id="1438863245">
      <w:bodyDiv w:val="1"/>
      <w:marLeft w:val="0"/>
      <w:marRight w:val="0"/>
      <w:marTop w:val="0"/>
      <w:marBottom w:val="0"/>
      <w:divBdr>
        <w:top w:val="none" w:sz="0" w:space="0" w:color="auto"/>
        <w:left w:val="none" w:sz="0" w:space="0" w:color="auto"/>
        <w:bottom w:val="none" w:sz="0" w:space="0" w:color="auto"/>
        <w:right w:val="none" w:sz="0" w:space="0" w:color="auto"/>
      </w:divBdr>
    </w:div>
    <w:div w:id="1524594004">
      <w:bodyDiv w:val="1"/>
      <w:marLeft w:val="0"/>
      <w:marRight w:val="0"/>
      <w:marTop w:val="0"/>
      <w:marBottom w:val="0"/>
      <w:divBdr>
        <w:top w:val="none" w:sz="0" w:space="0" w:color="auto"/>
        <w:left w:val="none" w:sz="0" w:space="0" w:color="auto"/>
        <w:bottom w:val="none" w:sz="0" w:space="0" w:color="auto"/>
        <w:right w:val="none" w:sz="0" w:space="0" w:color="auto"/>
      </w:divBdr>
      <w:divsChild>
        <w:div w:id="1263995954">
          <w:marLeft w:val="0"/>
          <w:marRight w:val="0"/>
          <w:marTop w:val="0"/>
          <w:marBottom w:val="0"/>
          <w:divBdr>
            <w:top w:val="none" w:sz="0" w:space="0" w:color="auto"/>
            <w:left w:val="none" w:sz="0" w:space="0" w:color="auto"/>
            <w:bottom w:val="none" w:sz="0" w:space="0" w:color="auto"/>
            <w:right w:val="none" w:sz="0" w:space="0" w:color="auto"/>
          </w:divBdr>
        </w:div>
      </w:divsChild>
    </w:div>
    <w:div w:id="1541552958">
      <w:bodyDiv w:val="1"/>
      <w:marLeft w:val="0"/>
      <w:marRight w:val="0"/>
      <w:marTop w:val="0"/>
      <w:marBottom w:val="0"/>
      <w:divBdr>
        <w:top w:val="none" w:sz="0" w:space="0" w:color="auto"/>
        <w:left w:val="none" w:sz="0" w:space="0" w:color="auto"/>
        <w:bottom w:val="none" w:sz="0" w:space="0" w:color="auto"/>
        <w:right w:val="none" w:sz="0" w:space="0" w:color="auto"/>
      </w:divBdr>
    </w:div>
    <w:div w:id="1577089507">
      <w:bodyDiv w:val="1"/>
      <w:marLeft w:val="0"/>
      <w:marRight w:val="0"/>
      <w:marTop w:val="0"/>
      <w:marBottom w:val="0"/>
      <w:divBdr>
        <w:top w:val="none" w:sz="0" w:space="0" w:color="auto"/>
        <w:left w:val="none" w:sz="0" w:space="0" w:color="auto"/>
        <w:bottom w:val="none" w:sz="0" w:space="0" w:color="auto"/>
        <w:right w:val="none" w:sz="0" w:space="0" w:color="auto"/>
      </w:divBdr>
    </w:div>
    <w:div w:id="1581407946">
      <w:bodyDiv w:val="1"/>
      <w:marLeft w:val="0"/>
      <w:marRight w:val="0"/>
      <w:marTop w:val="0"/>
      <w:marBottom w:val="0"/>
      <w:divBdr>
        <w:top w:val="none" w:sz="0" w:space="0" w:color="auto"/>
        <w:left w:val="none" w:sz="0" w:space="0" w:color="auto"/>
        <w:bottom w:val="none" w:sz="0" w:space="0" w:color="auto"/>
        <w:right w:val="none" w:sz="0" w:space="0" w:color="auto"/>
      </w:divBdr>
    </w:div>
    <w:div w:id="1645237967">
      <w:bodyDiv w:val="1"/>
      <w:marLeft w:val="0"/>
      <w:marRight w:val="0"/>
      <w:marTop w:val="0"/>
      <w:marBottom w:val="0"/>
      <w:divBdr>
        <w:top w:val="none" w:sz="0" w:space="0" w:color="auto"/>
        <w:left w:val="none" w:sz="0" w:space="0" w:color="auto"/>
        <w:bottom w:val="none" w:sz="0" w:space="0" w:color="auto"/>
        <w:right w:val="none" w:sz="0" w:space="0" w:color="auto"/>
      </w:divBdr>
      <w:divsChild>
        <w:div w:id="1845779186">
          <w:marLeft w:val="0"/>
          <w:marRight w:val="0"/>
          <w:marTop w:val="75"/>
          <w:marBottom w:val="0"/>
          <w:divBdr>
            <w:top w:val="none" w:sz="0" w:space="0" w:color="auto"/>
            <w:left w:val="none" w:sz="0" w:space="0" w:color="auto"/>
            <w:bottom w:val="none" w:sz="0" w:space="0" w:color="auto"/>
            <w:right w:val="none" w:sz="0" w:space="0" w:color="auto"/>
          </w:divBdr>
        </w:div>
        <w:div w:id="1002515258">
          <w:marLeft w:val="0"/>
          <w:marRight w:val="0"/>
          <w:marTop w:val="0"/>
          <w:marBottom w:val="225"/>
          <w:divBdr>
            <w:top w:val="none" w:sz="0" w:space="0" w:color="auto"/>
            <w:left w:val="none" w:sz="0" w:space="0" w:color="auto"/>
            <w:bottom w:val="none" w:sz="0" w:space="0" w:color="auto"/>
            <w:right w:val="none" w:sz="0" w:space="0" w:color="auto"/>
          </w:divBdr>
        </w:div>
        <w:div w:id="1798404991">
          <w:marLeft w:val="0"/>
          <w:marRight w:val="0"/>
          <w:marTop w:val="0"/>
          <w:marBottom w:val="75"/>
          <w:divBdr>
            <w:top w:val="single" w:sz="2" w:space="0" w:color="FFFFFF"/>
            <w:left w:val="single" w:sz="2" w:space="0" w:color="FFFFFF"/>
            <w:bottom w:val="single" w:sz="2" w:space="0" w:color="FFFFFF"/>
            <w:right w:val="single" w:sz="2" w:space="0" w:color="FFFFFF"/>
          </w:divBdr>
          <w:divsChild>
            <w:div w:id="957296896">
              <w:marLeft w:val="0"/>
              <w:marRight w:val="0"/>
              <w:marTop w:val="0"/>
              <w:marBottom w:val="0"/>
              <w:divBdr>
                <w:top w:val="none" w:sz="0" w:space="0" w:color="auto"/>
                <w:left w:val="none" w:sz="0" w:space="0" w:color="auto"/>
                <w:bottom w:val="none" w:sz="0" w:space="0" w:color="auto"/>
                <w:right w:val="none" w:sz="0" w:space="0" w:color="auto"/>
              </w:divBdr>
              <w:divsChild>
                <w:div w:id="16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244">
      <w:bodyDiv w:val="1"/>
      <w:marLeft w:val="0"/>
      <w:marRight w:val="0"/>
      <w:marTop w:val="0"/>
      <w:marBottom w:val="0"/>
      <w:divBdr>
        <w:top w:val="none" w:sz="0" w:space="0" w:color="auto"/>
        <w:left w:val="none" w:sz="0" w:space="0" w:color="auto"/>
        <w:bottom w:val="none" w:sz="0" w:space="0" w:color="auto"/>
        <w:right w:val="none" w:sz="0" w:space="0" w:color="auto"/>
      </w:divBdr>
    </w:div>
    <w:div w:id="1656060406">
      <w:bodyDiv w:val="1"/>
      <w:marLeft w:val="0"/>
      <w:marRight w:val="0"/>
      <w:marTop w:val="0"/>
      <w:marBottom w:val="0"/>
      <w:divBdr>
        <w:top w:val="none" w:sz="0" w:space="0" w:color="auto"/>
        <w:left w:val="none" w:sz="0" w:space="0" w:color="auto"/>
        <w:bottom w:val="none" w:sz="0" w:space="0" w:color="auto"/>
        <w:right w:val="none" w:sz="0" w:space="0" w:color="auto"/>
      </w:divBdr>
      <w:divsChild>
        <w:div w:id="1266881307">
          <w:marLeft w:val="0"/>
          <w:marRight w:val="0"/>
          <w:marTop w:val="75"/>
          <w:marBottom w:val="0"/>
          <w:divBdr>
            <w:top w:val="none" w:sz="0" w:space="0" w:color="auto"/>
            <w:left w:val="none" w:sz="0" w:space="0" w:color="auto"/>
            <w:bottom w:val="none" w:sz="0" w:space="0" w:color="auto"/>
            <w:right w:val="none" w:sz="0" w:space="0" w:color="auto"/>
          </w:divBdr>
        </w:div>
        <w:div w:id="72048429">
          <w:marLeft w:val="0"/>
          <w:marRight w:val="0"/>
          <w:marTop w:val="0"/>
          <w:marBottom w:val="225"/>
          <w:divBdr>
            <w:top w:val="none" w:sz="0" w:space="0" w:color="auto"/>
            <w:left w:val="none" w:sz="0" w:space="0" w:color="auto"/>
            <w:bottom w:val="none" w:sz="0" w:space="0" w:color="auto"/>
            <w:right w:val="none" w:sz="0" w:space="0" w:color="auto"/>
          </w:divBdr>
        </w:div>
      </w:divsChild>
    </w:div>
    <w:div w:id="1677802013">
      <w:bodyDiv w:val="1"/>
      <w:marLeft w:val="0"/>
      <w:marRight w:val="0"/>
      <w:marTop w:val="0"/>
      <w:marBottom w:val="0"/>
      <w:divBdr>
        <w:top w:val="none" w:sz="0" w:space="0" w:color="auto"/>
        <w:left w:val="none" w:sz="0" w:space="0" w:color="auto"/>
        <w:bottom w:val="none" w:sz="0" w:space="0" w:color="auto"/>
        <w:right w:val="none" w:sz="0" w:space="0" w:color="auto"/>
      </w:divBdr>
    </w:div>
    <w:div w:id="1679697732">
      <w:bodyDiv w:val="1"/>
      <w:marLeft w:val="0"/>
      <w:marRight w:val="0"/>
      <w:marTop w:val="0"/>
      <w:marBottom w:val="0"/>
      <w:divBdr>
        <w:top w:val="none" w:sz="0" w:space="0" w:color="auto"/>
        <w:left w:val="none" w:sz="0" w:space="0" w:color="auto"/>
        <w:bottom w:val="none" w:sz="0" w:space="0" w:color="auto"/>
        <w:right w:val="none" w:sz="0" w:space="0" w:color="auto"/>
      </w:divBdr>
      <w:divsChild>
        <w:div w:id="1482305731">
          <w:marLeft w:val="0"/>
          <w:marRight w:val="0"/>
          <w:marTop w:val="0"/>
          <w:marBottom w:val="0"/>
          <w:divBdr>
            <w:top w:val="none" w:sz="0" w:space="0" w:color="auto"/>
            <w:left w:val="none" w:sz="0" w:space="0" w:color="auto"/>
            <w:bottom w:val="none" w:sz="0" w:space="0" w:color="auto"/>
            <w:right w:val="none" w:sz="0" w:space="0" w:color="auto"/>
          </w:divBdr>
        </w:div>
      </w:divsChild>
    </w:div>
    <w:div w:id="1819036526">
      <w:bodyDiv w:val="1"/>
      <w:marLeft w:val="0"/>
      <w:marRight w:val="0"/>
      <w:marTop w:val="0"/>
      <w:marBottom w:val="0"/>
      <w:divBdr>
        <w:top w:val="none" w:sz="0" w:space="0" w:color="auto"/>
        <w:left w:val="none" w:sz="0" w:space="0" w:color="auto"/>
        <w:bottom w:val="none" w:sz="0" w:space="0" w:color="auto"/>
        <w:right w:val="none" w:sz="0" w:space="0" w:color="auto"/>
      </w:divBdr>
    </w:div>
    <w:div w:id="1868836951">
      <w:bodyDiv w:val="1"/>
      <w:marLeft w:val="0"/>
      <w:marRight w:val="0"/>
      <w:marTop w:val="0"/>
      <w:marBottom w:val="0"/>
      <w:divBdr>
        <w:top w:val="none" w:sz="0" w:space="0" w:color="auto"/>
        <w:left w:val="none" w:sz="0" w:space="0" w:color="auto"/>
        <w:bottom w:val="none" w:sz="0" w:space="0" w:color="auto"/>
        <w:right w:val="none" w:sz="0" w:space="0" w:color="auto"/>
      </w:divBdr>
    </w:div>
    <w:div w:id="1895919885">
      <w:bodyDiv w:val="1"/>
      <w:marLeft w:val="0"/>
      <w:marRight w:val="0"/>
      <w:marTop w:val="0"/>
      <w:marBottom w:val="0"/>
      <w:divBdr>
        <w:top w:val="none" w:sz="0" w:space="0" w:color="auto"/>
        <w:left w:val="none" w:sz="0" w:space="0" w:color="auto"/>
        <w:bottom w:val="none" w:sz="0" w:space="0" w:color="auto"/>
        <w:right w:val="none" w:sz="0" w:space="0" w:color="auto"/>
      </w:divBdr>
    </w:div>
    <w:div w:id="1902012368">
      <w:bodyDiv w:val="1"/>
      <w:marLeft w:val="0"/>
      <w:marRight w:val="0"/>
      <w:marTop w:val="0"/>
      <w:marBottom w:val="0"/>
      <w:divBdr>
        <w:top w:val="none" w:sz="0" w:space="0" w:color="auto"/>
        <w:left w:val="none" w:sz="0" w:space="0" w:color="auto"/>
        <w:bottom w:val="none" w:sz="0" w:space="0" w:color="auto"/>
        <w:right w:val="none" w:sz="0" w:space="0" w:color="auto"/>
      </w:divBdr>
      <w:divsChild>
        <w:div w:id="690841835">
          <w:marLeft w:val="0"/>
          <w:marRight w:val="0"/>
          <w:marTop w:val="0"/>
          <w:marBottom w:val="240"/>
          <w:divBdr>
            <w:top w:val="none" w:sz="0" w:space="0" w:color="auto"/>
            <w:left w:val="none" w:sz="0" w:space="0" w:color="auto"/>
            <w:bottom w:val="single" w:sz="6" w:space="6" w:color="E8EAED"/>
            <w:right w:val="none" w:sz="0" w:space="0" w:color="auto"/>
          </w:divBdr>
          <w:divsChild>
            <w:div w:id="635187756">
              <w:marLeft w:val="0"/>
              <w:marRight w:val="0"/>
              <w:marTop w:val="0"/>
              <w:marBottom w:val="0"/>
              <w:divBdr>
                <w:top w:val="none" w:sz="0" w:space="0" w:color="auto"/>
                <w:left w:val="none" w:sz="0" w:space="0" w:color="auto"/>
                <w:bottom w:val="none" w:sz="0" w:space="0" w:color="auto"/>
                <w:right w:val="none" w:sz="0" w:space="0" w:color="auto"/>
              </w:divBdr>
              <w:divsChild>
                <w:div w:id="91827881">
                  <w:marLeft w:val="0"/>
                  <w:marRight w:val="0"/>
                  <w:marTop w:val="0"/>
                  <w:marBottom w:val="0"/>
                  <w:divBdr>
                    <w:top w:val="none" w:sz="0" w:space="0" w:color="auto"/>
                    <w:left w:val="none" w:sz="0" w:space="0" w:color="auto"/>
                    <w:bottom w:val="none" w:sz="0" w:space="0" w:color="auto"/>
                    <w:right w:val="none" w:sz="0" w:space="0" w:color="auto"/>
                  </w:divBdr>
                </w:div>
              </w:divsChild>
            </w:div>
            <w:div w:id="1102601911">
              <w:marLeft w:val="0"/>
              <w:marRight w:val="0"/>
              <w:marTop w:val="0"/>
              <w:marBottom w:val="0"/>
              <w:divBdr>
                <w:top w:val="none" w:sz="0" w:space="0" w:color="auto"/>
                <w:left w:val="none" w:sz="0" w:space="0" w:color="auto"/>
                <w:bottom w:val="none" w:sz="0" w:space="0" w:color="auto"/>
                <w:right w:val="none" w:sz="0" w:space="0" w:color="auto"/>
              </w:divBdr>
              <w:divsChild>
                <w:div w:id="1127118452">
                  <w:marLeft w:val="0"/>
                  <w:marRight w:val="0"/>
                  <w:marTop w:val="0"/>
                  <w:marBottom w:val="0"/>
                  <w:divBdr>
                    <w:top w:val="none" w:sz="0" w:space="0" w:color="auto"/>
                    <w:left w:val="none" w:sz="0" w:space="0" w:color="auto"/>
                    <w:bottom w:val="none" w:sz="0" w:space="0" w:color="auto"/>
                    <w:right w:val="none" w:sz="0" w:space="0" w:color="auto"/>
                  </w:divBdr>
                  <w:divsChild>
                    <w:div w:id="310793947">
                      <w:marLeft w:val="0"/>
                      <w:marRight w:val="0"/>
                      <w:marTop w:val="0"/>
                      <w:marBottom w:val="30"/>
                      <w:divBdr>
                        <w:top w:val="none" w:sz="0" w:space="0" w:color="auto"/>
                        <w:left w:val="none" w:sz="0" w:space="0" w:color="auto"/>
                        <w:bottom w:val="none" w:sz="0" w:space="0" w:color="auto"/>
                        <w:right w:val="none" w:sz="0" w:space="0" w:color="auto"/>
                      </w:divBdr>
                      <w:divsChild>
                        <w:div w:id="1536885434">
                          <w:marLeft w:val="0"/>
                          <w:marRight w:val="0"/>
                          <w:marTop w:val="0"/>
                          <w:marBottom w:val="0"/>
                          <w:divBdr>
                            <w:top w:val="none" w:sz="0" w:space="0" w:color="auto"/>
                            <w:left w:val="none" w:sz="0" w:space="0" w:color="auto"/>
                            <w:bottom w:val="none" w:sz="0" w:space="0" w:color="auto"/>
                            <w:right w:val="none" w:sz="0" w:space="0" w:color="auto"/>
                          </w:divBdr>
                          <w:divsChild>
                            <w:div w:id="13028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428">
                  <w:marLeft w:val="120"/>
                  <w:marRight w:val="0"/>
                  <w:marTop w:val="0"/>
                  <w:marBottom w:val="0"/>
                  <w:divBdr>
                    <w:top w:val="none" w:sz="0" w:space="0" w:color="auto"/>
                    <w:left w:val="none" w:sz="0" w:space="0" w:color="auto"/>
                    <w:bottom w:val="none" w:sz="0" w:space="0" w:color="auto"/>
                    <w:right w:val="none" w:sz="0" w:space="0" w:color="auto"/>
                  </w:divBdr>
                  <w:divsChild>
                    <w:div w:id="1643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424">
          <w:marLeft w:val="0"/>
          <w:marRight w:val="0"/>
          <w:marTop w:val="0"/>
          <w:marBottom w:val="0"/>
          <w:divBdr>
            <w:top w:val="none" w:sz="0" w:space="0" w:color="auto"/>
            <w:left w:val="none" w:sz="0" w:space="0" w:color="auto"/>
            <w:bottom w:val="none" w:sz="0" w:space="0" w:color="auto"/>
            <w:right w:val="none" w:sz="0" w:space="0" w:color="auto"/>
          </w:divBdr>
          <w:divsChild>
            <w:div w:id="1850173853">
              <w:marLeft w:val="0"/>
              <w:marRight w:val="360"/>
              <w:marTop w:val="0"/>
              <w:marBottom w:val="0"/>
              <w:divBdr>
                <w:top w:val="none" w:sz="0" w:space="0" w:color="auto"/>
                <w:left w:val="none" w:sz="0" w:space="0" w:color="auto"/>
                <w:bottom w:val="none" w:sz="0" w:space="0" w:color="auto"/>
                <w:right w:val="none" w:sz="0" w:space="0" w:color="auto"/>
              </w:divBdr>
              <w:divsChild>
                <w:div w:id="1065836363">
                  <w:marLeft w:val="0"/>
                  <w:marRight w:val="0"/>
                  <w:marTop w:val="0"/>
                  <w:marBottom w:val="0"/>
                  <w:divBdr>
                    <w:top w:val="none" w:sz="0" w:space="0" w:color="auto"/>
                    <w:left w:val="none" w:sz="0" w:space="0" w:color="auto"/>
                    <w:bottom w:val="none" w:sz="0" w:space="0" w:color="auto"/>
                    <w:right w:val="none" w:sz="0" w:space="0" w:color="auto"/>
                  </w:divBdr>
                  <w:divsChild>
                    <w:div w:id="2118526884">
                      <w:marLeft w:val="0"/>
                      <w:marRight w:val="0"/>
                      <w:marTop w:val="0"/>
                      <w:marBottom w:val="0"/>
                      <w:divBdr>
                        <w:top w:val="none" w:sz="0" w:space="0" w:color="auto"/>
                        <w:left w:val="none" w:sz="0" w:space="0" w:color="auto"/>
                        <w:bottom w:val="none" w:sz="0" w:space="0" w:color="auto"/>
                        <w:right w:val="none" w:sz="0" w:space="0" w:color="auto"/>
                      </w:divBdr>
                      <w:divsChild>
                        <w:div w:id="1592473777">
                          <w:marLeft w:val="0"/>
                          <w:marRight w:val="0"/>
                          <w:marTop w:val="0"/>
                          <w:marBottom w:val="0"/>
                          <w:divBdr>
                            <w:top w:val="none" w:sz="0" w:space="0" w:color="auto"/>
                            <w:left w:val="none" w:sz="0" w:space="0" w:color="auto"/>
                            <w:bottom w:val="none" w:sz="0" w:space="0" w:color="auto"/>
                            <w:right w:val="none" w:sz="0" w:space="0" w:color="auto"/>
                          </w:divBdr>
                          <w:divsChild>
                            <w:div w:id="2023121329">
                              <w:marLeft w:val="0"/>
                              <w:marRight w:val="0"/>
                              <w:marTop w:val="0"/>
                              <w:marBottom w:val="0"/>
                              <w:divBdr>
                                <w:top w:val="none" w:sz="0" w:space="0" w:color="auto"/>
                                <w:left w:val="none" w:sz="0" w:space="0" w:color="auto"/>
                                <w:bottom w:val="none" w:sz="0" w:space="0" w:color="auto"/>
                                <w:right w:val="none" w:sz="0" w:space="0" w:color="auto"/>
                              </w:divBdr>
                              <w:divsChild>
                                <w:div w:id="1955208010">
                                  <w:marLeft w:val="0"/>
                                  <w:marRight w:val="0"/>
                                  <w:marTop w:val="0"/>
                                  <w:marBottom w:val="0"/>
                                  <w:divBdr>
                                    <w:top w:val="none" w:sz="0" w:space="0" w:color="auto"/>
                                    <w:left w:val="none" w:sz="0" w:space="0" w:color="auto"/>
                                    <w:bottom w:val="none" w:sz="0" w:space="0" w:color="auto"/>
                                    <w:right w:val="none" w:sz="0" w:space="0" w:color="auto"/>
                                  </w:divBdr>
                                  <w:divsChild>
                                    <w:div w:id="2010214407">
                                      <w:marLeft w:val="0"/>
                                      <w:marRight w:val="0"/>
                                      <w:marTop w:val="0"/>
                                      <w:marBottom w:val="0"/>
                                      <w:divBdr>
                                        <w:top w:val="none" w:sz="0" w:space="0" w:color="auto"/>
                                        <w:left w:val="none" w:sz="0" w:space="0" w:color="auto"/>
                                        <w:bottom w:val="none" w:sz="0" w:space="0" w:color="auto"/>
                                        <w:right w:val="none" w:sz="0" w:space="0" w:color="auto"/>
                                      </w:divBdr>
                                      <w:divsChild>
                                        <w:div w:id="1406996232">
                                          <w:marLeft w:val="0"/>
                                          <w:marRight w:val="0"/>
                                          <w:marTop w:val="0"/>
                                          <w:marBottom w:val="0"/>
                                          <w:divBdr>
                                            <w:top w:val="none" w:sz="0" w:space="0" w:color="auto"/>
                                            <w:left w:val="none" w:sz="0" w:space="0" w:color="auto"/>
                                            <w:bottom w:val="none" w:sz="0" w:space="0" w:color="auto"/>
                                            <w:right w:val="none" w:sz="0" w:space="0" w:color="auto"/>
                                          </w:divBdr>
                                          <w:divsChild>
                                            <w:div w:id="964047791">
                                              <w:marLeft w:val="0"/>
                                              <w:marRight w:val="240"/>
                                              <w:marTop w:val="0"/>
                                              <w:marBottom w:val="0"/>
                                              <w:divBdr>
                                                <w:top w:val="none" w:sz="0" w:space="0" w:color="auto"/>
                                                <w:left w:val="none" w:sz="0" w:space="0" w:color="auto"/>
                                                <w:bottom w:val="none" w:sz="0" w:space="0" w:color="auto"/>
                                                <w:right w:val="none" w:sz="0" w:space="0" w:color="auto"/>
                                              </w:divBdr>
                                              <w:divsChild>
                                                <w:div w:id="707604198">
                                                  <w:marLeft w:val="0"/>
                                                  <w:marRight w:val="0"/>
                                                  <w:marTop w:val="0"/>
                                                  <w:marBottom w:val="0"/>
                                                  <w:divBdr>
                                                    <w:top w:val="none" w:sz="0" w:space="0" w:color="auto"/>
                                                    <w:left w:val="none" w:sz="0" w:space="0" w:color="auto"/>
                                                    <w:bottom w:val="none" w:sz="0" w:space="0" w:color="auto"/>
                                                    <w:right w:val="none" w:sz="0" w:space="0" w:color="auto"/>
                                                  </w:divBdr>
                                                  <w:divsChild>
                                                    <w:div w:id="964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5728">
                                          <w:marLeft w:val="0"/>
                                          <w:marRight w:val="0"/>
                                          <w:marTop w:val="0"/>
                                          <w:marBottom w:val="0"/>
                                          <w:divBdr>
                                            <w:top w:val="none" w:sz="0" w:space="0" w:color="auto"/>
                                            <w:left w:val="none" w:sz="0" w:space="0" w:color="auto"/>
                                            <w:bottom w:val="none" w:sz="0" w:space="0" w:color="auto"/>
                                            <w:right w:val="none" w:sz="0" w:space="0" w:color="auto"/>
                                          </w:divBdr>
                                          <w:divsChild>
                                            <w:div w:id="1017584081">
                                              <w:marLeft w:val="0"/>
                                              <w:marRight w:val="0"/>
                                              <w:marTop w:val="0"/>
                                              <w:marBottom w:val="120"/>
                                              <w:divBdr>
                                                <w:top w:val="none" w:sz="0" w:space="0" w:color="auto"/>
                                                <w:left w:val="none" w:sz="0" w:space="0" w:color="auto"/>
                                                <w:bottom w:val="none" w:sz="0" w:space="0" w:color="auto"/>
                                                <w:right w:val="none" w:sz="0" w:space="0" w:color="auto"/>
                                              </w:divBdr>
                                              <w:divsChild>
                                                <w:div w:id="1867022043">
                                                  <w:marLeft w:val="0"/>
                                                  <w:marRight w:val="0"/>
                                                  <w:marTop w:val="0"/>
                                                  <w:marBottom w:val="0"/>
                                                  <w:divBdr>
                                                    <w:top w:val="none" w:sz="0" w:space="0" w:color="auto"/>
                                                    <w:left w:val="none" w:sz="0" w:space="0" w:color="auto"/>
                                                    <w:bottom w:val="none" w:sz="0" w:space="0" w:color="auto"/>
                                                    <w:right w:val="none" w:sz="0" w:space="0" w:color="auto"/>
                                                  </w:divBdr>
                                                  <w:divsChild>
                                                    <w:div w:id="89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991">
                          <w:marLeft w:val="0"/>
                          <w:marRight w:val="0"/>
                          <w:marTop w:val="120"/>
                          <w:marBottom w:val="180"/>
                          <w:divBdr>
                            <w:top w:val="none" w:sz="0" w:space="0" w:color="auto"/>
                            <w:left w:val="none" w:sz="0" w:space="0" w:color="auto"/>
                            <w:bottom w:val="none" w:sz="0" w:space="0" w:color="auto"/>
                            <w:right w:val="none" w:sz="0" w:space="0" w:color="auto"/>
                          </w:divBdr>
                          <w:divsChild>
                            <w:div w:id="814759106">
                              <w:marLeft w:val="0"/>
                              <w:marRight w:val="0"/>
                              <w:marTop w:val="0"/>
                              <w:marBottom w:val="0"/>
                              <w:divBdr>
                                <w:top w:val="none" w:sz="0" w:space="0" w:color="auto"/>
                                <w:left w:val="none" w:sz="0" w:space="0" w:color="auto"/>
                                <w:bottom w:val="none" w:sz="0" w:space="0" w:color="auto"/>
                                <w:right w:val="none" w:sz="0" w:space="0" w:color="auto"/>
                              </w:divBdr>
                              <w:divsChild>
                                <w:div w:id="159204071">
                                  <w:marLeft w:val="0"/>
                                  <w:marRight w:val="0"/>
                                  <w:marTop w:val="0"/>
                                  <w:marBottom w:val="0"/>
                                  <w:divBdr>
                                    <w:top w:val="none" w:sz="0" w:space="0" w:color="auto"/>
                                    <w:left w:val="none" w:sz="0" w:space="0" w:color="auto"/>
                                    <w:bottom w:val="none" w:sz="0" w:space="0" w:color="auto"/>
                                    <w:right w:val="none" w:sz="0" w:space="0" w:color="auto"/>
                                  </w:divBdr>
                                  <w:divsChild>
                                    <w:div w:id="297730215">
                                      <w:marLeft w:val="0"/>
                                      <w:marRight w:val="0"/>
                                      <w:marTop w:val="0"/>
                                      <w:marBottom w:val="0"/>
                                      <w:divBdr>
                                        <w:top w:val="none" w:sz="0" w:space="0" w:color="auto"/>
                                        <w:left w:val="none" w:sz="0" w:space="0" w:color="auto"/>
                                        <w:bottom w:val="none" w:sz="0" w:space="0" w:color="auto"/>
                                        <w:right w:val="none" w:sz="0" w:space="0" w:color="auto"/>
                                      </w:divBdr>
                                      <w:divsChild>
                                        <w:div w:id="1916426744">
                                          <w:marLeft w:val="0"/>
                                          <w:marRight w:val="0"/>
                                          <w:marTop w:val="0"/>
                                          <w:marBottom w:val="0"/>
                                          <w:divBdr>
                                            <w:top w:val="none" w:sz="0" w:space="0" w:color="auto"/>
                                            <w:left w:val="none" w:sz="0" w:space="0" w:color="auto"/>
                                            <w:bottom w:val="none" w:sz="0" w:space="0" w:color="auto"/>
                                            <w:right w:val="none" w:sz="0" w:space="0" w:color="auto"/>
                                          </w:divBdr>
                                          <w:divsChild>
                                            <w:div w:id="1683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581">
                              <w:marLeft w:val="0"/>
                              <w:marRight w:val="0"/>
                              <w:marTop w:val="0"/>
                              <w:marBottom w:val="0"/>
                              <w:divBdr>
                                <w:top w:val="none" w:sz="0" w:space="0" w:color="auto"/>
                                <w:left w:val="none" w:sz="0" w:space="0" w:color="auto"/>
                                <w:bottom w:val="none" w:sz="0" w:space="0" w:color="auto"/>
                                <w:right w:val="none" w:sz="0" w:space="0" w:color="auto"/>
                              </w:divBdr>
                              <w:divsChild>
                                <w:div w:id="94832864">
                                  <w:marLeft w:val="0"/>
                                  <w:marRight w:val="0"/>
                                  <w:marTop w:val="0"/>
                                  <w:marBottom w:val="0"/>
                                  <w:divBdr>
                                    <w:top w:val="none" w:sz="0" w:space="0" w:color="auto"/>
                                    <w:left w:val="none" w:sz="0" w:space="0" w:color="auto"/>
                                    <w:bottom w:val="none" w:sz="0" w:space="0" w:color="auto"/>
                                    <w:right w:val="none" w:sz="0" w:space="0" w:color="auto"/>
                                  </w:divBdr>
                                </w:div>
                                <w:div w:id="263266813">
                                  <w:marLeft w:val="0"/>
                                  <w:marRight w:val="0"/>
                                  <w:marTop w:val="0"/>
                                  <w:marBottom w:val="0"/>
                                  <w:divBdr>
                                    <w:top w:val="none" w:sz="0" w:space="0" w:color="auto"/>
                                    <w:left w:val="none" w:sz="0" w:space="0" w:color="auto"/>
                                    <w:bottom w:val="none" w:sz="0" w:space="0" w:color="auto"/>
                                    <w:right w:val="none" w:sz="0" w:space="0" w:color="auto"/>
                                  </w:divBdr>
                                </w:div>
                                <w:div w:id="1797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2984">
      <w:bodyDiv w:val="1"/>
      <w:marLeft w:val="0"/>
      <w:marRight w:val="0"/>
      <w:marTop w:val="0"/>
      <w:marBottom w:val="0"/>
      <w:divBdr>
        <w:top w:val="none" w:sz="0" w:space="0" w:color="auto"/>
        <w:left w:val="none" w:sz="0" w:space="0" w:color="auto"/>
        <w:bottom w:val="none" w:sz="0" w:space="0" w:color="auto"/>
        <w:right w:val="none" w:sz="0" w:space="0" w:color="auto"/>
      </w:divBdr>
      <w:divsChild>
        <w:div w:id="332726744">
          <w:marLeft w:val="0"/>
          <w:marRight w:val="0"/>
          <w:marTop w:val="0"/>
          <w:marBottom w:val="0"/>
          <w:divBdr>
            <w:top w:val="none" w:sz="0" w:space="0" w:color="auto"/>
            <w:left w:val="none" w:sz="0" w:space="0" w:color="auto"/>
            <w:bottom w:val="none" w:sz="0" w:space="0" w:color="auto"/>
            <w:right w:val="none" w:sz="0" w:space="0" w:color="auto"/>
          </w:divBdr>
        </w:div>
      </w:divsChild>
    </w:div>
    <w:div w:id="1964575632">
      <w:bodyDiv w:val="1"/>
      <w:marLeft w:val="0"/>
      <w:marRight w:val="0"/>
      <w:marTop w:val="0"/>
      <w:marBottom w:val="0"/>
      <w:divBdr>
        <w:top w:val="none" w:sz="0" w:space="0" w:color="auto"/>
        <w:left w:val="none" w:sz="0" w:space="0" w:color="auto"/>
        <w:bottom w:val="none" w:sz="0" w:space="0" w:color="auto"/>
        <w:right w:val="none" w:sz="0" w:space="0" w:color="auto"/>
      </w:divBdr>
    </w:div>
    <w:div w:id="1973486210">
      <w:bodyDiv w:val="1"/>
      <w:marLeft w:val="0"/>
      <w:marRight w:val="0"/>
      <w:marTop w:val="0"/>
      <w:marBottom w:val="0"/>
      <w:divBdr>
        <w:top w:val="none" w:sz="0" w:space="0" w:color="auto"/>
        <w:left w:val="none" w:sz="0" w:space="0" w:color="auto"/>
        <w:bottom w:val="none" w:sz="0" w:space="0" w:color="auto"/>
        <w:right w:val="none" w:sz="0" w:space="0" w:color="auto"/>
      </w:divBdr>
    </w:div>
    <w:div w:id="2079863929">
      <w:bodyDiv w:val="1"/>
      <w:marLeft w:val="0"/>
      <w:marRight w:val="0"/>
      <w:marTop w:val="0"/>
      <w:marBottom w:val="0"/>
      <w:divBdr>
        <w:top w:val="none" w:sz="0" w:space="0" w:color="auto"/>
        <w:left w:val="none" w:sz="0" w:space="0" w:color="auto"/>
        <w:bottom w:val="none" w:sz="0" w:space="0" w:color="auto"/>
        <w:right w:val="none" w:sz="0" w:space="0" w:color="auto"/>
      </w:divBdr>
      <w:divsChild>
        <w:div w:id="761027290">
          <w:marLeft w:val="0"/>
          <w:marRight w:val="0"/>
          <w:marTop w:val="0"/>
          <w:marBottom w:val="0"/>
          <w:divBdr>
            <w:top w:val="none" w:sz="0" w:space="0" w:color="auto"/>
            <w:left w:val="none" w:sz="0" w:space="0" w:color="auto"/>
            <w:bottom w:val="none" w:sz="0" w:space="0" w:color="auto"/>
            <w:right w:val="none" w:sz="0" w:space="0" w:color="auto"/>
          </w:divBdr>
        </w:div>
        <w:div w:id="702751689">
          <w:marLeft w:val="0"/>
          <w:marRight w:val="0"/>
          <w:marTop w:val="75"/>
          <w:marBottom w:val="0"/>
          <w:divBdr>
            <w:top w:val="none" w:sz="0" w:space="0" w:color="auto"/>
            <w:left w:val="none" w:sz="0" w:space="0" w:color="auto"/>
            <w:bottom w:val="single" w:sz="12" w:space="0" w:color="11FF00"/>
            <w:right w:val="none" w:sz="0" w:space="0" w:color="auto"/>
          </w:divBdr>
          <w:divsChild>
            <w:div w:id="215313176">
              <w:marLeft w:val="0"/>
              <w:marRight w:val="0"/>
              <w:marTop w:val="0"/>
              <w:marBottom w:val="0"/>
              <w:divBdr>
                <w:top w:val="none" w:sz="0" w:space="0" w:color="auto"/>
                <w:left w:val="none" w:sz="0" w:space="0" w:color="auto"/>
                <w:bottom w:val="none" w:sz="0" w:space="0" w:color="auto"/>
                <w:right w:val="none" w:sz="0" w:space="0" w:color="auto"/>
              </w:divBdr>
            </w:div>
          </w:divsChild>
        </w:div>
        <w:div w:id="1827044593">
          <w:marLeft w:val="0"/>
          <w:marRight w:val="0"/>
          <w:marTop w:val="0"/>
          <w:marBottom w:val="0"/>
          <w:divBdr>
            <w:top w:val="none" w:sz="0" w:space="0" w:color="auto"/>
            <w:left w:val="none" w:sz="0" w:space="0" w:color="auto"/>
            <w:bottom w:val="none" w:sz="0" w:space="0" w:color="auto"/>
            <w:right w:val="none" w:sz="0" w:space="0" w:color="auto"/>
          </w:divBdr>
        </w:div>
        <w:div w:id="1106466835">
          <w:marLeft w:val="0"/>
          <w:marRight w:val="0"/>
          <w:marTop w:val="75"/>
          <w:marBottom w:val="0"/>
          <w:divBdr>
            <w:top w:val="none" w:sz="0" w:space="0" w:color="auto"/>
            <w:left w:val="none" w:sz="0" w:space="0" w:color="auto"/>
            <w:bottom w:val="single" w:sz="12" w:space="0" w:color="84BB7B"/>
            <w:right w:val="none" w:sz="0" w:space="0" w:color="auto"/>
          </w:divBdr>
          <w:divsChild>
            <w:div w:id="1483110290">
              <w:marLeft w:val="0"/>
              <w:marRight w:val="0"/>
              <w:marTop w:val="0"/>
              <w:marBottom w:val="0"/>
              <w:divBdr>
                <w:top w:val="none" w:sz="0" w:space="0" w:color="auto"/>
                <w:left w:val="none" w:sz="0" w:space="0" w:color="auto"/>
                <w:bottom w:val="none" w:sz="0" w:space="0" w:color="auto"/>
                <w:right w:val="none" w:sz="0" w:space="0" w:color="auto"/>
              </w:divBdr>
            </w:div>
          </w:divsChild>
        </w:div>
        <w:div w:id="2005936266">
          <w:marLeft w:val="0"/>
          <w:marRight w:val="0"/>
          <w:marTop w:val="0"/>
          <w:marBottom w:val="0"/>
          <w:divBdr>
            <w:top w:val="none" w:sz="0" w:space="0" w:color="auto"/>
            <w:left w:val="none" w:sz="0" w:space="0" w:color="auto"/>
            <w:bottom w:val="none" w:sz="0" w:space="0" w:color="auto"/>
            <w:right w:val="none" w:sz="0" w:space="0" w:color="auto"/>
          </w:divBdr>
        </w:div>
        <w:div w:id="1966034708">
          <w:marLeft w:val="0"/>
          <w:marRight w:val="0"/>
          <w:marTop w:val="75"/>
          <w:marBottom w:val="0"/>
          <w:divBdr>
            <w:top w:val="none" w:sz="0" w:space="0" w:color="auto"/>
            <w:left w:val="none" w:sz="0" w:space="0" w:color="auto"/>
            <w:bottom w:val="single" w:sz="12" w:space="0" w:color="FFCC00"/>
            <w:right w:val="none" w:sz="0" w:space="0" w:color="auto"/>
          </w:divBdr>
          <w:divsChild>
            <w:div w:id="1543715757">
              <w:marLeft w:val="0"/>
              <w:marRight w:val="0"/>
              <w:marTop w:val="0"/>
              <w:marBottom w:val="0"/>
              <w:divBdr>
                <w:top w:val="none" w:sz="0" w:space="0" w:color="auto"/>
                <w:left w:val="none" w:sz="0" w:space="0" w:color="auto"/>
                <w:bottom w:val="none" w:sz="0" w:space="0" w:color="auto"/>
                <w:right w:val="none" w:sz="0" w:space="0" w:color="auto"/>
              </w:divBdr>
            </w:div>
          </w:divsChild>
        </w:div>
        <w:div w:id="1760523362">
          <w:marLeft w:val="0"/>
          <w:marRight w:val="0"/>
          <w:marTop w:val="0"/>
          <w:marBottom w:val="225"/>
          <w:divBdr>
            <w:top w:val="none" w:sz="0" w:space="0" w:color="auto"/>
            <w:left w:val="none" w:sz="0" w:space="0" w:color="auto"/>
            <w:bottom w:val="none" w:sz="0" w:space="0" w:color="auto"/>
            <w:right w:val="none" w:sz="0" w:space="0" w:color="auto"/>
          </w:divBdr>
        </w:div>
      </w:divsChild>
    </w:div>
    <w:div w:id="2128307568">
      <w:bodyDiv w:val="1"/>
      <w:marLeft w:val="0"/>
      <w:marRight w:val="0"/>
      <w:marTop w:val="0"/>
      <w:marBottom w:val="0"/>
      <w:divBdr>
        <w:top w:val="none" w:sz="0" w:space="0" w:color="auto"/>
        <w:left w:val="none" w:sz="0" w:space="0" w:color="auto"/>
        <w:bottom w:val="none" w:sz="0" w:space="0" w:color="auto"/>
        <w:right w:val="none" w:sz="0" w:space="0" w:color="auto"/>
      </w:divBdr>
      <w:divsChild>
        <w:div w:id="538397999">
          <w:marLeft w:val="0"/>
          <w:marRight w:val="0"/>
          <w:marTop w:val="0"/>
          <w:marBottom w:val="0"/>
          <w:divBdr>
            <w:top w:val="none" w:sz="0" w:space="0" w:color="auto"/>
            <w:left w:val="none" w:sz="0" w:space="0" w:color="auto"/>
            <w:bottom w:val="none" w:sz="0" w:space="0" w:color="auto"/>
            <w:right w:val="none" w:sz="0" w:space="0" w:color="auto"/>
          </w:divBdr>
        </w:div>
        <w:div w:id="2102143281">
          <w:marLeft w:val="0"/>
          <w:marRight w:val="0"/>
          <w:marTop w:val="75"/>
          <w:marBottom w:val="0"/>
          <w:divBdr>
            <w:top w:val="none" w:sz="0" w:space="0" w:color="auto"/>
            <w:left w:val="none" w:sz="0" w:space="0" w:color="auto"/>
            <w:bottom w:val="single" w:sz="12" w:space="0" w:color="11FF00"/>
            <w:right w:val="none" w:sz="0" w:space="0" w:color="auto"/>
          </w:divBdr>
          <w:divsChild>
            <w:div w:id="394397856">
              <w:marLeft w:val="0"/>
              <w:marRight w:val="0"/>
              <w:marTop w:val="0"/>
              <w:marBottom w:val="0"/>
              <w:divBdr>
                <w:top w:val="none" w:sz="0" w:space="0" w:color="auto"/>
                <w:left w:val="none" w:sz="0" w:space="0" w:color="auto"/>
                <w:bottom w:val="none" w:sz="0" w:space="0" w:color="auto"/>
                <w:right w:val="none" w:sz="0" w:space="0" w:color="auto"/>
              </w:divBdr>
            </w:div>
          </w:divsChild>
        </w:div>
        <w:div w:id="1254242058">
          <w:marLeft w:val="0"/>
          <w:marRight w:val="0"/>
          <w:marTop w:val="0"/>
          <w:marBottom w:val="0"/>
          <w:divBdr>
            <w:top w:val="none" w:sz="0" w:space="0" w:color="auto"/>
            <w:left w:val="none" w:sz="0" w:space="0" w:color="auto"/>
            <w:bottom w:val="none" w:sz="0" w:space="0" w:color="auto"/>
            <w:right w:val="none" w:sz="0" w:space="0" w:color="auto"/>
          </w:divBdr>
        </w:div>
        <w:div w:id="1537042197">
          <w:marLeft w:val="0"/>
          <w:marRight w:val="0"/>
          <w:marTop w:val="75"/>
          <w:marBottom w:val="0"/>
          <w:divBdr>
            <w:top w:val="none" w:sz="0" w:space="0" w:color="auto"/>
            <w:left w:val="none" w:sz="0" w:space="0" w:color="auto"/>
            <w:bottom w:val="single" w:sz="12" w:space="0" w:color="84BB7B"/>
            <w:right w:val="none" w:sz="0" w:space="0" w:color="auto"/>
          </w:divBdr>
          <w:divsChild>
            <w:div w:id="602810570">
              <w:marLeft w:val="0"/>
              <w:marRight w:val="0"/>
              <w:marTop w:val="0"/>
              <w:marBottom w:val="0"/>
              <w:divBdr>
                <w:top w:val="none" w:sz="0" w:space="0" w:color="auto"/>
                <w:left w:val="none" w:sz="0" w:space="0" w:color="auto"/>
                <w:bottom w:val="none" w:sz="0" w:space="0" w:color="auto"/>
                <w:right w:val="none" w:sz="0" w:space="0" w:color="auto"/>
              </w:divBdr>
            </w:div>
          </w:divsChild>
        </w:div>
        <w:div w:id="990326311">
          <w:marLeft w:val="0"/>
          <w:marRight w:val="0"/>
          <w:marTop w:val="0"/>
          <w:marBottom w:val="0"/>
          <w:divBdr>
            <w:top w:val="none" w:sz="0" w:space="0" w:color="auto"/>
            <w:left w:val="none" w:sz="0" w:space="0" w:color="auto"/>
            <w:bottom w:val="none" w:sz="0" w:space="0" w:color="auto"/>
            <w:right w:val="none" w:sz="0" w:space="0" w:color="auto"/>
          </w:divBdr>
        </w:div>
        <w:div w:id="937981136">
          <w:marLeft w:val="0"/>
          <w:marRight w:val="0"/>
          <w:marTop w:val="75"/>
          <w:marBottom w:val="0"/>
          <w:divBdr>
            <w:top w:val="none" w:sz="0" w:space="0" w:color="auto"/>
            <w:left w:val="none" w:sz="0" w:space="0" w:color="auto"/>
            <w:bottom w:val="single" w:sz="12" w:space="0" w:color="FFCC00"/>
            <w:right w:val="none" w:sz="0" w:space="0" w:color="auto"/>
          </w:divBdr>
          <w:divsChild>
            <w:div w:id="284393369">
              <w:marLeft w:val="0"/>
              <w:marRight w:val="0"/>
              <w:marTop w:val="0"/>
              <w:marBottom w:val="0"/>
              <w:divBdr>
                <w:top w:val="none" w:sz="0" w:space="0" w:color="auto"/>
                <w:left w:val="none" w:sz="0" w:space="0" w:color="auto"/>
                <w:bottom w:val="none" w:sz="0" w:space="0" w:color="auto"/>
                <w:right w:val="none" w:sz="0" w:space="0" w:color="auto"/>
              </w:divBdr>
            </w:div>
          </w:divsChild>
        </w:div>
        <w:div w:id="10069095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croaxis.com/financials/JPM/JPMorgan-Chase-C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macroaxis.com/volatility/JPM/JPMorgan-Chase-Co"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macroaxis.com/financials/JPM/JPMorgan-Chase-C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croaxis.com/invest/technicalIndicator/JPM/Risk-Adjusted-Performance" TargetMode="External"/><Relationship Id="rId5" Type="http://schemas.openxmlformats.org/officeDocument/2006/relationships/webSettings" Target="webSettings.xml"/><Relationship Id="rId15" Type="http://schemas.openxmlformats.org/officeDocument/2006/relationships/hyperlink" Target="https://www.macroaxis.com/invest/beta/JPM" TargetMode="External"/><Relationship Id="rId10" Type="http://schemas.openxmlformats.org/officeDocument/2006/relationships/hyperlink" Target="https://www.macroaxis.com/technical-analysis/JPM/JPMorgan-Chase-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acroaxis.com/investing/JPM" TargetMode="External"/><Relationship Id="rId14" Type="http://schemas.openxmlformats.org/officeDocument/2006/relationships/hyperlink" Target="https://www.macroaxis.com/stocks/beta/JP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CE3AA-4E86-43F9-AF16-D19FDE3A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7</cp:revision>
  <dcterms:created xsi:type="dcterms:W3CDTF">2024-03-30T14:31:00Z</dcterms:created>
  <dcterms:modified xsi:type="dcterms:W3CDTF">2024-04-02T13:10:00Z</dcterms:modified>
</cp:coreProperties>
</file>