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324668" w:displacedByCustomXml="next"/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0E5EB0" w14:textId="441C456E" w:rsidR="00E45F49" w:rsidRPr="00915B5E" w:rsidRDefault="008E1DE1" w:rsidP="00915B5E">
          <w:pPr>
            <w:pStyle w:val="Heading10"/>
          </w:pPr>
          <w:r w:rsidRPr="00915B5E">
            <w:t>Incident Management Policy</w:t>
          </w:r>
        </w:p>
      </w:sdtContent>
    </w:sdt>
    <w:bookmarkEnd w:id="0" w:displacedByCustomXml="prev"/>
    <w:p w14:paraId="400E5EB1" w14:textId="7294E13B" w:rsidR="000F2233" w:rsidRPr="00F74926" w:rsidRDefault="000F2233" w:rsidP="0040704C">
      <w:pPr>
        <w:pStyle w:val="Heading20"/>
      </w:pPr>
      <w:bookmarkStart w:id="1" w:name="_Toc49324669"/>
      <w:r w:rsidRPr="00F74926">
        <w:t>Purpose</w:t>
      </w:r>
      <w:bookmarkEnd w:id="1"/>
    </w:p>
    <w:p w14:paraId="0D6C942B" w14:textId="7294E13B" w:rsidR="009D72BB" w:rsidRPr="00672938" w:rsidRDefault="009D72BB" w:rsidP="0040704C">
      <w:pPr>
        <w:pStyle w:val="MainTex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794565925"/>
          <w:placeholder>
            <w:docPart w:val="45B0CB171FD44CE68A1B3528D5A1BE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74926" w:rsidRPr="00672938">
            <w:rPr>
              <w:rFonts w:ascii="Roboto" w:hAnsi="Roboto"/>
              <w:szCs w:val="20"/>
            </w:rPr>
            <w:t>(Company)</w:t>
          </w:r>
        </w:sdtContent>
      </w:sdt>
      <w:r w:rsidRPr="00672938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1501930837"/>
          <w:placeholder>
            <w:docPart w:val="F16888A5D5654AC9BEB92C9320F0DC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E150F" w:rsidRPr="00672938">
            <w:rPr>
              <w:rFonts w:ascii="Roboto" w:hAnsi="Roboto"/>
              <w:szCs w:val="20"/>
            </w:rPr>
            <w:t>Incident Management Policy</w:t>
          </w:r>
        </w:sdtContent>
      </w:sdt>
      <w:r w:rsidRPr="00672938">
        <w:rPr>
          <w:rFonts w:ascii="Roboto" w:hAnsi="Roboto"/>
          <w:szCs w:val="20"/>
        </w:rPr>
        <w:t xml:space="preserve"> </w:t>
      </w:r>
      <w:r w:rsidR="00CD6CCF" w:rsidRPr="00672938">
        <w:rPr>
          <w:rFonts w:ascii="Roboto" w:hAnsi="Roboto"/>
          <w:szCs w:val="20"/>
        </w:rPr>
        <w:t xml:space="preserve">is to describe the requirements for dealing with </w:t>
      </w:r>
      <w:r w:rsidR="008654FB" w:rsidRPr="00672938">
        <w:rPr>
          <w:rFonts w:ascii="Roboto" w:hAnsi="Roboto"/>
          <w:szCs w:val="20"/>
        </w:rPr>
        <w:t xml:space="preserve">information </w:t>
      </w:r>
      <w:r w:rsidR="00CD6CCF" w:rsidRPr="00672938">
        <w:rPr>
          <w:rFonts w:ascii="Roboto" w:hAnsi="Roboto"/>
          <w:szCs w:val="20"/>
        </w:rPr>
        <w:t>security incidents.</w:t>
      </w:r>
    </w:p>
    <w:p w14:paraId="400E5EB3" w14:textId="58D8801D" w:rsidR="000F2233" w:rsidRPr="00F74926" w:rsidRDefault="00ED1630" w:rsidP="0040704C">
      <w:pPr>
        <w:pStyle w:val="Heading20"/>
        <w:rPr>
          <w:rFonts w:eastAsiaTheme="minorHAnsi" w:cstheme="minorBidi"/>
          <w:color w:val="auto"/>
          <w:sz w:val="22"/>
          <w:szCs w:val="22"/>
        </w:rPr>
      </w:pPr>
      <w:bookmarkStart w:id="2" w:name="_Toc49324670"/>
      <w:r w:rsidRPr="00F74926">
        <w:t>Audience</w:t>
      </w:r>
      <w:bookmarkEnd w:id="2"/>
    </w:p>
    <w:p w14:paraId="4FFCC229" w14:textId="1DCA299C" w:rsidR="00CD6CCF" w:rsidRPr="00672938" w:rsidRDefault="00224978" w:rsidP="0040704C">
      <w:pPr>
        <w:pStyle w:val="MainTex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E150F" w:rsidRPr="00672938">
            <w:rPr>
              <w:rFonts w:ascii="Roboto" w:hAnsi="Roboto"/>
              <w:szCs w:val="20"/>
            </w:rPr>
            <w:t>Incident Management Policy</w:t>
          </w:r>
        </w:sdtContent>
      </w:sdt>
      <w:r w:rsidRPr="00672938">
        <w:rPr>
          <w:rFonts w:ascii="Roboto" w:hAnsi="Roboto"/>
          <w:szCs w:val="20"/>
        </w:rPr>
        <w:t xml:space="preserve"> applies</w:t>
      </w:r>
      <w:r w:rsidR="00CD6CCF" w:rsidRPr="00672938">
        <w:rPr>
          <w:rFonts w:ascii="Roboto" w:hAnsi="Roboto"/>
          <w:szCs w:val="20"/>
        </w:rPr>
        <w:t xml:space="preserve"> to</w:t>
      </w:r>
      <w:r w:rsidR="002409A6" w:rsidRPr="00672938">
        <w:rPr>
          <w:rFonts w:ascii="Roboto" w:hAnsi="Roboto"/>
          <w:szCs w:val="20"/>
        </w:rPr>
        <w:t xml:space="preserve"> executive </w:t>
      </w:r>
      <w:r w:rsidR="00A93931" w:rsidRPr="00672938">
        <w:rPr>
          <w:rFonts w:ascii="Roboto" w:hAnsi="Roboto"/>
          <w:szCs w:val="20"/>
        </w:rPr>
        <w:t>management</w:t>
      </w:r>
      <w:r w:rsidR="002409A6" w:rsidRPr="00672938">
        <w:rPr>
          <w:rFonts w:ascii="Roboto" w:hAnsi="Roboto"/>
          <w:szCs w:val="20"/>
        </w:rPr>
        <w:t xml:space="preserve"> and other</w:t>
      </w:r>
      <w:r w:rsidR="00CD6CCF" w:rsidRPr="00672938">
        <w:rPr>
          <w:rFonts w:ascii="Roboto" w:hAnsi="Roboto"/>
          <w:szCs w:val="20"/>
        </w:rPr>
        <w:t xml:space="preserve"> individuals </w:t>
      </w:r>
      <w:r w:rsidR="00542829" w:rsidRPr="00672938">
        <w:rPr>
          <w:rFonts w:ascii="Roboto" w:hAnsi="Roboto"/>
          <w:szCs w:val="20"/>
        </w:rPr>
        <w:t>responsible for protecting</w:t>
      </w:r>
      <w:r w:rsidR="00CD6CCF" w:rsidRPr="00672938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Company"/>
          <w:tag w:val=""/>
          <w:id w:val="-1061936396"/>
          <w:placeholder>
            <w:docPart w:val="AE1AD7301B004306BDF3E527E86FE38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74926" w:rsidRPr="00672938">
            <w:rPr>
              <w:rFonts w:ascii="Roboto" w:hAnsi="Roboto"/>
              <w:szCs w:val="20"/>
            </w:rPr>
            <w:t>(Company)</w:t>
          </w:r>
        </w:sdtContent>
      </w:sdt>
      <w:r w:rsidR="00CD6CCF" w:rsidRPr="00672938">
        <w:rPr>
          <w:rFonts w:ascii="Roboto" w:hAnsi="Roboto"/>
          <w:szCs w:val="20"/>
        </w:rPr>
        <w:t xml:space="preserve"> Information Resource</w:t>
      </w:r>
      <w:r w:rsidR="00542829" w:rsidRPr="00672938">
        <w:rPr>
          <w:rFonts w:ascii="Roboto" w:hAnsi="Roboto"/>
          <w:szCs w:val="20"/>
        </w:rPr>
        <w:t>s</w:t>
      </w:r>
      <w:r w:rsidR="00CD6CCF" w:rsidRPr="00672938">
        <w:rPr>
          <w:rFonts w:ascii="Roboto" w:hAnsi="Roboto"/>
          <w:szCs w:val="20"/>
        </w:rPr>
        <w:t>.</w:t>
      </w:r>
    </w:p>
    <w:p w14:paraId="6982C3FE" w14:textId="678DE608" w:rsidR="005A2DBD" w:rsidRPr="00F74926" w:rsidRDefault="005A2DBD" w:rsidP="0040704C">
      <w:pPr>
        <w:pStyle w:val="Heading20"/>
      </w:pPr>
      <w:bookmarkStart w:id="3" w:name="_Toc49324671"/>
      <w:r w:rsidRPr="00F74926">
        <w:t>Contents</w:t>
      </w:r>
      <w:bookmarkEnd w:id="3"/>
    </w:p>
    <w:p w14:paraId="2C561741" w14:textId="77777777" w:rsidR="00D94327" w:rsidRDefault="007664D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u w:val="none"/>
        </w:rPr>
      </w:pPr>
      <w:r>
        <w:fldChar w:fldCharType="begin"/>
      </w:r>
      <w:r>
        <w:instrText xml:space="preserve"> TOC \n \h \z \t "Heading 1,1,_Heading 3,1" </w:instrText>
      </w:r>
      <w:r>
        <w:fldChar w:fldCharType="separate"/>
      </w:r>
      <w:hyperlink w:anchor="_Toc51664448" w:history="1">
        <w:r w:rsidR="00D94327" w:rsidRPr="008A47F6">
          <w:rPr>
            <w:rStyle w:val="Hyperlink"/>
            <w:noProof/>
          </w:rPr>
          <w:t>Incident Handling Team (IHT)</w:t>
        </w:r>
      </w:hyperlink>
    </w:p>
    <w:p w14:paraId="7DC6D082" w14:textId="77777777" w:rsidR="00D94327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u w:val="none"/>
        </w:rPr>
      </w:pPr>
      <w:hyperlink w:anchor="_Toc51664449" w:history="1">
        <w:r w:rsidR="00D94327" w:rsidRPr="008A47F6">
          <w:rPr>
            <w:rStyle w:val="Hyperlink"/>
            <w:noProof/>
          </w:rPr>
          <w:t>Response Team</w:t>
        </w:r>
      </w:hyperlink>
    </w:p>
    <w:p w14:paraId="4F39F866" w14:textId="77777777" w:rsidR="00D94327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u w:val="none"/>
        </w:rPr>
      </w:pPr>
      <w:hyperlink w:anchor="_Toc51664450" w:history="1">
        <w:r w:rsidR="00D94327" w:rsidRPr="008A47F6">
          <w:rPr>
            <w:rStyle w:val="Hyperlink"/>
            <w:noProof/>
          </w:rPr>
          <w:t>Incident Response Plan (IRP)</w:t>
        </w:r>
      </w:hyperlink>
    </w:p>
    <w:p w14:paraId="7DFB2D8E" w14:textId="77777777" w:rsidR="00D94327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u w:val="none"/>
        </w:rPr>
      </w:pPr>
      <w:hyperlink w:anchor="_Toc51664451" w:history="1">
        <w:r w:rsidR="00D94327" w:rsidRPr="008A47F6">
          <w:rPr>
            <w:rStyle w:val="Hyperlink"/>
            <w:noProof/>
          </w:rPr>
          <w:t>Incident Reporting</w:t>
        </w:r>
      </w:hyperlink>
    </w:p>
    <w:p w14:paraId="280F8BE3" w14:textId="77777777" w:rsidR="00D94327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u w:val="none"/>
        </w:rPr>
      </w:pPr>
      <w:hyperlink w:anchor="_Toc51664452" w:history="1">
        <w:r w:rsidR="00D94327" w:rsidRPr="008A47F6">
          <w:rPr>
            <w:rStyle w:val="Hyperlink"/>
            <w:noProof/>
          </w:rPr>
          <w:t>Notification and Communication</w:t>
        </w:r>
      </w:hyperlink>
    </w:p>
    <w:p w14:paraId="5F20A09D" w14:textId="77763B22" w:rsidR="00BA69C3" w:rsidRPr="00F74926" w:rsidRDefault="007664DD" w:rsidP="0040704C">
      <w:pPr>
        <w:pStyle w:val="Heading20"/>
      </w:pPr>
      <w:r>
        <w:fldChar w:fldCharType="end"/>
      </w:r>
      <w:bookmarkStart w:id="4" w:name="_Toc49324672"/>
      <w:r w:rsidR="00F93719" w:rsidRPr="00F74926">
        <w:t>Policy</w:t>
      </w:r>
      <w:bookmarkEnd w:id="4"/>
    </w:p>
    <w:p w14:paraId="48064D88" w14:textId="23F86A29" w:rsidR="00462559" w:rsidRDefault="00462559" w:rsidP="0040704C">
      <w:pPr>
        <w:pStyle w:val="Heading30"/>
      </w:pPr>
      <w:bookmarkStart w:id="5" w:name="_General"/>
      <w:bookmarkStart w:id="6" w:name="_Incident_Reporting"/>
      <w:bookmarkStart w:id="7" w:name="_Toc49324674"/>
      <w:bookmarkStart w:id="8" w:name="_Toc51664448"/>
      <w:bookmarkStart w:id="9" w:name="_Toc436663217"/>
      <w:bookmarkStart w:id="10" w:name="_Toc436663016"/>
      <w:bookmarkStart w:id="11" w:name="_Toc442107660"/>
      <w:bookmarkEnd w:id="5"/>
      <w:bookmarkEnd w:id="6"/>
      <w:r>
        <w:t>Incident Handling Team (IHT)</w:t>
      </w:r>
      <w:bookmarkEnd w:id="7"/>
      <w:bookmarkEnd w:id="8"/>
    </w:p>
    <w:p w14:paraId="677E84FB" w14:textId="60055D68" w:rsidR="00462559" w:rsidRPr="00672938" w:rsidRDefault="00462559" w:rsidP="0040704C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An Incident Handling Team (IHT) will be established</w:t>
      </w:r>
      <w:r w:rsidR="00ED5BF3" w:rsidRPr="00672938">
        <w:rPr>
          <w:rFonts w:ascii="Roboto" w:hAnsi="Roboto"/>
          <w:szCs w:val="20"/>
        </w:rPr>
        <w:t>;</w:t>
      </w:r>
      <w:r w:rsidR="00A641F4" w:rsidRPr="00672938">
        <w:rPr>
          <w:rFonts w:ascii="Roboto" w:hAnsi="Roboto"/>
          <w:szCs w:val="20"/>
        </w:rPr>
        <w:t xml:space="preserve"> consisting of legal experts, risk managers, and other department managers that should be involved in decisions related to incident response.</w:t>
      </w:r>
    </w:p>
    <w:p w14:paraId="76573415" w14:textId="77777777" w:rsidR="00184FF8" w:rsidRPr="00672938" w:rsidRDefault="006C07A0" w:rsidP="0040704C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IHT </w:t>
      </w:r>
      <w:r w:rsidR="00E2745C" w:rsidRPr="00672938">
        <w:rPr>
          <w:rFonts w:ascii="Roboto" w:hAnsi="Roboto"/>
          <w:szCs w:val="20"/>
        </w:rPr>
        <w:t>is responsible for</w:t>
      </w:r>
      <w:r w:rsidR="00184FF8" w:rsidRPr="00672938">
        <w:rPr>
          <w:rFonts w:ascii="Roboto" w:hAnsi="Roboto"/>
          <w:szCs w:val="20"/>
        </w:rPr>
        <w:t>:</w:t>
      </w:r>
    </w:p>
    <w:p w14:paraId="0040EA9B" w14:textId="0A75F4A1" w:rsidR="006C07A0" w:rsidRPr="00672938" w:rsidRDefault="00E2745C" w:rsidP="0040704C">
      <w:pPr>
        <w:pStyle w:val="BulletList"/>
        <w:numPr>
          <w:ilvl w:val="1"/>
          <w:numId w:val="35"/>
        </w:numPr>
        <w:ind w:left="108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ensuring that incident response activities are carried out in accordance with legal, contractual, and regulatory requirements.</w:t>
      </w:r>
    </w:p>
    <w:p w14:paraId="492F2966" w14:textId="327EDFE0" w:rsidR="00ED5BF3" w:rsidRPr="00672938" w:rsidRDefault="00ED5BF3" w:rsidP="0040704C">
      <w:pPr>
        <w:pStyle w:val="BulletList"/>
        <w:numPr>
          <w:ilvl w:val="1"/>
          <w:numId w:val="35"/>
        </w:numPr>
        <w:ind w:left="108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internal and external communications pertaining to </w:t>
      </w:r>
      <w:r w:rsidR="00917B47" w:rsidRPr="00672938">
        <w:rPr>
          <w:rFonts w:ascii="Roboto" w:hAnsi="Roboto"/>
          <w:szCs w:val="20"/>
        </w:rPr>
        <w:t xml:space="preserve">information </w:t>
      </w:r>
      <w:r w:rsidRPr="00672938">
        <w:rPr>
          <w:rFonts w:ascii="Roboto" w:hAnsi="Roboto"/>
          <w:szCs w:val="20"/>
        </w:rPr>
        <w:t>security incidents.</w:t>
      </w:r>
    </w:p>
    <w:p w14:paraId="25FF5714" w14:textId="44F732F9" w:rsidR="006D1A4D" w:rsidRPr="00672938" w:rsidRDefault="006D1A4D" w:rsidP="0040704C">
      <w:pPr>
        <w:pStyle w:val="BulletList"/>
        <w:numPr>
          <w:ilvl w:val="1"/>
          <w:numId w:val="35"/>
        </w:numPr>
        <w:ind w:left="108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ensuring that personnel</w:t>
      </w:r>
      <w:r w:rsidR="00E26AE6" w:rsidRPr="00672938">
        <w:rPr>
          <w:rFonts w:ascii="Roboto" w:hAnsi="Roboto"/>
          <w:szCs w:val="20"/>
        </w:rPr>
        <w:t xml:space="preserve"> are trained on how to report a potential incident.</w:t>
      </w:r>
    </w:p>
    <w:p w14:paraId="5705EA56" w14:textId="094E01AA" w:rsidR="00C101CB" w:rsidRPr="00F74926" w:rsidRDefault="00CD6CCF" w:rsidP="0040704C">
      <w:pPr>
        <w:pStyle w:val="Heading30"/>
      </w:pPr>
      <w:bookmarkStart w:id="12" w:name="_Toc49324675"/>
      <w:bookmarkStart w:id="13" w:name="_Toc51664449"/>
      <w:r w:rsidRPr="00F74926">
        <w:t>Response Team</w:t>
      </w:r>
      <w:bookmarkEnd w:id="12"/>
      <w:bookmarkEnd w:id="13"/>
    </w:p>
    <w:p w14:paraId="5C1DACBE" w14:textId="100D9632" w:rsidR="009C337B" w:rsidRPr="00672938" w:rsidRDefault="009C337B" w:rsidP="00DB43B4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An Incident Response Commander will be appointed to </w:t>
      </w:r>
      <w:r w:rsidR="00181A9F" w:rsidRPr="00672938">
        <w:rPr>
          <w:rFonts w:ascii="Roboto" w:hAnsi="Roboto"/>
          <w:szCs w:val="20"/>
        </w:rPr>
        <w:t>oversee and direct</w:t>
      </w:r>
      <w:r w:rsidR="00BE11AE" w:rsidRPr="00672938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Company"/>
          <w:tag w:val=""/>
          <w:id w:val="-2091456532"/>
          <w:placeholder>
            <w:docPart w:val="9A80A42944674A29A07E7F9F917D2A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E11AE" w:rsidRPr="00672938">
            <w:rPr>
              <w:rFonts w:ascii="Roboto" w:hAnsi="Roboto"/>
              <w:szCs w:val="20"/>
            </w:rPr>
            <w:t>(Company)</w:t>
          </w:r>
        </w:sdtContent>
      </w:sdt>
      <w:r w:rsidR="00181A9F" w:rsidRPr="00672938">
        <w:rPr>
          <w:rFonts w:ascii="Roboto" w:hAnsi="Roboto"/>
          <w:szCs w:val="20"/>
        </w:rPr>
        <w:t xml:space="preserve"> incident response activities.</w:t>
      </w:r>
    </w:p>
    <w:p w14:paraId="3FB716FB" w14:textId="1643E394" w:rsidR="00CD6CCF" w:rsidRPr="00672938" w:rsidRDefault="00EB3324" w:rsidP="00DB43B4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</w:t>
      </w:r>
      <w:r w:rsidR="009D7BD8" w:rsidRPr="00672938">
        <w:rPr>
          <w:rFonts w:ascii="Roboto" w:hAnsi="Roboto"/>
          <w:szCs w:val="20"/>
        </w:rPr>
        <w:t>Incident Response Commander</w:t>
      </w:r>
      <w:r w:rsidR="00CD6CCF" w:rsidRPr="00672938">
        <w:rPr>
          <w:rFonts w:ascii="Roboto" w:hAnsi="Roboto"/>
          <w:szCs w:val="20"/>
        </w:rPr>
        <w:t xml:space="preserve"> will </w:t>
      </w:r>
      <w:r w:rsidR="00653D7B" w:rsidRPr="00672938">
        <w:rPr>
          <w:rFonts w:ascii="Roboto" w:hAnsi="Roboto"/>
          <w:szCs w:val="20"/>
        </w:rPr>
        <w:t>assemble and oversee a</w:t>
      </w:r>
      <w:r w:rsidR="00CD6CCF" w:rsidRPr="00672938">
        <w:rPr>
          <w:rFonts w:ascii="Roboto" w:hAnsi="Roboto"/>
          <w:szCs w:val="20"/>
        </w:rPr>
        <w:t xml:space="preserve"> </w:t>
      </w:r>
      <w:r w:rsidR="00FE6F8F" w:rsidRPr="00672938">
        <w:rPr>
          <w:rFonts w:ascii="Roboto" w:hAnsi="Roboto"/>
          <w:szCs w:val="20"/>
        </w:rPr>
        <w:t xml:space="preserve">Cyber Security </w:t>
      </w:r>
      <w:r w:rsidR="00CD6CCF" w:rsidRPr="00672938">
        <w:rPr>
          <w:rFonts w:ascii="Roboto" w:hAnsi="Roboto"/>
          <w:szCs w:val="20"/>
        </w:rPr>
        <w:t>Incident Response Team (</w:t>
      </w:r>
      <w:r w:rsidR="00FE6F8F" w:rsidRPr="00672938">
        <w:rPr>
          <w:rFonts w:ascii="Roboto" w:hAnsi="Roboto"/>
          <w:szCs w:val="20"/>
        </w:rPr>
        <w:t>CS</w:t>
      </w:r>
      <w:r w:rsidR="00CD6CCF" w:rsidRPr="00672938">
        <w:rPr>
          <w:rFonts w:ascii="Roboto" w:hAnsi="Roboto"/>
          <w:szCs w:val="20"/>
        </w:rPr>
        <w:t>IRT).</w:t>
      </w:r>
    </w:p>
    <w:p w14:paraId="350525A4" w14:textId="6E8A9193" w:rsidR="00CD6CCF" w:rsidRPr="00672938" w:rsidRDefault="00CD6CCF" w:rsidP="0040704C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</w:t>
      </w:r>
      <w:r w:rsidR="00B91746" w:rsidRPr="00672938">
        <w:rPr>
          <w:rFonts w:ascii="Roboto" w:hAnsi="Roboto"/>
          <w:szCs w:val="20"/>
        </w:rPr>
        <w:t>CS</w:t>
      </w:r>
      <w:r w:rsidRPr="00672938">
        <w:rPr>
          <w:rFonts w:ascii="Roboto" w:hAnsi="Roboto"/>
          <w:szCs w:val="20"/>
        </w:rPr>
        <w:t xml:space="preserve">IRT will respond to </w:t>
      </w:r>
      <w:r w:rsidR="00C70E49" w:rsidRPr="00672938">
        <w:rPr>
          <w:rFonts w:ascii="Roboto" w:hAnsi="Roboto"/>
          <w:szCs w:val="20"/>
        </w:rPr>
        <w:t>identified</w:t>
      </w:r>
      <w:r w:rsidR="00654C32" w:rsidRPr="00672938">
        <w:rPr>
          <w:rFonts w:ascii="Roboto" w:hAnsi="Roboto"/>
          <w:szCs w:val="20"/>
        </w:rPr>
        <w:t xml:space="preserve"> </w:t>
      </w:r>
      <w:r w:rsidR="00B07A56" w:rsidRPr="00672938">
        <w:rPr>
          <w:rFonts w:ascii="Roboto" w:hAnsi="Roboto"/>
          <w:szCs w:val="20"/>
        </w:rPr>
        <w:t xml:space="preserve">cyber security </w:t>
      </w:r>
      <w:r w:rsidR="00AF274C" w:rsidRPr="00672938">
        <w:rPr>
          <w:rFonts w:ascii="Roboto" w:hAnsi="Roboto"/>
          <w:szCs w:val="20"/>
        </w:rPr>
        <w:t>incident</w:t>
      </w:r>
      <w:r w:rsidR="00B07A56" w:rsidRPr="00672938">
        <w:rPr>
          <w:rFonts w:ascii="Roboto" w:hAnsi="Roboto"/>
          <w:szCs w:val="20"/>
        </w:rPr>
        <w:t>s</w:t>
      </w:r>
      <w:r w:rsidRPr="00672938">
        <w:rPr>
          <w:rFonts w:ascii="Roboto" w:hAnsi="Roboto"/>
          <w:szCs w:val="20"/>
        </w:rPr>
        <w:t xml:space="preserve"> following the </w:t>
      </w:r>
      <w:r w:rsidRPr="00672938">
        <w:rPr>
          <w:rFonts w:ascii="Roboto" w:hAnsi="Roboto"/>
          <w:szCs w:val="20"/>
          <w:u w:val="single"/>
        </w:rPr>
        <w:t xml:space="preserve">Incident </w:t>
      </w:r>
      <w:r w:rsidR="00BE6217" w:rsidRPr="00672938">
        <w:rPr>
          <w:rFonts w:ascii="Roboto" w:hAnsi="Roboto"/>
          <w:szCs w:val="20"/>
          <w:u w:val="single"/>
        </w:rPr>
        <w:t xml:space="preserve">Response </w:t>
      </w:r>
      <w:r w:rsidRPr="00672938">
        <w:rPr>
          <w:rFonts w:ascii="Roboto" w:hAnsi="Roboto"/>
          <w:szCs w:val="20"/>
          <w:u w:val="single"/>
        </w:rPr>
        <w:t>Plan</w:t>
      </w:r>
      <w:r w:rsidR="007F0D00" w:rsidRPr="00672938">
        <w:rPr>
          <w:rFonts w:ascii="Roboto" w:hAnsi="Roboto"/>
          <w:szCs w:val="20"/>
          <w:u w:val="single"/>
        </w:rPr>
        <w:t>.</w:t>
      </w:r>
    </w:p>
    <w:p w14:paraId="54FDCEFC" w14:textId="548B0526" w:rsidR="00DC47E1" w:rsidRPr="00672938" w:rsidRDefault="00CD6CCF" w:rsidP="002C38E6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</w:t>
      </w:r>
      <w:r w:rsidR="009D7BD8" w:rsidRPr="00672938">
        <w:rPr>
          <w:rFonts w:ascii="Roboto" w:hAnsi="Roboto"/>
          <w:szCs w:val="20"/>
        </w:rPr>
        <w:t xml:space="preserve">Incident Response Commander </w:t>
      </w:r>
      <w:r w:rsidR="0035421E" w:rsidRPr="00672938">
        <w:rPr>
          <w:rFonts w:ascii="Roboto" w:hAnsi="Roboto"/>
          <w:szCs w:val="20"/>
        </w:rPr>
        <w:t>is responsible for</w:t>
      </w:r>
      <w:r w:rsidR="006424EE" w:rsidRPr="00672938">
        <w:rPr>
          <w:rFonts w:ascii="Roboto" w:hAnsi="Roboto"/>
          <w:szCs w:val="20"/>
        </w:rPr>
        <w:t xml:space="preserve"> </w:t>
      </w:r>
      <w:r w:rsidR="0035421E" w:rsidRPr="00672938">
        <w:rPr>
          <w:rFonts w:ascii="Roboto" w:hAnsi="Roboto"/>
          <w:szCs w:val="20"/>
        </w:rPr>
        <w:t>appropriately repor</w:t>
      </w:r>
      <w:r w:rsidR="00CD420B" w:rsidRPr="00672938">
        <w:rPr>
          <w:rFonts w:ascii="Roboto" w:hAnsi="Roboto"/>
          <w:szCs w:val="20"/>
        </w:rPr>
        <w:t xml:space="preserve">ting </w:t>
      </w:r>
      <w:r w:rsidR="006424EE" w:rsidRPr="00672938">
        <w:rPr>
          <w:rFonts w:ascii="Roboto" w:hAnsi="Roboto"/>
          <w:szCs w:val="20"/>
        </w:rPr>
        <w:t>incident</w:t>
      </w:r>
      <w:r w:rsidR="00004890" w:rsidRPr="00672938">
        <w:rPr>
          <w:rFonts w:ascii="Roboto" w:hAnsi="Roboto"/>
          <w:szCs w:val="20"/>
        </w:rPr>
        <w:t>s</w:t>
      </w:r>
      <w:r w:rsidR="006424EE" w:rsidRPr="00672938">
        <w:rPr>
          <w:rFonts w:ascii="Roboto" w:hAnsi="Roboto"/>
          <w:szCs w:val="20"/>
        </w:rPr>
        <w:t xml:space="preserve"> </w:t>
      </w:r>
      <w:r w:rsidRPr="00672938">
        <w:rPr>
          <w:rFonts w:ascii="Roboto" w:hAnsi="Roboto"/>
          <w:szCs w:val="20"/>
        </w:rPr>
        <w:t>to</w:t>
      </w:r>
      <w:r w:rsidR="00B260DC" w:rsidRPr="00672938">
        <w:rPr>
          <w:rFonts w:ascii="Roboto" w:hAnsi="Roboto"/>
          <w:szCs w:val="20"/>
        </w:rPr>
        <w:t xml:space="preserve"> </w:t>
      </w:r>
      <w:r w:rsidR="00B260DC" w:rsidRPr="00672938">
        <w:rPr>
          <w:rFonts w:ascii="Roboto" w:hAnsi="Roboto"/>
          <w:szCs w:val="20"/>
          <w:highlight w:val="green"/>
        </w:rPr>
        <w:t>the CIO/IHT.</w:t>
      </w:r>
    </w:p>
    <w:p w14:paraId="64D52BFF" w14:textId="38ACB739" w:rsidR="00D643BC" w:rsidRPr="0040704C" w:rsidRDefault="00D643BC" w:rsidP="0040704C">
      <w:pPr>
        <w:pStyle w:val="Heading30"/>
      </w:pPr>
      <w:bookmarkStart w:id="14" w:name="_Toc49324676"/>
      <w:bookmarkStart w:id="15" w:name="_Toc51664450"/>
      <w:r w:rsidRPr="0040704C">
        <w:lastRenderedPageBreak/>
        <w:t>Incident Response Plan (IRP)</w:t>
      </w:r>
      <w:bookmarkEnd w:id="14"/>
      <w:bookmarkEnd w:id="15"/>
    </w:p>
    <w:p w14:paraId="257FCC97" w14:textId="77777777" w:rsidR="00FD4206" w:rsidRPr="00672938" w:rsidRDefault="00FD4206" w:rsidP="00DB43B4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Incident Response Commander is responsible for overseeing the creation, implementation, and maintenance of an Incident Response Plan (IRP). </w:t>
      </w:r>
    </w:p>
    <w:p w14:paraId="3D1EB1CD" w14:textId="14DD22F4" w:rsidR="00D643BC" w:rsidRPr="00672938" w:rsidRDefault="00D643BC" w:rsidP="00DB43B4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The Incident Response Plan must be tested by the CSIRT and IHT no less than annually.</w:t>
      </w:r>
    </w:p>
    <w:p w14:paraId="426DEAFF" w14:textId="427AEC41" w:rsidR="00C3538D" w:rsidRPr="00F74926" w:rsidRDefault="00C3538D" w:rsidP="00C3538D">
      <w:pPr>
        <w:pStyle w:val="Heading30"/>
      </w:pPr>
      <w:bookmarkStart w:id="16" w:name="_Toc51664451"/>
      <w:bookmarkStart w:id="17" w:name="_Toc49324673"/>
      <w:r w:rsidRPr="00F74926">
        <w:t>Incident Reporting</w:t>
      </w:r>
      <w:bookmarkStart w:id="18" w:name="_Wireless_Networking"/>
      <w:bookmarkEnd w:id="16"/>
      <w:bookmarkEnd w:id="18"/>
      <w:r>
        <w:t xml:space="preserve"> </w:t>
      </w:r>
      <w:bookmarkEnd w:id="17"/>
    </w:p>
    <w:p w14:paraId="0DDD0BA9" w14:textId="77777777" w:rsidR="00C3538D" w:rsidRPr="00672938" w:rsidRDefault="00C3538D" w:rsidP="00C3538D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Management must provide a means for all personnel to report potential incidents. Reporting methods should ensure that a potential incident is promptly escalated to the appropriate person. </w:t>
      </w:r>
    </w:p>
    <w:p w14:paraId="74151B39" w14:textId="77777777" w:rsidR="00C3538D" w:rsidRPr="00672938" w:rsidRDefault="00C3538D" w:rsidP="00C3538D">
      <w:pPr>
        <w:pStyle w:val="BulletList"/>
        <w:numPr>
          <w:ilvl w:val="0"/>
          <w:numId w:val="35"/>
        </w:numPr>
        <w:ind w:left="360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IT is responsible for monitoring event logging, vulnerability management, and other logs for suspicious activities.</w:t>
      </w:r>
    </w:p>
    <w:p w14:paraId="3A31101C" w14:textId="77777777" w:rsidR="00D94327" w:rsidRPr="00672938" w:rsidRDefault="00C3538D" w:rsidP="00D94327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All reported incidents must be assessed by </w:t>
      </w:r>
      <w:r w:rsidRPr="00672938">
        <w:rPr>
          <w:rFonts w:ascii="Roboto" w:hAnsi="Roboto"/>
          <w:szCs w:val="20"/>
          <w:highlight w:val="green"/>
        </w:rPr>
        <w:t>a member of the CSIRT or IHT</w:t>
      </w:r>
      <w:r w:rsidRPr="00672938">
        <w:rPr>
          <w:rFonts w:ascii="Roboto" w:hAnsi="Roboto"/>
          <w:szCs w:val="20"/>
        </w:rPr>
        <w:t xml:space="preserve"> to determine the threat type and activate the appropriate response procedures. All members of </w:t>
      </w:r>
      <w:r w:rsidRPr="00672938">
        <w:rPr>
          <w:rFonts w:ascii="Roboto" w:hAnsi="Roboto"/>
          <w:szCs w:val="20"/>
          <w:highlight w:val="green"/>
        </w:rPr>
        <w:t>the CSIRT or IHT</w:t>
      </w:r>
      <w:r w:rsidRPr="00672938">
        <w:rPr>
          <w:rFonts w:ascii="Roboto" w:hAnsi="Roboto"/>
          <w:szCs w:val="20"/>
        </w:rPr>
        <w:t xml:space="preserve"> must be familiar with how to assess and escalate a potential incident.</w:t>
      </w:r>
    </w:p>
    <w:p w14:paraId="18933191" w14:textId="77777777" w:rsidR="00D94327" w:rsidRPr="00672938" w:rsidRDefault="00300152" w:rsidP="00D94327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Incident Response Commander must report the incident to </w:t>
      </w:r>
      <w:r w:rsidRPr="00672938">
        <w:rPr>
          <w:rFonts w:ascii="Roboto" w:hAnsi="Roboto"/>
          <w:szCs w:val="20"/>
          <w:highlight w:val="green"/>
        </w:rPr>
        <w:t>senior leadership</w:t>
      </w:r>
      <w:r w:rsidRPr="00672938">
        <w:rPr>
          <w:rFonts w:ascii="Roboto" w:hAnsi="Roboto"/>
          <w:szCs w:val="20"/>
        </w:rPr>
        <w:t>.</w:t>
      </w:r>
    </w:p>
    <w:p w14:paraId="168C2030" w14:textId="295F9EC9" w:rsidR="00300152" w:rsidRPr="00672938" w:rsidRDefault="00300152" w:rsidP="00D94327">
      <w:pPr>
        <w:pStyle w:val="BulletLis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  <w:highlight w:val="green"/>
        </w:rPr>
        <w:t>Senior leadership</w:t>
      </w:r>
      <w:r w:rsidRPr="00672938">
        <w:rPr>
          <w:rFonts w:ascii="Roboto" w:hAnsi="Roboto"/>
          <w:szCs w:val="20"/>
        </w:rPr>
        <w:t xml:space="preserve"> must report any potential breaches and/or incidents involving customer data to the Incident Handling Team (IHT) promptly.</w:t>
      </w:r>
    </w:p>
    <w:p w14:paraId="6CECB45B" w14:textId="77777777" w:rsidR="00C3538D" w:rsidRPr="00C3538D" w:rsidRDefault="00C3538D" w:rsidP="00C3538D">
      <w:pPr>
        <w:pStyle w:val="Heading1"/>
        <w:rPr>
          <w:color w:val="000000" w:themeColor="text1"/>
          <w:sz w:val="24"/>
          <w:szCs w:val="22"/>
        </w:rPr>
      </w:pPr>
      <w:bookmarkStart w:id="19" w:name="_Toc48903534"/>
      <w:bookmarkStart w:id="20" w:name="_Toc48909959"/>
      <w:bookmarkStart w:id="21" w:name="_Toc49508440"/>
      <w:bookmarkStart w:id="22" w:name="_Toc51057224"/>
      <w:bookmarkStart w:id="23" w:name="_Toc51664452"/>
      <w:r w:rsidRPr="00C3538D">
        <w:rPr>
          <w:color w:val="000000" w:themeColor="text1"/>
          <w:sz w:val="24"/>
          <w:szCs w:val="22"/>
        </w:rPr>
        <w:t>Notification and Communication</w:t>
      </w:r>
      <w:bookmarkEnd w:id="19"/>
      <w:bookmarkEnd w:id="20"/>
      <w:bookmarkEnd w:id="21"/>
      <w:bookmarkEnd w:id="22"/>
      <w:bookmarkEnd w:id="23"/>
      <w:r w:rsidRPr="00C3538D">
        <w:rPr>
          <w:color w:val="000000" w:themeColor="text1"/>
          <w:sz w:val="24"/>
          <w:szCs w:val="22"/>
        </w:rPr>
        <w:t xml:space="preserve"> </w:t>
      </w:r>
    </w:p>
    <w:p w14:paraId="4FCFE578" w14:textId="00E41B2E" w:rsidR="00C3538D" w:rsidRPr="00672938" w:rsidRDefault="00300152" w:rsidP="00C3538D">
      <w:pPr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The IHT is responsible for ensuring that</w:t>
      </w:r>
      <w:r w:rsidR="00C3538D" w:rsidRPr="00672938">
        <w:rPr>
          <w:rFonts w:ascii="Roboto" w:hAnsi="Roboto"/>
          <w:szCs w:val="20"/>
        </w:rPr>
        <w:t xml:space="preserve"> notification and communication both internally and with third parties (customers, vendors, law enforcement, etc.) based on legal, regulatory, and contractual requirements take place in a timely manner.</w:t>
      </w:r>
    </w:p>
    <w:p w14:paraId="49F36E14" w14:textId="7904682D" w:rsidR="0016731F" w:rsidRPr="00672938" w:rsidRDefault="0016731F" w:rsidP="0016731F">
      <w:p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All Information concerning an incident is considered confidential, and at no time should any information be discussed with anyone outside of </w:t>
      </w:r>
      <w:sdt>
        <w:sdtPr>
          <w:rPr>
            <w:rFonts w:ascii="Roboto" w:hAnsi="Roboto"/>
            <w:szCs w:val="20"/>
          </w:rPr>
          <w:alias w:val="Company"/>
          <w:tag w:val=""/>
          <w:id w:val="2093969356"/>
          <w:placeholder>
            <w:docPart w:val="CBEDCC4CC6984993BAEDBD642FB682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672938">
            <w:rPr>
              <w:rFonts w:ascii="Roboto" w:hAnsi="Roboto"/>
              <w:szCs w:val="20"/>
            </w:rPr>
            <w:t>(Company)</w:t>
          </w:r>
        </w:sdtContent>
      </w:sdt>
      <w:r w:rsidRPr="00672938">
        <w:rPr>
          <w:rFonts w:ascii="Roboto" w:hAnsi="Roboto"/>
          <w:szCs w:val="20"/>
        </w:rPr>
        <w:t xml:space="preserve"> without approval of executive management and our legal counsel. </w:t>
      </w:r>
    </w:p>
    <w:p w14:paraId="01CE1F37" w14:textId="5B90385A" w:rsidR="00300152" w:rsidRPr="00672938" w:rsidRDefault="00300152" w:rsidP="00300152">
      <w:pPr>
        <w:pStyle w:val="ListParagraph"/>
        <w:numPr>
          <w:ilvl w:val="0"/>
          <w:numId w:val="42"/>
        </w:numPr>
        <w:spacing w:before="0" w:after="200"/>
        <w:jc w:val="left"/>
        <w:rPr>
          <w:rFonts w:ascii="Roboto" w:hAnsi="Roboto"/>
          <w:szCs w:val="20"/>
        </w:rPr>
      </w:pPr>
      <w:bookmarkStart w:id="24" w:name="_Toc436630285"/>
      <w:bookmarkStart w:id="25" w:name="_Toc48903535"/>
      <w:bookmarkStart w:id="26" w:name="_Toc48909960"/>
      <w:bookmarkStart w:id="27" w:name="_Toc49508441"/>
      <w:bookmarkStart w:id="28" w:name="_Toc51057225"/>
      <w:r w:rsidRPr="00672938">
        <w:rPr>
          <w:rFonts w:ascii="Roboto" w:hAnsi="Roboto"/>
          <w:szCs w:val="20"/>
        </w:rPr>
        <w:t>Personnel</w:t>
      </w:r>
    </w:p>
    <w:p w14:paraId="46CEB774" w14:textId="032FC429" w:rsidR="00300152" w:rsidRPr="00672938" w:rsidRDefault="00300152" w:rsidP="00300152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Personnel should be </w:t>
      </w:r>
      <w:r w:rsidR="0016731F" w:rsidRPr="00672938">
        <w:rPr>
          <w:rFonts w:ascii="Roboto" w:hAnsi="Roboto"/>
          <w:szCs w:val="20"/>
        </w:rPr>
        <w:t>notified whenever an incident or incident response activities may impact their work activities.</w:t>
      </w:r>
    </w:p>
    <w:p w14:paraId="5B81A154" w14:textId="35C3D2F6" w:rsidR="00300152" w:rsidRPr="00672938" w:rsidRDefault="0016731F" w:rsidP="0016731F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Internal communications should aim to a</w:t>
      </w:r>
      <w:r w:rsidR="00300152" w:rsidRPr="00672938">
        <w:rPr>
          <w:rFonts w:ascii="Roboto" w:hAnsi="Roboto"/>
          <w:szCs w:val="20"/>
        </w:rPr>
        <w:t xml:space="preserve">void panic, </w:t>
      </w:r>
      <w:r w:rsidRPr="00672938">
        <w:rPr>
          <w:rFonts w:ascii="Roboto" w:hAnsi="Roboto"/>
          <w:szCs w:val="20"/>
        </w:rPr>
        <w:t>avoid the spread of</w:t>
      </w:r>
      <w:r w:rsidR="00300152" w:rsidRPr="00672938">
        <w:rPr>
          <w:rFonts w:ascii="Roboto" w:hAnsi="Roboto"/>
          <w:szCs w:val="20"/>
        </w:rPr>
        <w:t xml:space="preserve"> misinformation, </w:t>
      </w:r>
      <w:r w:rsidRPr="00672938">
        <w:rPr>
          <w:rFonts w:ascii="Roboto" w:hAnsi="Roboto"/>
          <w:szCs w:val="20"/>
        </w:rPr>
        <w:t>and notify personnel of appropriate communication channels</w:t>
      </w:r>
      <w:r w:rsidR="00300152" w:rsidRPr="00672938">
        <w:rPr>
          <w:rFonts w:ascii="Roboto" w:hAnsi="Roboto"/>
          <w:szCs w:val="20"/>
        </w:rPr>
        <w:t>.</w:t>
      </w:r>
    </w:p>
    <w:p w14:paraId="2212EE4B" w14:textId="69FED749" w:rsidR="00C3538D" w:rsidRPr="00672938" w:rsidRDefault="00C3538D" w:rsidP="00C3538D">
      <w:pPr>
        <w:pStyle w:val="ListParagraph"/>
        <w:numPr>
          <w:ilvl w:val="0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Interaction with Law Enforcement</w:t>
      </w:r>
      <w:bookmarkEnd w:id="24"/>
      <w:bookmarkEnd w:id="25"/>
      <w:bookmarkEnd w:id="26"/>
      <w:bookmarkEnd w:id="27"/>
      <w:bookmarkEnd w:id="28"/>
    </w:p>
    <w:p w14:paraId="3CE09B5E" w14:textId="5D452E36" w:rsidR="001E29EC" w:rsidRPr="00672938" w:rsidRDefault="001E29EC" w:rsidP="00DA6D41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Interaction between law enforcement and emergency services personnel should be coordinated by the Incident Response Commander or a member of the IHT.</w:t>
      </w:r>
    </w:p>
    <w:p w14:paraId="45E25A2D" w14:textId="77777777" w:rsidR="00DA6D41" w:rsidRPr="00672938" w:rsidRDefault="001D1435" w:rsidP="00DA6D41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Legal counsel should</w:t>
      </w:r>
      <w:r w:rsidR="001E29EC" w:rsidRPr="00672938">
        <w:rPr>
          <w:rFonts w:ascii="Roboto" w:hAnsi="Roboto"/>
          <w:szCs w:val="20"/>
        </w:rPr>
        <w:t xml:space="preserve"> be consulted in communication</w:t>
      </w:r>
      <w:r w:rsidRPr="00672938">
        <w:rPr>
          <w:rFonts w:ascii="Roboto" w:hAnsi="Roboto"/>
          <w:szCs w:val="20"/>
        </w:rPr>
        <w:t>s</w:t>
      </w:r>
      <w:r w:rsidR="001E29EC" w:rsidRPr="00672938">
        <w:rPr>
          <w:rFonts w:ascii="Roboto" w:hAnsi="Roboto"/>
          <w:szCs w:val="20"/>
        </w:rPr>
        <w:t xml:space="preserve"> with </w:t>
      </w:r>
      <w:r w:rsidRPr="00672938">
        <w:rPr>
          <w:rFonts w:ascii="Roboto" w:hAnsi="Roboto"/>
          <w:szCs w:val="20"/>
        </w:rPr>
        <w:t>l</w:t>
      </w:r>
      <w:r w:rsidR="001E29EC" w:rsidRPr="00672938">
        <w:rPr>
          <w:rFonts w:ascii="Roboto" w:hAnsi="Roboto"/>
          <w:szCs w:val="20"/>
        </w:rPr>
        <w:t xml:space="preserve">aw </w:t>
      </w:r>
      <w:r w:rsidRPr="00672938">
        <w:rPr>
          <w:rFonts w:ascii="Roboto" w:hAnsi="Roboto"/>
          <w:szCs w:val="20"/>
        </w:rPr>
        <w:t>e</w:t>
      </w:r>
      <w:r w:rsidR="001E29EC" w:rsidRPr="00672938">
        <w:rPr>
          <w:rFonts w:ascii="Roboto" w:hAnsi="Roboto"/>
          <w:szCs w:val="20"/>
        </w:rPr>
        <w:t>nforcement.</w:t>
      </w:r>
      <w:bookmarkStart w:id="29" w:name="_Toc436630286"/>
      <w:bookmarkStart w:id="30" w:name="_Toc48903536"/>
      <w:bookmarkStart w:id="31" w:name="_Toc48909961"/>
      <w:bookmarkStart w:id="32" w:name="_Toc49508442"/>
      <w:bookmarkStart w:id="33" w:name="_Toc51057226"/>
    </w:p>
    <w:p w14:paraId="5839AC96" w14:textId="77777777" w:rsidR="00300152" w:rsidRPr="00672938" w:rsidRDefault="00300152" w:rsidP="00300152">
      <w:pPr>
        <w:pStyle w:val="ListParagraph"/>
        <w:numPr>
          <w:ilvl w:val="0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Customers and Partners</w:t>
      </w:r>
    </w:p>
    <w:p w14:paraId="62BF3DA5" w14:textId="77777777" w:rsidR="00300152" w:rsidRPr="00672938" w:rsidRDefault="00300152" w:rsidP="00300152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All customers and partners who are affected by the incident must be notified according to applicable contract language, service level agreements (SLAs), applicable statutes and/or regulations.</w:t>
      </w:r>
    </w:p>
    <w:p w14:paraId="5DACC5D8" w14:textId="1DFC6135" w:rsidR="00300152" w:rsidRPr="00672938" w:rsidRDefault="00300152" w:rsidP="00300152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Communications with customers </w:t>
      </w:r>
      <w:r w:rsidR="0016731F" w:rsidRPr="00672938">
        <w:rPr>
          <w:rFonts w:ascii="Roboto" w:hAnsi="Roboto"/>
          <w:szCs w:val="20"/>
        </w:rPr>
        <w:t xml:space="preserve">and partners </w:t>
      </w:r>
      <w:r w:rsidRPr="00672938">
        <w:rPr>
          <w:rFonts w:ascii="Roboto" w:hAnsi="Roboto"/>
          <w:szCs w:val="20"/>
        </w:rPr>
        <w:t>must be consistent, with the same or similar message delivered to each.</w:t>
      </w:r>
    </w:p>
    <w:p w14:paraId="4B4C6A78" w14:textId="5911E841" w:rsidR="00C3538D" w:rsidRPr="00672938" w:rsidRDefault="00C3538D" w:rsidP="00DA6D41">
      <w:pPr>
        <w:pStyle w:val="ListParagraph"/>
        <w:numPr>
          <w:ilvl w:val="0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Regulatory Authorities</w:t>
      </w:r>
      <w:bookmarkEnd w:id="29"/>
      <w:bookmarkEnd w:id="30"/>
      <w:bookmarkEnd w:id="31"/>
      <w:bookmarkEnd w:id="32"/>
      <w:bookmarkEnd w:id="33"/>
    </w:p>
    <w:p w14:paraId="276F77AA" w14:textId="77777777" w:rsidR="00C3538D" w:rsidRPr="00672938" w:rsidRDefault="00C3538D" w:rsidP="00DA6D41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Only members of the IHT are permitted to discuss the nature and/or details of an incident with any regulatory agencies.</w:t>
      </w:r>
    </w:p>
    <w:p w14:paraId="7D796926" w14:textId="77777777" w:rsidR="0016731F" w:rsidRPr="00672938" w:rsidRDefault="00C3538D" w:rsidP="00C3538D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lastRenderedPageBreak/>
        <w:t xml:space="preserve">The IHT </w:t>
      </w:r>
      <w:r w:rsidR="000E2C30" w:rsidRPr="00672938">
        <w:rPr>
          <w:rFonts w:ascii="Roboto" w:hAnsi="Roboto"/>
          <w:szCs w:val="20"/>
        </w:rPr>
        <w:t>must</w:t>
      </w:r>
      <w:r w:rsidRPr="00672938">
        <w:rPr>
          <w:rFonts w:ascii="Roboto" w:hAnsi="Roboto"/>
          <w:szCs w:val="20"/>
        </w:rPr>
        <w:t xml:space="preserve"> contact regulators as </w:t>
      </w:r>
      <w:r w:rsidR="00DA6D41" w:rsidRPr="00672938">
        <w:rPr>
          <w:rFonts w:ascii="Roboto" w:hAnsi="Roboto"/>
          <w:szCs w:val="20"/>
        </w:rPr>
        <w:t>required or as soon as practical</w:t>
      </w:r>
      <w:r w:rsidRPr="00672938">
        <w:rPr>
          <w:rFonts w:ascii="Roboto" w:hAnsi="Roboto"/>
          <w:szCs w:val="20"/>
        </w:rPr>
        <w:t xml:space="preserve">. (See Incident Response Plan </w:t>
      </w:r>
      <w:r w:rsidRPr="00672938">
        <w:rPr>
          <w:rFonts w:ascii="Roboto" w:hAnsi="Roboto"/>
          <w:szCs w:val="20"/>
        </w:rPr>
        <w:fldChar w:fldCharType="begin"/>
      </w:r>
      <w:r w:rsidRPr="00672938">
        <w:rPr>
          <w:rFonts w:ascii="Roboto" w:hAnsi="Roboto"/>
          <w:szCs w:val="20"/>
        </w:rPr>
        <w:instrText xml:space="preserve"> REF _Ref48818254 \w \h  \* MERGEFORMAT </w:instrText>
      </w:r>
      <w:r w:rsidRPr="00672938">
        <w:rPr>
          <w:rFonts w:ascii="Roboto" w:hAnsi="Roboto"/>
          <w:szCs w:val="20"/>
        </w:rPr>
      </w:r>
      <w:r w:rsidRPr="00672938">
        <w:rPr>
          <w:rFonts w:ascii="Roboto" w:hAnsi="Roboto"/>
          <w:szCs w:val="20"/>
        </w:rPr>
        <w:fldChar w:fldCharType="separate"/>
      </w:r>
      <w:r w:rsidRPr="00672938">
        <w:rPr>
          <w:rFonts w:ascii="Roboto" w:hAnsi="Roboto"/>
          <w:szCs w:val="20"/>
        </w:rPr>
        <w:t>Appendix IV</w:t>
      </w:r>
      <w:r w:rsidRPr="00672938">
        <w:rPr>
          <w:rFonts w:ascii="Roboto" w:hAnsi="Roboto"/>
          <w:szCs w:val="20"/>
        </w:rPr>
        <w:fldChar w:fldCharType="end"/>
      </w:r>
      <w:r w:rsidRPr="00672938">
        <w:rPr>
          <w:rFonts w:ascii="Roboto" w:hAnsi="Roboto"/>
          <w:szCs w:val="20"/>
        </w:rPr>
        <w:t>)</w:t>
      </w:r>
      <w:bookmarkStart w:id="34" w:name="_Toc48903538"/>
      <w:bookmarkStart w:id="35" w:name="_Toc48909963"/>
      <w:bookmarkStart w:id="36" w:name="_Toc49508444"/>
      <w:bookmarkStart w:id="37" w:name="_Toc51057228"/>
    </w:p>
    <w:p w14:paraId="7F8617EE" w14:textId="06A8656E" w:rsidR="0016731F" w:rsidRDefault="00C3538D" w:rsidP="0016731F">
      <w:pPr>
        <w:pStyle w:val="ListParagraph"/>
        <w:numPr>
          <w:ilvl w:val="0"/>
          <w:numId w:val="42"/>
        </w:numPr>
        <w:spacing w:before="0" w:after="200"/>
        <w:jc w:val="left"/>
        <w:rPr>
          <w:b/>
          <w:bCs/>
        </w:rPr>
      </w:pPr>
      <w:r w:rsidRPr="0016731F">
        <w:rPr>
          <w:b/>
          <w:bCs/>
        </w:rPr>
        <w:t>Public Media</w:t>
      </w:r>
      <w:bookmarkEnd w:id="34"/>
      <w:bookmarkEnd w:id="35"/>
      <w:bookmarkEnd w:id="36"/>
      <w:bookmarkEnd w:id="37"/>
    </w:p>
    <w:p w14:paraId="044FA8D4" w14:textId="14A25F64" w:rsidR="0016731F" w:rsidRPr="00672938" w:rsidRDefault="0016731F" w:rsidP="00D94327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The </w:t>
      </w:r>
      <w:r w:rsidRPr="00672938">
        <w:rPr>
          <w:rFonts w:ascii="Roboto" w:hAnsi="Roboto"/>
          <w:szCs w:val="20"/>
          <w:highlight w:val="green"/>
        </w:rPr>
        <w:t xml:space="preserve">IHT or </w:t>
      </w:r>
      <w:r w:rsidR="00D94327" w:rsidRPr="00672938">
        <w:rPr>
          <w:rFonts w:ascii="Roboto" w:hAnsi="Roboto"/>
          <w:szCs w:val="20"/>
          <w:highlight w:val="green"/>
        </w:rPr>
        <w:t>executive management</w:t>
      </w:r>
      <w:r w:rsidR="00D94327" w:rsidRPr="00672938">
        <w:rPr>
          <w:rFonts w:ascii="Roboto" w:hAnsi="Roboto"/>
          <w:szCs w:val="20"/>
        </w:rPr>
        <w:t xml:space="preserve"> </w:t>
      </w:r>
      <w:r w:rsidRPr="00672938">
        <w:rPr>
          <w:rFonts w:ascii="Roboto" w:hAnsi="Roboto"/>
          <w:szCs w:val="20"/>
        </w:rPr>
        <w:t xml:space="preserve">will assign </w:t>
      </w:r>
      <w:r w:rsidR="00C3538D" w:rsidRPr="00672938">
        <w:rPr>
          <w:rFonts w:ascii="Roboto" w:hAnsi="Roboto"/>
          <w:szCs w:val="20"/>
        </w:rPr>
        <w:t xml:space="preserve">a designated spokesperson </w:t>
      </w:r>
      <w:r w:rsidR="00D94327" w:rsidRPr="00672938">
        <w:rPr>
          <w:rFonts w:ascii="Roboto" w:hAnsi="Roboto"/>
          <w:szCs w:val="20"/>
        </w:rPr>
        <w:t>responsible for communication with the media</w:t>
      </w:r>
      <w:r w:rsidR="00C3538D" w:rsidRPr="00672938">
        <w:rPr>
          <w:rFonts w:ascii="Roboto" w:hAnsi="Roboto"/>
          <w:szCs w:val="20"/>
        </w:rPr>
        <w:t>.</w:t>
      </w:r>
    </w:p>
    <w:p w14:paraId="67FEA8CC" w14:textId="77777777" w:rsidR="00D94327" w:rsidRPr="00672938" w:rsidRDefault="00C3538D" w:rsidP="00C3538D">
      <w:pPr>
        <w:pStyle w:val="ListParagraph"/>
        <w:numPr>
          <w:ilvl w:val="1"/>
          <w:numId w:val="42"/>
        </w:numPr>
        <w:spacing w:before="0" w:after="20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Inquiries from media agencies must be directed to the designated</w:t>
      </w:r>
      <w:r w:rsidR="00D94327" w:rsidRPr="00672938">
        <w:rPr>
          <w:rFonts w:ascii="Roboto" w:hAnsi="Roboto"/>
          <w:szCs w:val="20"/>
        </w:rPr>
        <w:t xml:space="preserve"> spokesperson and the</w:t>
      </w:r>
      <w:r w:rsidRPr="00672938">
        <w:rPr>
          <w:rFonts w:ascii="Roboto" w:hAnsi="Roboto"/>
          <w:szCs w:val="20"/>
        </w:rPr>
        <w:t xml:space="preserve"> IHT</w:t>
      </w:r>
      <w:bookmarkStart w:id="38" w:name="_Hlk536006733"/>
      <w:r w:rsidR="00D94327" w:rsidRPr="00672938">
        <w:rPr>
          <w:rFonts w:ascii="Roboto" w:hAnsi="Roboto"/>
          <w:szCs w:val="20"/>
        </w:rPr>
        <w:t>.</w:t>
      </w:r>
    </w:p>
    <w:p w14:paraId="18231F4D" w14:textId="703A661C" w:rsidR="00C3538D" w:rsidRPr="00672938" w:rsidRDefault="00C3538D" w:rsidP="00D94327">
      <w:pPr>
        <w:spacing w:before="0" w:after="200"/>
        <w:ind w:left="1080"/>
        <w:jc w:val="lef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Refer to </w:t>
      </w:r>
      <w:r w:rsidRPr="00672938">
        <w:rPr>
          <w:rFonts w:ascii="Roboto" w:hAnsi="Roboto"/>
          <w:szCs w:val="20"/>
          <w:u w:val="single"/>
        </w:rPr>
        <w:t>Incident Response Plan</w:t>
      </w:r>
      <w:r w:rsidR="00D94327" w:rsidRPr="00672938">
        <w:rPr>
          <w:rFonts w:ascii="Roboto" w:hAnsi="Roboto"/>
          <w:szCs w:val="20"/>
          <w:u w:val="single"/>
        </w:rPr>
        <w:t>:</w:t>
      </w:r>
      <w:r w:rsidRPr="00672938">
        <w:rPr>
          <w:rFonts w:ascii="Roboto" w:hAnsi="Roboto"/>
          <w:szCs w:val="20"/>
          <w:u w:val="single"/>
        </w:rPr>
        <w:t xml:space="preserve"> </w:t>
      </w:r>
      <w:r w:rsidRPr="00672938">
        <w:rPr>
          <w:rFonts w:ascii="Roboto" w:hAnsi="Roboto"/>
          <w:szCs w:val="20"/>
          <w:u w:val="single"/>
        </w:rPr>
        <w:fldChar w:fldCharType="begin"/>
      </w:r>
      <w:r w:rsidRPr="00672938">
        <w:rPr>
          <w:rFonts w:ascii="Roboto" w:hAnsi="Roboto"/>
          <w:szCs w:val="20"/>
          <w:u w:val="single"/>
        </w:rPr>
        <w:instrText xml:space="preserve"> REF _Ref48823207 \w \h  \* MERGEFORMAT </w:instrText>
      </w:r>
      <w:r w:rsidRPr="00672938">
        <w:rPr>
          <w:rFonts w:ascii="Roboto" w:hAnsi="Roboto"/>
          <w:szCs w:val="20"/>
          <w:u w:val="single"/>
        </w:rPr>
      </w:r>
      <w:r w:rsidRPr="00672938">
        <w:rPr>
          <w:rFonts w:ascii="Roboto" w:hAnsi="Roboto"/>
          <w:szCs w:val="20"/>
          <w:u w:val="single"/>
        </w:rPr>
        <w:fldChar w:fldCharType="separate"/>
      </w:r>
      <w:r w:rsidRPr="00672938">
        <w:rPr>
          <w:rFonts w:ascii="Roboto" w:hAnsi="Roboto"/>
          <w:szCs w:val="20"/>
          <w:u w:val="single"/>
        </w:rPr>
        <w:t>Appendix V</w:t>
      </w:r>
      <w:r w:rsidRPr="00672938">
        <w:rPr>
          <w:rFonts w:ascii="Roboto" w:hAnsi="Roboto"/>
          <w:szCs w:val="20"/>
          <w:u w:val="single"/>
        </w:rPr>
        <w:fldChar w:fldCharType="end"/>
      </w:r>
      <w:r w:rsidRPr="00672938">
        <w:rPr>
          <w:rFonts w:ascii="Roboto" w:hAnsi="Roboto"/>
          <w:szCs w:val="20"/>
        </w:rPr>
        <w:t xml:space="preserve"> for guidance in communicating with the Media.</w:t>
      </w:r>
    </w:p>
    <w:bookmarkEnd w:id="38"/>
    <w:p w14:paraId="4EBE1306" w14:textId="77777777" w:rsidR="00C3538D" w:rsidRPr="002C38E6" w:rsidRDefault="00C3538D" w:rsidP="00C3538D">
      <w:pPr>
        <w:pStyle w:val="BulletList"/>
        <w:numPr>
          <w:ilvl w:val="0"/>
          <w:numId w:val="0"/>
        </w:numPr>
        <w:ind w:left="360" w:hanging="360"/>
      </w:pPr>
    </w:p>
    <w:p w14:paraId="5106093C" w14:textId="4A49F9C6" w:rsidR="003C3CB5" w:rsidRPr="00F74926" w:rsidRDefault="003C3CB5" w:rsidP="0040704C">
      <w:pPr>
        <w:pStyle w:val="Heading20"/>
      </w:pPr>
      <w:bookmarkStart w:id="39" w:name="_Toc49324678"/>
      <w:r w:rsidRPr="00F74926">
        <w:t>Definitions</w:t>
      </w:r>
      <w:bookmarkEnd w:id="39"/>
    </w:p>
    <w:p w14:paraId="44923DE4" w14:textId="3A637A81" w:rsidR="00F079A0" w:rsidRPr="00672938" w:rsidRDefault="00F079A0" w:rsidP="0040704C">
      <w:pPr>
        <w:pStyle w:val="MainTex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 xml:space="preserve">See </w:t>
      </w:r>
      <w:r w:rsidRPr="00672938">
        <w:rPr>
          <w:rFonts w:ascii="Roboto" w:hAnsi="Roboto"/>
          <w:szCs w:val="20"/>
          <w:u w:val="single"/>
        </w:rPr>
        <w:t>Appendix A: Definitions</w:t>
      </w:r>
    </w:p>
    <w:p w14:paraId="7E0F47BC" w14:textId="424F6B45" w:rsidR="003C3CB5" w:rsidRPr="00F74926" w:rsidRDefault="003C3CB5" w:rsidP="0040704C">
      <w:pPr>
        <w:pStyle w:val="Heading20"/>
      </w:pPr>
      <w:bookmarkStart w:id="40" w:name="_Toc49324679"/>
      <w:r w:rsidRPr="00F74926">
        <w:t>References</w:t>
      </w:r>
      <w:bookmarkEnd w:id="9"/>
      <w:bookmarkEnd w:id="10"/>
      <w:bookmarkEnd w:id="11"/>
      <w:bookmarkEnd w:id="40"/>
    </w:p>
    <w:p w14:paraId="725214FE" w14:textId="1F9367DE" w:rsidR="00C101CB" w:rsidRPr="00672938" w:rsidRDefault="00C101CB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  <w:highlight w:val="green"/>
        </w:rPr>
      </w:pPr>
      <w:bookmarkStart w:id="41" w:name="_Toc442107661"/>
      <w:r w:rsidRPr="00672938">
        <w:rPr>
          <w:rFonts w:ascii="Roboto" w:hAnsi="Roboto"/>
          <w:szCs w:val="20"/>
          <w:highlight w:val="green"/>
        </w:rPr>
        <w:t xml:space="preserve">ISO 27002: </w:t>
      </w:r>
      <w:r w:rsidR="00CD6CCF" w:rsidRPr="00672938">
        <w:rPr>
          <w:rFonts w:ascii="Roboto" w:hAnsi="Roboto"/>
          <w:szCs w:val="20"/>
          <w:highlight w:val="green"/>
        </w:rPr>
        <w:t>16</w:t>
      </w:r>
    </w:p>
    <w:p w14:paraId="51FC4291" w14:textId="542B4B54" w:rsidR="00C101CB" w:rsidRPr="00672938" w:rsidRDefault="00C101CB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  <w:highlight w:val="green"/>
        </w:rPr>
      </w:pPr>
      <w:r w:rsidRPr="00672938">
        <w:rPr>
          <w:rFonts w:ascii="Roboto" w:hAnsi="Roboto"/>
          <w:szCs w:val="20"/>
          <w:highlight w:val="green"/>
        </w:rPr>
        <w:t xml:space="preserve">NIST CSF: </w:t>
      </w:r>
      <w:proofErr w:type="gramStart"/>
      <w:r w:rsidR="007F0D00" w:rsidRPr="00672938">
        <w:rPr>
          <w:rFonts w:ascii="Roboto" w:hAnsi="Roboto"/>
          <w:szCs w:val="20"/>
          <w:highlight w:val="green"/>
        </w:rPr>
        <w:t>PR.IP</w:t>
      </w:r>
      <w:proofErr w:type="gramEnd"/>
      <w:r w:rsidR="007F0D00" w:rsidRPr="00672938">
        <w:rPr>
          <w:rFonts w:ascii="Roboto" w:hAnsi="Roboto"/>
          <w:szCs w:val="20"/>
          <w:highlight w:val="green"/>
        </w:rPr>
        <w:t>, DE.DP, DE.AE, RS.RP</w:t>
      </w:r>
      <w:r w:rsidR="00CD6CCF" w:rsidRPr="00672938">
        <w:rPr>
          <w:rFonts w:ascii="Roboto" w:hAnsi="Roboto"/>
          <w:szCs w:val="20"/>
          <w:highlight w:val="green"/>
        </w:rPr>
        <w:t>, RS.CO, RS.AN, RS.MI, RS-IM, RC.CO</w:t>
      </w:r>
    </w:p>
    <w:p w14:paraId="5583138C" w14:textId="10073850" w:rsidR="00B2742F" w:rsidRPr="00672938" w:rsidRDefault="00B2742F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Incident Response Plan</w:t>
      </w:r>
    </w:p>
    <w:p w14:paraId="1BF5BE31" w14:textId="00080180" w:rsidR="007E38D9" w:rsidRPr="00672938" w:rsidRDefault="00B2742F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Vulnerability Management Policy</w:t>
      </w:r>
    </w:p>
    <w:p w14:paraId="4E2E33F6" w14:textId="3AD8F70B" w:rsidR="00B2742F" w:rsidRPr="00672938" w:rsidRDefault="00B2742F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Logging Standard</w:t>
      </w:r>
    </w:p>
    <w:p w14:paraId="308A3DAF" w14:textId="360B7920" w:rsidR="00605B56" w:rsidRPr="00672938" w:rsidRDefault="00605B56" w:rsidP="0040704C">
      <w:pPr>
        <w:pStyle w:val="BulletList"/>
        <w:numPr>
          <w:ilvl w:val="0"/>
          <w:numId w:val="14"/>
        </w:numPr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Vulnerability Management Standard</w:t>
      </w:r>
    </w:p>
    <w:p w14:paraId="0F8BC039" w14:textId="3AF309E2" w:rsidR="003C3CB5" w:rsidRPr="00F74926" w:rsidRDefault="003C3CB5" w:rsidP="0040704C">
      <w:pPr>
        <w:pStyle w:val="Heading20"/>
      </w:pPr>
      <w:bookmarkStart w:id="42" w:name="_Toc49324680"/>
      <w:r w:rsidRPr="00F74926">
        <w:t>Waivers</w:t>
      </w:r>
      <w:bookmarkEnd w:id="41"/>
      <w:bookmarkEnd w:id="42"/>
    </w:p>
    <w:p w14:paraId="7F59F14B" w14:textId="45A7C040" w:rsidR="003C3CB5" w:rsidRPr="00F74926" w:rsidRDefault="003C3CB5" w:rsidP="0040704C">
      <w:pPr>
        <w:pStyle w:val="MainText"/>
      </w:pPr>
      <w:bookmarkStart w:id="43" w:name="_Toc366066899"/>
      <w:bookmarkStart w:id="44" w:name="_Toc442107662"/>
      <w:r w:rsidRPr="00672938">
        <w:rPr>
          <w:rFonts w:ascii="Roboto" w:hAnsi="Roboto"/>
          <w:szCs w:val="20"/>
        </w:rPr>
        <w:t>Waivers from certain policy provi</w:t>
      </w:r>
      <w:r w:rsidR="008C5DB8" w:rsidRPr="00672938">
        <w:rPr>
          <w:rFonts w:ascii="Roboto" w:hAnsi="Roboto"/>
          <w:szCs w:val="20"/>
        </w:rPr>
        <w:t>sions may be sought following</w:t>
      </w:r>
      <w:r w:rsidRPr="00672938">
        <w:rPr>
          <w:rFonts w:ascii="Roboto" w:hAnsi="Roboto"/>
          <w:szCs w:val="20"/>
        </w:rPr>
        <w:t xml:space="preserve"> the </w:t>
      </w:r>
      <w:sdt>
        <w:sdtPr>
          <w:rPr>
            <w:rFonts w:ascii="Roboto" w:hAnsi="Roboto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74926" w:rsidRPr="00672938">
            <w:rPr>
              <w:rFonts w:ascii="Roboto" w:hAnsi="Roboto"/>
              <w:szCs w:val="20"/>
            </w:rPr>
            <w:t>(Company)</w:t>
          </w:r>
        </w:sdtContent>
      </w:sdt>
      <w:r w:rsidRPr="00672938">
        <w:rPr>
          <w:rFonts w:ascii="Roboto" w:hAnsi="Roboto"/>
          <w:szCs w:val="20"/>
        </w:rPr>
        <w:t xml:space="preserve"> Waiver Process</w:t>
      </w:r>
      <w:r w:rsidRPr="00F74926">
        <w:t>.</w:t>
      </w:r>
    </w:p>
    <w:p w14:paraId="388AB8FE" w14:textId="0F341982" w:rsidR="003C3CB5" w:rsidRPr="00F74926" w:rsidRDefault="003C3CB5" w:rsidP="0040704C">
      <w:pPr>
        <w:pStyle w:val="Heading20"/>
      </w:pPr>
      <w:bookmarkStart w:id="45" w:name="_Toc49324681"/>
      <w:r w:rsidRPr="00F74926">
        <w:t>Enforcement</w:t>
      </w:r>
      <w:bookmarkEnd w:id="43"/>
      <w:bookmarkEnd w:id="44"/>
      <w:bookmarkEnd w:id="45"/>
    </w:p>
    <w:p w14:paraId="3CE7ADBC" w14:textId="59B2BA94" w:rsidR="003C3CB5" w:rsidRPr="00672938" w:rsidRDefault="00743C0F" w:rsidP="0040704C">
      <w:pPr>
        <w:pStyle w:val="MainText"/>
        <w:rPr>
          <w:rFonts w:ascii="Roboto" w:hAnsi="Roboto"/>
          <w:szCs w:val="20"/>
        </w:rPr>
      </w:pPr>
      <w:r w:rsidRPr="00672938">
        <w:rPr>
          <w:rFonts w:ascii="Roboto" w:hAnsi="Roboto"/>
          <w:szCs w:val="20"/>
        </w:rPr>
        <w:t>Personnel</w:t>
      </w:r>
      <w:r w:rsidR="003C3CB5" w:rsidRPr="00672938">
        <w:rPr>
          <w:rFonts w:ascii="Roboto" w:hAnsi="Roboto"/>
          <w:szCs w:val="20"/>
        </w:rPr>
        <w:t xml:space="preserve"> found to have violated this policy may be subject to disciplinary action, up to and including termination of employment</w:t>
      </w:r>
      <w:r w:rsidR="00D925A6" w:rsidRPr="00672938">
        <w:rPr>
          <w:rFonts w:ascii="Roboto" w:hAnsi="Roboto"/>
          <w:szCs w:val="20"/>
        </w:rPr>
        <w:t>, and related civil or criminal penalties</w:t>
      </w:r>
      <w:r w:rsidR="003C3CB5" w:rsidRPr="00672938">
        <w:rPr>
          <w:rFonts w:ascii="Roboto" w:hAnsi="Roboto"/>
          <w:szCs w:val="20"/>
        </w:rPr>
        <w:t xml:space="preserve">.  </w:t>
      </w:r>
    </w:p>
    <w:p w14:paraId="1F00C763" w14:textId="6CB1DF84" w:rsidR="003C3CB5" w:rsidRDefault="003C3CB5" w:rsidP="0040704C">
      <w:pPr>
        <w:pStyle w:val="MainText"/>
      </w:pPr>
      <w:r w:rsidRPr="00672938">
        <w:rPr>
          <w:rFonts w:ascii="Roboto" w:hAnsi="Roboto"/>
          <w:szCs w:val="20"/>
        </w:rPr>
        <w:t>Any vendor, consultant, or contractor found to have violated this policy may be subject to sanctions up to and including removal of access rights</w:t>
      </w:r>
      <w:r w:rsidR="008C5DB8" w:rsidRPr="00672938">
        <w:rPr>
          <w:rFonts w:ascii="Roboto" w:hAnsi="Roboto"/>
          <w:szCs w:val="20"/>
        </w:rPr>
        <w:t xml:space="preserve">, </w:t>
      </w:r>
      <w:r w:rsidRPr="00672938">
        <w:rPr>
          <w:rFonts w:ascii="Roboto" w:hAnsi="Roboto"/>
          <w:szCs w:val="20"/>
        </w:rPr>
        <w:t>termination of contract(s)</w:t>
      </w:r>
      <w:r w:rsidR="008C5DB8" w:rsidRPr="00672938">
        <w:rPr>
          <w:rFonts w:ascii="Roboto" w:hAnsi="Roboto"/>
          <w:szCs w:val="20"/>
        </w:rPr>
        <w:t>, and related civil or criminal</w:t>
      </w:r>
      <w:r w:rsidR="008C5DB8" w:rsidRPr="00F74926">
        <w:t xml:space="preserve"> </w:t>
      </w:r>
      <w:r w:rsidR="008C5DB8" w:rsidRPr="00672938">
        <w:rPr>
          <w:rFonts w:ascii="Roboto" w:hAnsi="Roboto"/>
          <w:szCs w:val="20"/>
        </w:rPr>
        <w:t>penalties</w:t>
      </w:r>
      <w:r w:rsidRPr="00672938">
        <w:rPr>
          <w:rFonts w:ascii="Roboto" w:hAnsi="Roboto"/>
          <w:szCs w:val="20"/>
        </w:rPr>
        <w:t>.</w:t>
      </w:r>
      <w:r w:rsidR="008D7409">
        <w:rPr>
          <w:rFonts w:ascii="Roboto" w:hAnsi="Roboto"/>
          <w:szCs w:val="20"/>
        </w:rPr>
        <w:br/>
      </w:r>
      <w:r w:rsidR="008D7409">
        <w:rPr>
          <w:rFonts w:ascii="Roboto" w:hAnsi="Roboto"/>
          <w:szCs w:val="20"/>
        </w:rPr>
        <w:br/>
      </w:r>
    </w:p>
    <w:p w14:paraId="7ED8C229" w14:textId="5C9D9ECC" w:rsidR="006E7878" w:rsidRDefault="006E7878" w:rsidP="0040704C">
      <w:pPr>
        <w:pStyle w:val="MainText"/>
      </w:pPr>
    </w:p>
    <w:p w14:paraId="25E1D459" w14:textId="586F33D5" w:rsidR="006E7878" w:rsidRDefault="006E7878" w:rsidP="0040704C">
      <w:pPr>
        <w:pStyle w:val="MainText"/>
      </w:pPr>
    </w:p>
    <w:p w14:paraId="3D2466E5" w14:textId="6BB600E0" w:rsidR="006E7878" w:rsidRDefault="006E7878" w:rsidP="0040704C">
      <w:pPr>
        <w:pStyle w:val="MainText"/>
      </w:pPr>
    </w:p>
    <w:p w14:paraId="404C8FC8" w14:textId="75829883" w:rsidR="006E7878" w:rsidRDefault="006E7878" w:rsidP="0040704C">
      <w:pPr>
        <w:pStyle w:val="MainText"/>
      </w:pPr>
    </w:p>
    <w:p w14:paraId="2E21D3E0" w14:textId="30C1548C" w:rsidR="006E7878" w:rsidRDefault="006E7878" w:rsidP="0040704C">
      <w:pPr>
        <w:pStyle w:val="MainText"/>
      </w:pPr>
    </w:p>
    <w:p w14:paraId="03D5545B" w14:textId="77777777" w:rsidR="006E7878" w:rsidRPr="00F74926" w:rsidRDefault="006E7878" w:rsidP="0040704C">
      <w:pPr>
        <w:pStyle w:val="MainText"/>
      </w:pPr>
    </w:p>
    <w:p w14:paraId="47E7DA4C" w14:textId="3407AF14" w:rsidR="00FD75D9" w:rsidRPr="00F74926" w:rsidRDefault="00FD75D9" w:rsidP="0040704C">
      <w:pPr>
        <w:pStyle w:val="Heading20"/>
      </w:pPr>
      <w:bookmarkStart w:id="46" w:name="_Toc318639913"/>
      <w:bookmarkStart w:id="47" w:name="_Toc318642099"/>
      <w:bookmarkStart w:id="48" w:name="_Toc323027749"/>
      <w:bookmarkStart w:id="49" w:name="_Toc323028042"/>
      <w:bookmarkStart w:id="50" w:name="_Toc328073011"/>
      <w:bookmarkStart w:id="51" w:name="_Toc49324682"/>
      <w:r w:rsidRPr="00F74926">
        <w:lastRenderedPageBreak/>
        <w:t>Version History</w:t>
      </w:r>
      <w:bookmarkEnd w:id="46"/>
      <w:bookmarkEnd w:id="47"/>
      <w:bookmarkEnd w:id="48"/>
      <w:bookmarkEnd w:id="49"/>
      <w:bookmarkEnd w:id="50"/>
      <w:bookmarkEnd w:id="51"/>
    </w:p>
    <w:tbl>
      <w:tblPr>
        <w:tblStyle w:val="GridTable5Dark-Accent6"/>
        <w:tblW w:w="9195" w:type="dxa"/>
        <w:tblLayout w:type="fixed"/>
        <w:tblLook w:val="0020" w:firstRow="1" w:lastRow="0" w:firstColumn="0" w:lastColumn="0" w:noHBand="0" w:noVBand="0"/>
      </w:tblPr>
      <w:tblGrid>
        <w:gridCol w:w="952"/>
        <w:gridCol w:w="1792"/>
        <w:gridCol w:w="1523"/>
        <w:gridCol w:w="1792"/>
        <w:gridCol w:w="3136"/>
      </w:tblGrid>
      <w:tr w:rsidR="008C5DB8" w:rsidRPr="00F74926" w14:paraId="110DFD87" w14:textId="77777777" w:rsidTr="0037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  <w:shd w:val="clear" w:color="auto" w:fill="FF9E1B"/>
          </w:tcPr>
          <w:p w14:paraId="24AE609D" w14:textId="77777777" w:rsidR="008C5DB8" w:rsidRPr="00F74926" w:rsidRDefault="008C5DB8" w:rsidP="0040704C">
            <w:pPr>
              <w:pStyle w:val="VersionTable"/>
            </w:pPr>
            <w:r w:rsidRPr="00F74926">
              <w:t xml:space="preserve">Version </w:t>
            </w:r>
          </w:p>
        </w:tc>
        <w:tc>
          <w:tcPr>
            <w:tcW w:w="1792" w:type="dxa"/>
            <w:shd w:val="clear" w:color="auto" w:fill="FF9E1B"/>
          </w:tcPr>
          <w:p w14:paraId="50BD3A0E" w14:textId="5EB9D025" w:rsidR="008C5DB8" w:rsidRPr="00F74926" w:rsidRDefault="008C5DB8" w:rsidP="0040704C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4926"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  <w:shd w:val="clear" w:color="auto" w:fill="FF9E1B"/>
          </w:tcPr>
          <w:p w14:paraId="202869AA" w14:textId="0E4FB457" w:rsidR="008C5DB8" w:rsidRPr="00F74926" w:rsidRDefault="008C5DB8" w:rsidP="0040704C">
            <w:pPr>
              <w:pStyle w:val="VersionTable"/>
            </w:pPr>
            <w:r w:rsidRPr="00F74926">
              <w:t>Approved Date</w:t>
            </w:r>
          </w:p>
        </w:tc>
        <w:tc>
          <w:tcPr>
            <w:tcW w:w="1792" w:type="dxa"/>
            <w:shd w:val="clear" w:color="auto" w:fill="FF9E1B"/>
          </w:tcPr>
          <w:p w14:paraId="06690ED2" w14:textId="1CBD5196" w:rsidR="008C5DB8" w:rsidRPr="00F74926" w:rsidRDefault="00F765F4" w:rsidP="0040704C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4926"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  <w:shd w:val="clear" w:color="auto" w:fill="FF9E1B"/>
          </w:tcPr>
          <w:p w14:paraId="076A38B4" w14:textId="16A7B0EA" w:rsidR="0052045B" w:rsidRPr="0040704C" w:rsidRDefault="008C5DB8" w:rsidP="0040704C">
            <w:pPr>
              <w:pStyle w:val="VersionTable"/>
            </w:pPr>
            <w:r w:rsidRPr="00F74926">
              <w:t>Reason/Comments</w:t>
            </w:r>
          </w:p>
        </w:tc>
      </w:tr>
      <w:tr w:rsidR="008C5DB8" w:rsidRPr="00F74926" w14:paraId="68A7E1B2" w14:textId="77777777" w:rsidTr="0037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60C3D6FE" w14:textId="6A22EDA9" w:rsidR="008C5DB8" w:rsidRPr="00F74926" w:rsidRDefault="008C5DB8" w:rsidP="0040704C">
            <w:pPr>
              <w:pStyle w:val="VersionTable"/>
            </w:pPr>
            <w:r w:rsidRPr="00F74926">
              <w:t>1.0.0</w:t>
            </w:r>
          </w:p>
        </w:tc>
        <w:tc>
          <w:tcPr>
            <w:tcW w:w="1792" w:type="dxa"/>
          </w:tcPr>
          <w:p w14:paraId="541BBBE5" w14:textId="18E0AE68" w:rsidR="008C5DB8" w:rsidRPr="00F74926" w:rsidRDefault="00D94327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September</w:t>
            </w:r>
            <w:r w:rsidR="00495DFD"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13E7414D" w14:textId="781E78AE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</w:tcPr>
          <w:p w14:paraId="47041011" w14:textId="5E5C3EEF" w:rsidR="008C5DB8" w:rsidRPr="00F74926" w:rsidRDefault="008C5DB8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926"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01E927C8" w14:textId="51FEA554" w:rsidR="0052045B" w:rsidRPr="00304DF6" w:rsidRDefault="008C5DB8" w:rsidP="0040704C">
            <w:pPr>
              <w:pStyle w:val="VersionTable"/>
            </w:pPr>
            <w:r w:rsidRPr="00F74926">
              <w:t>Document Origination</w:t>
            </w:r>
          </w:p>
        </w:tc>
      </w:tr>
      <w:tr w:rsidR="008C5DB8" w:rsidRPr="00F74926" w14:paraId="32AE1F8A" w14:textId="77777777" w:rsidTr="0037039E">
        <w:trPr>
          <w:trHeight w:val="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0B8A52CB" w14:textId="62FC844C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5496FA28" w14:textId="0C6C40F6" w:rsidR="008C5DB8" w:rsidRPr="00F74926" w:rsidRDefault="008C5DB8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7E623367" w14:textId="77777777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3F07A427" w14:textId="48018BEF" w:rsidR="008C5DB8" w:rsidRPr="00F74926" w:rsidRDefault="008C5DB8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23313AEB" w14:textId="3004DFAE" w:rsidR="00C3538D" w:rsidRPr="0040704C" w:rsidRDefault="00C3538D" w:rsidP="006B174A">
            <w:pPr>
              <w:jc w:val="left"/>
            </w:pPr>
          </w:p>
        </w:tc>
      </w:tr>
      <w:tr w:rsidR="008C5DB8" w:rsidRPr="00F74926" w14:paraId="738F6794" w14:textId="77777777" w:rsidTr="0037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5CFCC6A0" w14:textId="77777777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</w:tcPr>
          <w:p w14:paraId="685CCBA1" w14:textId="77777777" w:rsidR="008C5DB8" w:rsidRPr="00F74926" w:rsidRDefault="008C5DB8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2529169C" w14:textId="77777777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</w:tcPr>
          <w:p w14:paraId="4AFCC1B8" w14:textId="7A839647" w:rsidR="008C5DB8" w:rsidRPr="00F74926" w:rsidRDefault="008C5DB8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5DA08EB4" w14:textId="5D4EAC5D" w:rsidR="0052045B" w:rsidRPr="0040704C" w:rsidRDefault="0052045B" w:rsidP="0040704C"/>
        </w:tc>
      </w:tr>
      <w:tr w:rsidR="008C5DB8" w:rsidRPr="00F74926" w14:paraId="72B7F4AE" w14:textId="77777777" w:rsidTr="0037039E">
        <w:trPr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5F8590F3" w14:textId="77777777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2216A19B" w14:textId="77777777" w:rsidR="008C5DB8" w:rsidRPr="00F74926" w:rsidRDefault="008C5DB8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3EC318FF" w14:textId="77777777" w:rsidR="008C5DB8" w:rsidRPr="00F74926" w:rsidRDefault="008C5DB8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59427D4A" w14:textId="24ADE8A7" w:rsidR="008C5DB8" w:rsidRPr="00F74926" w:rsidRDefault="008C5DB8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66CD72BF" w14:textId="77777777" w:rsidR="008C5DB8" w:rsidRPr="00F74926" w:rsidRDefault="008C5DB8" w:rsidP="0040704C">
            <w:pPr>
              <w:pStyle w:val="VersionTable"/>
            </w:pPr>
          </w:p>
        </w:tc>
      </w:tr>
      <w:tr w:rsidR="008D7409" w:rsidRPr="00F74926" w14:paraId="4A14D4BC" w14:textId="77777777" w:rsidTr="0037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70D90493" w14:textId="77777777" w:rsidR="008D7409" w:rsidRPr="00F74926" w:rsidRDefault="008D7409" w:rsidP="0040704C">
            <w:pPr>
              <w:pStyle w:val="VersionTable"/>
            </w:pPr>
          </w:p>
        </w:tc>
        <w:tc>
          <w:tcPr>
            <w:tcW w:w="1792" w:type="dxa"/>
          </w:tcPr>
          <w:p w14:paraId="509178D5" w14:textId="77777777" w:rsidR="008D7409" w:rsidRPr="00F74926" w:rsidRDefault="008D7409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77D55FEA" w14:textId="77777777" w:rsidR="008D7409" w:rsidRPr="00F74926" w:rsidRDefault="008D7409" w:rsidP="0040704C">
            <w:pPr>
              <w:pStyle w:val="VersionTable"/>
            </w:pPr>
          </w:p>
        </w:tc>
        <w:tc>
          <w:tcPr>
            <w:tcW w:w="1792" w:type="dxa"/>
          </w:tcPr>
          <w:p w14:paraId="4FCD7A5C" w14:textId="77777777" w:rsidR="008D7409" w:rsidRPr="00F74926" w:rsidRDefault="008D7409" w:rsidP="0040704C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18DBFA0F" w14:textId="77777777" w:rsidR="008D7409" w:rsidRPr="00F74926" w:rsidRDefault="008D7409" w:rsidP="0040704C">
            <w:pPr>
              <w:pStyle w:val="VersionTable"/>
            </w:pPr>
          </w:p>
        </w:tc>
      </w:tr>
      <w:tr w:rsidR="008D7409" w:rsidRPr="00F74926" w14:paraId="51FD92EB" w14:textId="77777777" w:rsidTr="0037039E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" w:type="dxa"/>
          </w:tcPr>
          <w:p w14:paraId="0D65FC1D" w14:textId="77777777" w:rsidR="008D7409" w:rsidRPr="00F74926" w:rsidRDefault="008D7409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1C85AA72" w14:textId="77777777" w:rsidR="008D7409" w:rsidRPr="00F74926" w:rsidRDefault="008D7409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3" w:type="dxa"/>
          </w:tcPr>
          <w:p w14:paraId="4EE89CF2" w14:textId="77777777" w:rsidR="008D7409" w:rsidRPr="00F74926" w:rsidRDefault="008D7409" w:rsidP="0040704C">
            <w:pPr>
              <w:pStyle w:val="VersionTable"/>
            </w:pPr>
          </w:p>
        </w:tc>
        <w:tc>
          <w:tcPr>
            <w:tcW w:w="1792" w:type="dxa"/>
            <w:shd w:val="clear" w:color="auto" w:fill="FBD4B4" w:themeFill="accent6" w:themeFillTint="66"/>
          </w:tcPr>
          <w:p w14:paraId="4CD9DF55" w14:textId="77777777" w:rsidR="008D7409" w:rsidRPr="00F74926" w:rsidRDefault="008D7409" w:rsidP="0040704C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6" w:type="dxa"/>
          </w:tcPr>
          <w:p w14:paraId="5D599D8A" w14:textId="77777777" w:rsidR="008D7409" w:rsidRPr="00F74926" w:rsidRDefault="008D7409" w:rsidP="0040704C">
            <w:pPr>
              <w:pStyle w:val="VersionTable"/>
            </w:pPr>
          </w:p>
        </w:tc>
      </w:tr>
    </w:tbl>
    <w:p w14:paraId="400E5EC3" w14:textId="620E84DB" w:rsidR="00B6271D" w:rsidRPr="00F74926" w:rsidRDefault="00B6271D" w:rsidP="002C38E6">
      <w:pPr>
        <w:pStyle w:val="BulletList"/>
        <w:numPr>
          <w:ilvl w:val="0"/>
          <w:numId w:val="0"/>
        </w:numPr>
      </w:pPr>
    </w:p>
    <w:sectPr w:rsidR="00B6271D" w:rsidRPr="00F74926" w:rsidSect="00554B9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8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189B" w14:textId="77777777" w:rsidR="005465D6" w:rsidRDefault="005465D6" w:rsidP="0040704C">
      <w:r>
        <w:separator/>
      </w:r>
    </w:p>
  </w:endnote>
  <w:endnote w:type="continuationSeparator" w:id="0">
    <w:p w14:paraId="2516EA07" w14:textId="77777777" w:rsidR="005465D6" w:rsidRDefault="005465D6" w:rsidP="0040704C">
      <w:r>
        <w:continuationSeparator/>
      </w:r>
    </w:p>
  </w:endnote>
  <w:endnote w:type="continuationNotice" w:id="1">
    <w:p w14:paraId="1EA44DEE" w14:textId="77777777" w:rsidR="005465D6" w:rsidRDefault="005465D6" w:rsidP="00407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A" w14:textId="072BADEA" w:rsidR="00975ACE" w:rsidRPr="00BA69C3" w:rsidRDefault="00000000" w:rsidP="0040704C">
    <w:pPr>
      <w:pStyle w:val="Footer"/>
      <w:rPr>
        <w:szCs w:val="20"/>
      </w:rPr>
    </w:pPr>
    <w:sdt>
      <w:sdtPr>
        <w:rPr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74926">
          <w:rPr>
            <w:szCs w:val="20"/>
          </w:rPr>
          <w:t>(Company)</w:t>
        </w:r>
      </w:sdtContent>
    </w:sdt>
    <w:r w:rsidR="00975ACE" w:rsidRPr="00BA69C3">
      <w:rPr>
        <w:szCs w:val="20"/>
      </w:rPr>
      <w:tab/>
    </w:r>
    <w:r w:rsidR="00975ACE" w:rsidRPr="0037039E">
      <w:rPr>
        <w:rFonts w:ascii="Roboto" w:hAnsi="Roboto"/>
        <w:b/>
        <w:color w:val="00857D"/>
        <w:szCs w:val="20"/>
      </w:rPr>
      <w:t>Internal</w:t>
    </w:r>
    <w:r w:rsidR="00975ACE" w:rsidRPr="00BA69C3">
      <w:rPr>
        <w:szCs w:val="20"/>
      </w:rPr>
      <w:tab/>
    </w:r>
    <w:sdt>
      <w:sdtPr>
        <w:rPr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75ACE" w:rsidRPr="004C2A9B">
          <w:t xml:space="preserve">Page </w:t>
        </w:r>
        <w:r w:rsidR="00975ACE" w:rsidRPr="004C2A9B">
          <w:fldChar w:fldCharType="begin"/>
        </w:r>
        <w:r w:rsidR="00975ACE" w:rsidRPr="004C2A9B">
          <w:instrText xml:space="preserve"> PAGE  \* Arabic  \* MERGEFORMAT </w:instrText>
        </w:r>
        <w:r w:rsidR="00975ACE" w:rsidRPr="004C2A9B">
          <w:fldChar w:fldCharType="separate"/>
        </w:r>
        <w:r w:rsidR="00F765F4">
          <w:rPr>
            <w:noProof/>
          </w:rPr>
          <w:t>2</w:t>
        </w:r>
        <w:r w:rsidR="00975ACE" w:rsidRPr="004C2A9B">
          <w:fldChar w:fldCharType="end"/>
        </w:r>
        <w:r w:rsidR="00975ACE" w:rsidRPr="004C2A9B">
          <w:t xml:space="preserve"> of </w:t>
        </w:r>
        <w:fldSimple w:instr=" NUMPAGES  \* Arabic  \* MERGEFORMAT ">
          <w:r w:rsidR="00F765F4">
            <w:rPr>
              <w:noProof/>
            </w:rPr>
            <w:t>2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D7" w14:textId="04399F5F" w:rsidR="00975ACE" w:rsidRPr="0052045B" w:rsidRDefault="00000000" w:rsidP="0040704C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74926" w:rsidRPr="0052045B">
          <w:t>(Company)</w:t>
        </w:r>
      </w:sdtContent>
    </w:sdt>
    <w:r w:rsidR="00975ACE" w:rsidRPr="0052045B">
      <w:rPr>
        <w:rFonts w:asciiTheme="majorHAnsi" w:hAnsiTheme="majorHAnsi"/>
      </w:rPr>
      <w:tab/>
    </w:r>
    <w:r w:rsidR="00975ACE" w:rsidRPr="0037039E">
      <w:rPr>
        <w:rFonts w:ascii="Roboto" w:hAnsi="Roboto"/>
        <w:b/>
        <w:bCs/>
        <w:color w:val="00857D"/>
      </w:rPr>
      <w:t>Internal</w:t>
    </w:r>
    <w:r w:rsidR="00975ACE" w:rsidRPr="0052045B">
      <w:rPr>
        <w:rFonts w:asciiTheme="majorHAnsi" w:hAnsiTheme="majorHAnsi"/>
      </w:rPr>
      <w:tab/>
    </w:r>
    <w:r w:rsidR="00975ACE" w:rsidRPr="0052045B">
      <w:t xml:space="preserve">Page </w:t>
    </w:r>
    <w:r w:rsidR="00975ACE" w:rsidRPr="0052045B">
      <w:fldChar w:fldCharType="begin"/>
    </w:r>
    <w:r w:rsidR="00975ACE" w:rsidRPr="0052045B">
      <w:instrText xml:space="preserve"> PAGE  \* Arabic  \* MERGEFORMAT </w:instrText>
    </w:r>
    <w:r w:rsidR="00975ACE" w:rsidRPr="0052045B">
      <w:fldChar w:fldCharType="separate"/>
    </w:r>
    <w:r w:rsidR="00F765F4" w:rsidRPr="0052045B">
      <w:rPr>
        <w:noProof/>
      </w:rPr>
      <w:t>1</w:t>
    </w:r>
    <w:r w:rsidR="00975ACE" w:rsidRPr="0052045B">
      <w:fldChar w:fldCharType="end"/>
    </w:r>
    <w:r w:rsidR="00975ACE" w:rsidRPr="0052045B">
      <w:t xml:space="preserve"> of </w:t>
    </w:r>
    <w:fldSimple w:instr=" NUMPAGES  \* Arabic  \* MERGEFORMAT ">
      <w:r w:rsidR="00F765F4" w:rsidRPr="0052045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441C" w14:textId="77777777" w:rsidR="005465D6" w:rsidRDefault="005465D6" w:rsidP="009C0E16">
      <w:r>
        <w:separator/>
      </w:r>
    </w:p>
  </w:footnote>
  <w:footnote w:type="continuationSeparator" w:id="0">
    <w:p w14:paraId="66CB1E91" w14:textId="77777777" w:rsidR="005465D6" w:rsidRDefault="005465D6" w:rsidP="0040704C">
      <w:r>
        <w:continuationSeparator/>
      </w:r>
    </w:p>
  </w:footnote>
  <w:footnote w:type="continuationNotice" w:id="1">
    <w:p w14:paraId="2B114906" w14:textId="77777777" w:rsidR="005465D6" w:rsidRDefault="005465D6" w:rsidP="00407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8" w14:textId="5AF85F5E" w:rsidR="00975ACE" w:rsidRDefault="00000000" w:rsidP="0040704C">
    <w:pPr>
      <w:pStyle w:val="Header"/>
      <w:rPr>
        <w:rFonts w:asciiTheme="minorHAnsi" w:hAnsiTheme="minorHAnsi" w:cstheme="minorHAnsi"/>
      </w:rPr>
    </w:pPr>
    <w:sdt>
      <w:sdtPr>
        <w:rPr>
          <w:rFonts w:asciiTheme="minorHAnsi" w:hAnsiTheme="minorHAnsi" w:cstheme="minorHAnsi"/>
        </w:r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74926" w:rsidRPr="00645B08">
          <w:rPr>
            <w:rFonts w:asciiTheme="minorHAnsi" w:hAnsiTheme="minorHAnsi" w:cstheme="minorHAnsi"/>
          </w:rPr>
          <w:t>(Company)</w:t>
        </w:r>
      </w:sdtContent>
    </w:sdt>
    <w:r w:rsidR="00975ACE" w:rsidRPr="00645B08">
      <w:rPr>
        <w:rFonts w:asciiTheme="minorHAnsi" w:hAnsiTheme="minorHAnsi" w:cstheme="minorHAnsi"/>
      </w:rPr>
      <w:t xml:space="preserve"> </w:t>
    </w:r>
    <w:sdt>
      <w:sdtPr>
        <w:rPr>
          <w:rFonts w:asciiTheme="minorHAnsi" w:hAnsiTheme="minorHAnsi" w:cstheme="minorHAnsi"/>
        </w:r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E150F" w:rsidRPr="00645B08">
          <w:rPr>
            <w:rFonts w:asciiTheme="minorHAnsi" w:hAnsiTheme="minorHAnsi" w:cstheme="minorHAnsi"/>
          </w:rPr>
          <w:t>Incident Management Policy</w:t>
        </w:r>
      </w:sdtContent>
    </w:sdt>
  </w:p>
  <w:p w14:paraId="056F6CFF" w14:textId="77777777" w:rsidR="00645B08" w:rsidRPr="00645B08" w:rsidRDefault="00645B08" w:rsidP="0040704C">
    <w:pPr>
      <w:pStyle w:val="Header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645B08" w14:paraId="0F445595" w14:textId="77777777" w:rsidTr="00D24A4F">
      <w:tc>
        <w:tcPr>
          <w:tcW w:w="3116" w:type="dxa"/>
          <w:vMerge w:val="restart"/>
        </w:tcPr>
        <w:p w14:paraId="45573369" w14:textId="77777777" w:rsidR="00645B08" w:rsidRDefault="00645B08" w:rsidP="00645B08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0B2AA407" wp14:editId="2E7FEAA4">
                <wp:simplePos x="0" y="0"/>
                <wp:positionH relativeFrom="column">
                  <wp:posOffset>-30480</wp:posOffset>
                </wp:positionH>
                <wp:positionV relativeFrom="paragraph">
                  <wp:posOffset>133350</wp:posOffset>
                </wp:positionV>
                <wp:extent cx="1382395" cy="443865"/>
                <wp:effectExtent l="0" t="0" r="1905" b="635"/>
                <wp:wrapThrough wrapText="bothSides">
                  <wp:wrapPolygon edited="0">
                    <wp:start x="0" y="0"/>
                    <wp:lineTo x="0" y="21013"/>
                    <wp:lineTo x="21431" y="21013"/>
                    <wp:lineTo x="21431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3D5C0BFA" w14:textId="5E155CBD" w:rsidR="00645B08" w:rsidRPr="00503E98" w:rsidRDefault="00000000" w:rsidP="0037039E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29AD46DCB0BC4CE38ED1C7D098CF9A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45B08">
                <w:t>Incident Management Policy</w:t>
              </w:r>
            </w:sdtContent>
          </w:sdt>
          <w:r w:rsidR="00645B08" w:rsidRPr="00503E98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CECC41E92B1492081E66DABCE8DD09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645B08" w:rsidRPr="00503E98">
                <w:t>1.0.</w:t>
              </w:r>
              <w:r w:rsidR="00D94327">
                <w:t>0</w:t>
              </w:r>
            </w:sdtContent>
          </w:sdt>
        </w:p>
      </w:tc>
    </w:tr>
    <w:tr w:rsidR="00645B08" w14:paraId="346C6BF4" w14:textId="77777777" w:rsidTr="00D24A4F">
      <w:tc>
        <w:tcPr>
          <w:tcW w:w="3116" w:type="dxa"/>
          <w:vMerge/>
        </w:tcPr>
        <w:p w14:paraId="4B93EDD9" w14:textId="77777777" w:rsidR="00645B08" w:rsidRDefault="00645B08" w:rsidP="00645B08">
          <w:pPr>
            <w:spacing w:before="0" w:after="0"/>
          </w:pPr>
        </w:p>
      </w:tc>
      <w:tc>
        <w:tcPr>
          <w:tcW w:w="934" w:type="dxa"/>
        </w:tcPr>
        <w:p w14:paraId="05188AEE" w14:textId="77777777" w:rsidR="00645B08" w:rsidRPr="00023AC1" w:rsidRDefault="00645B08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r w:rsidRPr="00023AC1">
            <w:rPr>
              <w:rFonts w:asciiTheme="minorHAnsi" w:hAnsiTheme="minorHAnsi" w:cstheme="minorHAnsi"/>
              <w:b/>
              <w:sz w:val="22"/>
            </w:rPr>
            <w:t>Status:</w:t>
          </w:r>
        </w:p>
      </w:tc>
      <w:tc>
        <w:tcPr>
          <w:tcW w:w="1800" w:type="dxa"/>
          <w:gridSpan w:val="2"/>
        </w:tcPr>
        <w:p w14:paraId="199691EC" w14:textId="77777777" w:rsidR="00645B08" w:rsidRPr="00023AC1" w:rsidRDefault="00000000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sdt>
            <w:sdtPr>
              <w:rPr>
                <w:rFonts w:asciiTheme="minorHAnsi" w:hAnsiTheme="minorHAnsi" w:cstheme="minorHAnsi"/>
                <w:sz w:val="22"/>
              </w:r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 w:rsidR="00645B08" w:rsidRPr="00023AC1">
                <w:rPr>
                  <w:rFonts w:ascii="Segoe UI Symbol" w:eastAsia="MS Gothic" w:hAnsi="Segoe UI Symbol" w:cs="Segoe UI Symbol"/>
                  <w:sz w:val="22"/>
                </w:rPr>
                <w:t>☒</w:t>
              </w:r>
            </w:sdtContent>
          </w:sdt>
          <w:r w:rsidR="00645B08" w:rsidRPr="00023AC1">
            <w:rPr>
              <w:rFonts w:asciiTheme="minorHAnsi" w:hAnsiTheme="minorHAnsi" w:cstheme="minorHAnsi"/>
              <w:sz w:val="22"/>
            </w:rPr>
            <w:t xml:space="preserve"> Working Draft</w:t>
          </w:r>
        </w:p>
      </w:tc>
      <w:tc>
        <w:tcPr>
          <w:tcW w:w="1440" w:type="dxa"/>
        </w:tcPr>
        <w:p w14:paraId="4068CCD2" w14:textId="77777777" w:rsidR="00645B08" w:rsidRPr="00023AC1" w:rsidRDefault="00000000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sdt>
            <w:sdtPr>
              <w:rPr>
                <w:rFonts w:asciiTheme="minorHAnsi" w:hAnsiTheme="minorHAnsi" w:cstheme="minorHAnsi"/>
                <w:sz w:val="22"/>
              </w:r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645B08" w:rsidRPr="00023AC1">
                <w:rPr>
                  <w:rFonts w:ascii="Segoe UI Symbol" w:eastAsia="MS Gothic" w:hAnsi="Segoe UI Symbol" w:cs="Segoe UI Symbol"/>
                  <w:sz w:val="22"/>
                </w:rPr>
                <w:t>☐</w:t>
              </w:r>
            </w:sdtContent>
          </w:sdt>
          <w:r w:rsidR="00645B08" w:rsidRPr="00023AC1">
            <w:rPr>
              <w:rFonts w:asciiTheme="minorHAnsi" w:hAnsiTheme="minorHAnsi" w:cstheme="minorHAnsi"/>
              <w:sz w:val="22"/>
            </w:rPr>
            <w:t xml:space="preserve"> Approved</w:t>
          </w:r>
        </w:p>
      </w:tc>
      <w:tc>
        <w:tcPr>
          <w:tcW w:w="2060" w:type="dxa"/>
        </w:tcPr>
        <w:p w14:paraId="0F867613" w14:textId="77777777" w:rsidR="00645B08" w:rsidRPr="00023AC1" w:rsidRDefault="00000000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sdt>
            <w:sdtPr>
              <w:rPr>
                <w:rFonts w:asciiTheme="minorHAnsi" w:hAnsiTheme="minorHAnsi" w:cstheme="minorHAnsi"/>
                <w:sz w:val="22"/>
              </w:r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645B08" w:rsidRPr="00023AC1">
                <w:rPr>
                  <w:rFonts w:ascii="Segoe UI Symbol" w:eastAsia="MS Gothic" w:hAnsi="Segoe UI Symbol" w:cs="Segoe UI Symbol"/>
                  <w:sz w:val="22"/>
                </w:rPr>
                <w:t>☐</w:t>
              </w:r>
            </w:sdtContent>
          </w:sdt>
          <w:r w:rsidR="00645B08" w:rsidRPr="00023AC1">
            <w:rPr>
              <w:rFonts w:asciiTheme="minorHAnsi" w:hAnsiTheme="minorHAnsi" w:cstheme="minorHAnsi"/>
              <w:sz w:val="22"/>
            </w:rPr>
            <w:t xml:space="preserve"> Adopted</w:t>
          </w:r>
        </w:p>
      </w:tc>
    </w:tr>
    <w:tr w:rsidR="00645B08" w14:paraId="2B75D9A4" w14:textId="77777777" w:rsidTr="00D24A4F">
      <w:tc>
        <w:tcPr>
          <w:tcW w:w="3116" w:type="dxa"/>
          <w:vMerge/>
        </w:tcPr>
        <w:p w14:paraId="3E763A32" w14:textId="77777777" w:rsidR="00645B08" w:rsidRDefault="00645B08" w:rsidP="00645B08">
          <w:pPr>
            <w:spacing w:before="0" w:after="0"/>
          </w:pPr>
        </w:p>
      </w:tc>
      <w:tc>
        <w:tcPr>
          <w:tcW w:w="2009" w:type="dxa"/>
          <w:gridSpan w:val="2"/>
        </w:tcPr>
        <w:p w14:paraId="58A35FBD" w14:textId="77777777" w:rsidR="00645B08" w:rsidRPr="00023AC1" w:rsidRDefault="00645B08" w:rsidP="00645B08">
          <w:pPr>
            <w:spacing w:before="0" w:after="0"/>
            <w:jc w:val="left"/>
            <w:rPr>
              <w:rFonts w:asciiTheme="minorHAnsi" w:hAnsiTheme="minorHAnsi" w:cstheme="minorHAnsi"/>
              <w:b/>
              <w:sz w:val="22"/>
            </w:rPr>
          </w:pPr>
          <w:r w:rsidRPr="00023AC1">
            <w:rPr>
              <w:rFonts w:asciiTheme="minorHAnsi" w:hAnsiTheme="minorHAnsi" w:cstheme="minorHAnsi"/>
              <w:b/>
              <w:sz w:val="22"/>
            </w:rPr>
            <w:t>Document Owner:</w:t>
          </w:r>
        </w:p>
      </w:tc>
      <w:tc>
        <w:tcPr>
          <w:tcW w:w="4225" w:type="dxa"/>
          <w:gridSpan w:val="3"/>
        </w:tcPr>
        <w:p w14:paraId="0E9CABC2" w14:textId="77777777" w:rsidR="00645B08" w:rsidRPr="00023AC1" w:rsidRDefault="00645B08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r w:rsidRPr="00023AC1">
            <w:rPr>
              <w:rFonts w:asciiTheme="minorHAnsi" w:hAnsiTheme="minorHAnsi" w:cstheme="minorHAnsi"/>
              <w:sz w:val="22"/>
            </w:rPr>
            <w:t>Information Security Committee</w:t>
          </w:r>
        </w:p>
      </w:tc>
    </w:tr>
    <w:tr w:rsidR="00645B08" w14:paraId="1A535D2F" w14:textId="77777777" w:rsidTr="00D24A4F">
      <w:tc>
        <w:tcPr>
          <w:tcW w:w="3116" w:type="dxa"/>
          <w:vMerge/>
        </w:tcPr>
        <w:p w14:paraId="632B29D7" w14:textId="77777777" w:rsidR="00645B08" w:rsidRDefault="00645B08" w:rsidP="00645B08">
          <w:pPr>
            <w:spacing w:before="0" w:after="0"/>
          </w:pPr>
        </w:p>
      </w:tc>
      <w:tc>
        <w:tcPr>
          <w:tcW w:w="2009" w:type="dxa"/>
          <w:gridSpan w:val="2"/>
        </w:tcPr>
        <w:p w14:paraId="09F0FEF7" w14:textId="77777777" w:rsidR="00645B08" w:rsidRPr="00023AC1" w:rsidRDefault="00645B08" w:rsidP="00645B08">
          <w:pPr>
            <w:spacing w:before="0" w:after="0"/>
            <w:jc w:val="left"/>
            <w:rPr>
              <w:rFonts w:asciiTheme="minorHAnsi" w:hAnsiTheme="minorHAnsi" w:cstheme="minorHAnsi"/>
              <w:b/>
              <w:sz w:val="22"/>
            </w:rPr>
          </w:pPr>
          <w:r w:rsidRPr="00023AC1">
            <w:rPr>
              <w:rFonts w:asciiTheme="minorHAnsi" w:hAnsiTheme="minorHAnsi" w:cstheme="minorHAnsi"/>
              <w:b/>
              <w:sz w:val="22"/>
            </w:rPr>
            <w:t>Last Review Date:</w:t>
          </w:r>
        </w:p>
      </w:tc>
      <w:tc>
        <w:tcPr>
          <w:tcW w:w="4225" w:type="dxa"/>
          <w:gridSpan w:val="3"/>
        </w:tcPr>
        <w:p w14:paraId="7D7205BF" w14:textId="003D5651" w:rsidR="00645B08" w:rsidRPr="00023AC1" w:rsidRDefault="00C3538D" w:rsidP="00645B08">
          <w:pPr>
            <w:spacing w:before="0" w:after="0"/>
            <w:jc w:val="left"/>
            <w:rPr>
              <w:rFonts w:asciiTheme="minorHAnsi" w:hAnsiTheme="minorHAnsi" w:cstheme="minorHAnsi"/>
              <w:sz w:val="22"/>
            </w:rPr>
          </w:pPr>
          <w:r>
            <w:rPr>
              <w:rFonts w:asciiTheme="minorHAnsi" w:hAnsiTheme="minorHAnsi" w:cstheme="minorHAnsi"/>
              <w:sz w:val="22"/>
            </w:rPr>
            <w:t>September</w:t>
          </w:r>
          <w:r w:rsidR="00645B08" w:rsidRPr="00023AC1">
            <w:rPr>
              <w:rFonts w:asciiTheme="minorHAnsi" w:hAnsiTheme="minorHAnsi" w:cstheme="minorHAnsi"/>
              <w:sz w:val="22"/>
            </w:rPr>
            <w:t xml:space="preserve"> 2020</w:t>
          </w:r>
        </w:p>
      </w:tc>
    </w:tr>
  </w:tbl>
  <w:p w14:paraId="400E5ED6" w14:textId="77777777" w:rsidR="00975ACE" w:rsidRPr="002D6029" w:rsidRDefault="00975ACE" w:rsidP="0040704C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E5EDA" wp14:editId="7C3A99EF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FD27BA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FB536BF"/>
    <w:multiLevelType w:val="hybridMultilevel"/>
    <w:tmpl w:val="EC96E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0591"/>
    <w:multiLevelType w:val="hybridMultilevel"/>
    <w:tmpl w:val="246EF706"/>
    <w:lvl w:ilvl="0" w:tplc="316C8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3E50"/>
    <w:multiLevelType w:val="hybridMultilevel"/>
    <w:tmpl w:val="A34E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80F89"/>
    <w:multiLevelType w:val="hybridMultilevel"/>
    <w:tmpl w:val="809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66273"/>
    <w:multiLevelType w:val="hybridMultilevel"/>
    <w:tmpl w:val="C420A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F20CD"/>
    <w:multiLevelType w:val="hybridMultilevel"/>
    <w:tmpl w:val="241A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0102686">
    <w:abstractNumId w:val="22"/>
  </w:num>
  <w:num w:numId="2" w16cid:durableId="1287783716">
    <w:abstractNumId w:val="32"/>
  </w:num>
  <w:num w:numId="3" w16cid:durableId="186408106">
    <w:abstractNumId w:val="18"/>
  </w:num>
  <w:num w:numId="4" w16cid:durableId="1927373982">
    <w:abstractNumId w:val="34"/>
  </w:num>
  <w:num w:numId="5" w16cid:durableId="1616214765">
    <w:abstractNumId w:val="30"/>
  </w:num>
  <w:num w:numId="6" w16cid:durableId="1321035649">
    <w:abstractNumId w:val="10"/>
  </w:num>
  <w:num w:numId="7" w16cid:durableId="1761683134">
    <w:abstractNumId w:val="14"/>
  </w:num>
  <w:num w:numId="8" w16cid:durableId="1261066766">
    <w:abstractNumId w:val="6"/>
  </w:num>
  <w:num w:numId="9" w16cid:durableId="433525417">
    <w:abstractNumId w:val="24"/>
  </w:num>
  <w:num w:numId="10" w16cid:durableId="534578982">
    <w:abstractNumId w:val="31"/>
  </w:num>
  <w:num w:numId="11" w16cid:durableId="615671992">
    <w:abstractNumId w:val="12"/>
  </w:num>
  <w:num w:numId="12" w16cid:durableId="676619277">
    <w:abstractNumId w:val="3"/>
  </w:num>
  <w:num w:numId="13" w16cid:durableId="475489250">
    <w:abstractNumId w:val="1"/>
  </w:num>
  <w:num w:numId="14" w16cid:durableId="991366852">
    <w:abstractNumId w:val="8"/>
  </w:num>
  <w:num w:numId="15" w16cid:durableId="2084404626">
    <w:abstractNumId w:val="28"/>
  </w:num>
  <w:num w:numId="16" w16cid:durableId="27997551">
    <w:abstractNumId w:val="0"/>
  </w:num>
  <w:num w:numId="17" w16cid:durableId="2064330317">
    <w:abstractNumId w:val="17"/>
  </w:num>
  <w:num w:numId="18" w16cid:durableId="2084795122">
    <w:abstractNumId w:val="27"/>
  </w:num>
  <w:num w:numId="19" w16cid:durableId="1642929623">
    <w:abstractNumId w:val="29"/>
  </w:num>
  <w:num w:numId="20" w16cid:durableId="158738999">
    <w:abstractNumId w:val="9"/>
  </w:num>
  <w:num w:numId="21" w16cid:durableId="1526747267">
    <w:abstractNumId w:val="26"/>
  </w:num>
  <w:num w:numId="22" w16cid:durableId="300773732">
    <w:abstractNumId w:val="2"/>
  </w:num>
  <w:num w:numId="23" w16cid:durableId="1213234075">
    <w:abstractNumId w:val="25"/>
  </w:num>
  <w:num w:numId="24" w16cid:durableId="1790010588">
    <w:abstractNumId w:val="19"/>
  </w:num>
  <w:num w:numId="25" w16cid:durableId="1709136872">
    <w:abstractNumId w:val="16"/>
  </w:num>
  <w:num w:numId="26" w16cid:durableId="1832256945">
    <w:abstractNumId w:val="4"/>
  </w:num>
  <w:num w:numId="27" w16cid:durableId="1997831494">
    <w:abstractNumId w:val="7"/>
  </w:num>
  <w:num w:numId="28" w16cid:durableId="756755499">
    <w:abstractNumId w:val="3"/>
  </w:num>
  <w:num w:numId="29" w16cid:durableId="1622610054">
    <w:abstractNumId w:val="3"/>
  </w:num>
  <w:num w:numId="30" w16cid:durableId="1810780014">
    <w:abstractNumId w:val="33"/>
  </w:num>
  <w:num w:numId="31" w16cid:durableId="277487501">
    <w:abstractNumId w:val="36"/>
  </w:num>
  <w:num w:numId="32" w16cid:durableId="1435401837">
    <w:abstractNumId w:val="3"/>
  </w:num>
  <w:num w:numId="33" w16cid:durableId="1535117090">
    <w:abstractNumId w:val="20"/>
  </w:num>
  <w:num w:numId="34" w16cid:durableId="1995181881">
    <w:abstractNumId w:val="11"/>
  </w:num>
  <w:num w:numId="35" w16cid:durableId="2027444214">
    <w:abstractNumId w:val="13"/>
  </w:num>
  <w:num w:numId="36" w16cid:durableId="1775780952">
    <w:abstractNumId w:val="3"/>
  </w:num>
  <w:num w:numId="37" w16cid:durableId="1462529036">
    <w:abstractNumId w:val="3"/>
  </w:num>
  <w:num w:numId="38" w16cid:durableId="558827025">
    <w:abstractNumId w:val="35"/>
  </w:num>
  <w:num w:numId="39" w16cid:durableId="331032232">
    <w:abstractNumId w:val="3"/>
  </w:num>
  <w:num w:numId="40" w16cid:durableId="1876892001">
    <w:abstractNumId w:val="3"/>
  </w:num>
  <w:num w:numId="41" w16cid:durableId="667514512">
    <w:abstractNumId w:val="3"/>
  </w:num>
  <w:num w:numId="42" w16cid:durableId="2003701201">
    <w:abstractNumId w:val="15"/>
  </w:num>
  <w:num w:numId="43" w16cid:durableId="152183901">
    <w:abstractNumId w:val="23"/>
  </w:num>
  <w:num w:numId="44" w16cid:durableId="1267470539">
    <w:abstractNumId w:val="21"/>
  </w:num>
  <w:num w:numId="45" w16cid:durableId="825245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202"/>
    <w:rsid w:val="00003664"/>
    <w:rsid w:val="00003D59"/>
    <w:rsid w:val="00004581"/>
    <w:rsid w:val="00004890"/>
    <w:rsid w:val="0001087F"/>
    <w:rsid w:val="0001364F"/>
    <w:rsid w:val="00020749"/>
    <w:rsid w:val="00023999"/>
    <w:rsid w:val="00042A1D"/>
    <w:rsid w:val="00044AD2"/>
    <w:rsid w:val="000540D4"/>
    <w:rsid w:val="00070886"/>
    <w:rsid w:val="0008404B"/>
    <w:rsid w:val="00085675"/>
    <w:rsid w:val="00094F6F"/>
    <w:rsid w:val="00096309"/>
    <w:rsid w:val="00096FB2"/>
    <w:rsid w:val="000A4FE0"/>
    <w:rsid w:val="000A6E41"/>
    <w:rsid w:val="000B1CE2"/>
    <w:rsid w:val="000B5893"/>
    <w:rsid w:val="000C7B94"/>
    <w:rsid w:val="000E2548"/>
    <w:rsid w:val="000E2C30"/>
    <w:rsid w:val="000F2233"/>
    <w:rsid w:val="000F5F3A"/>
    <w:rsid w:val="000F7EC4"/>
    <w:rsid w:val="001133E6"/>
    <w:rsid w:val="00124911"/>
    <w:rsid w:val="001374D2"/>
    <w:rsid w:val="00142E4C"/>
    <w:rsid w:val="001455F5"/>
    <w:rsid w:val="0016731F"/>
    <w:rsid w:val="001673D8"/>
    <w:rsid w:val="00181A9F"/>
    <w:rsid w:val="00184FF8"/>
    <w:rsid w:val="001B247D"/>
    <w:rsid w:val="001B66B0"/>
    <w:rsid w:val="001D1435"/>
    <w:rsid w:val="001D6437"/>
    <w:rsid w:val="001E29EC"/>
    <w:rsid w:val="001E3619"/>
    <w:rsid w:val="00212D60"/>
    <w:rsid w:val="00224978"/>
    <w:rsid w:val="0023718A"/>
    <w:rsid w:val="002409A6"/>
    <w:rsid w:val="002608E4"/>
    <w:rsid w:val="00266B38"/>
    <w:rsid w:val="0027746E"/>
    <w:rsid w:val="00282E9D"/>
    <w:rsid w:val="00287008"/>
    <w:rsid w:val="002A4BBB"/>
    <w:rsid w:val="002C0F36"/>
    <w:rsid w:val="002C38E6"/>
    <w:rsid w:val="002D147A"/>
    <w:rsid w:val="002D16BF"/>
    <w:rsid w:val="002D6029"/>
    <w:rsid w:val="002D6044"/>
    <w:rsid w:val="002E4D58"/>
    <w:rsid w:val="002E57DA"/>
    <w:rsid w:val="002F31E7"/>
    <w:rsid w:val="00300152"/>
    <w:rsid w:val="00304DF6"/>
    <w:rsid w:val="00307472"/>
    <w:rsid w:val="00311C55"/>
    <w:rsid w:val="00324729"/>
    <w:rsid w:val="00324CA7"/>
    <w:rsid w:val="00332763"/>
    <w:rsid w:val="00336B1B"/>
    <w:rsid w:val="00343D0A"/>
    <w:rsid w:val="0035168E"/>
    <w:rsid w:val="0035421E"/>
    <w:rsid w:val="00354A49"/>
    <w:rsid w:val="00362657"/>
    <w:rsid w:val="0037039E"/>
    <w:rsid w:val="003705B1"/>
    <w:rsid w:val="00386A10"/>
    <w:rsid w:val="003A00C3"/>
    <w:rsid w:val="003C3CB5"/>
    <w:rsid w:val="003C5B2B"/>
    <w:rsid w:val="003F0946"/>
    <w:rsid w:val="003F3D99"/>
    <w:rsid w:val="004001FC"/>
    <w:rsid w:val="00400A9F"/>
    <w:rsid w:val="0040384C"/>
    <w:rsid w:val="0040704C"/>
    <w:rsid w:val="0041384B"/>
    <w:rsid w:val="004207F0"/>
    <w:rsid w:val="004251F3"/>
    <w:rsid w:val="00431548"/>
    <w:rsid w:val="00431A44"/>
    <w:rsid w:val="00453ECC"/>
    <w:rsid w:val="004576A6"/>
    <w:rsid w:val="00462559"/>
    <w:rsid w:val="00467495"/>
    <w:rsid w:val="0047557C"/>
    <w:rsid w:val="00476777"/>
    <w:rsid w:val="0048382F"/>
    <w:rsid w:val="0048489F"/>
    <w:rsid w:val="00494176"/>
    <w:rsid w:val="00495DFD"/>
    <w:rsid w:val="004A46F7"/>
    <w:rsid w:val="004A7BD7"/>
    <w:rsid w:val="004B2167"/>
    <w:rsid w:val="004B74E7"/>
    <w:rsid w:val="004C2A9B"/>
    <w:rsid w:val="004C6CA9"/>
    <w:rsid w:val="004C77D1"/>
    <w:rsid w:val="004E223F"/>
    <w:rsid w:val="004E4101"/>
    <w:rsid w:val="004F34B9"/>
    <w:rsid w:val="004F4AC5"/>
    <w:rsid w:val="004F711E"/>
    <w:rsid w:val="004F7AEE"/>
    <w:rsid w:val="005039AA"/>
    <w:rsid w:val="00517158"/>
    <w:rsid w:val="0051780E"/>
    <w:rsid w:val="0052045B"/>
    <w:rsid w:val="00533AFB"/>
    <w:rsid w:val="00537ECF"/>
    <w:rsid w:val="005413AD"/>
    <w:rsid w:val="00542829"/>
    <w:rsid w:val="00542A45"/>
    <w:rsid w:val="0054375D"/>
    <w:rsid w:val="005465D6"/>
    <w:rsid w:val="00554B9D"/>
    <w:rsid w:val="00562E59"/>
    <w:rsid w:val="00565277"/>
    <w:rsid w:val="00566029"/>
    <w:rsid w:val="00584582"/>
    <w:rsid w:val="00587028"/>
    <w:rsid w:val="00592CB6"/>
    <w:rsid w:val="005969CA"/>
    <w:rsid w:val="005A1090"/>
    <w:rsid w:val="005A2DBD"/>
    <w:rsid w:val="005A3E31"/>
    <w:rsid w:val="005A6480"/>
    <w:rsid w:val="005A7827"/>
    <w:rsid w:val="005B5E2C"/>
    <w:rsid w:val="005B7BF7"/>
    <w:rsid w:val="005D3A3A"/>
    <w:rsid w:val="005D5296"/>
    <w:rsid w:val="005D5E19"/>
    <w:rsid w:val="005E1F45"/>
    <w:rsid w:val="005E4FB5"/>
    <w:rsid w:val="005E6A1B"/>
    <w:rsid w:val="005F11E6"/>
    <w:rsid w:val="00603E53"/>
    <w:rsid w:val="00605B56"/>
    <w:rsid w:val="00614AB5"/>
    <w:rsid w:val="0062382A"/>
    <w:rsid w:val="006401E1"/>
    <w:rsid w:val="00640A26"/>
    <w:rsid w:val="006424EE"/>
    <w:rsid w:val="00645B08"/>
    <w:rsid w:val="00646B8C"/>
    <w:rsid w:val="00650B69"/>
    <w:rsid w:val="00653D7B"/>
    <w:rsid w:val="00654780"/>
    <w:rsid w:val="00654C32"/>
    <w:rsid w:val="00662D8F"/>
    <w:rsid w:val="00667402"/>
    <w:rsid w:val="00672546"/>
    <w:rsid w:val="00672938"/>
    <w:rsid w:val="00675662"/>
    <w:rsid w:val="006949E1"/>
    <w:rsid w:val="00695BDA"/>
    <w:rsid w:val="006A1A09"/>
    <w:rsid w:val="006A1B8E"/>
    <w:rsid w:val="006B174A"/>
    <w:rsid w:val="006B5A8A"/>
    <w:rsid w:val="006C07A0"/>
    <w:rsid w:val="006C4F70"/>
    <w:rsid w:val="006D1A4D"/>
    <w:rsid w:val="006D5507"/>
    <w:rsid w:val="006E0C47"/>
    <w:rsid w:val="006E6E18"/>
    <w:rsid w:val="006E7823"/>
    <w:rsid w:val="006E7878"/>
    <w:rsid w:val="006F0DDA"/>
    <w:rsid w:val="006F1D53"/>
    <w:rsid w:val="006F599A"/>
    <w:rsid w:val="007238DB"/>
    <w:rsid w:val="0072411B"/>
    <w:rsid w:val="00724BDD"/>
    <w:rsid w:val="00733677"/>
    <w:rsid w:val="007423CA"/>
    <w:rsid w:val="00743C0F"/>
    <w:rsid w:val="007504C0"/>
    <w:rsid w:val="007664DD"/>
    <w:rsid w:val="00766DF1"/>
    <w:rsid w:val="00774FC1"/>
    <w:rsid w:val="00775464"/>
    <w:rsid w:val="007A1EC5"/>
    <w:rsid w:val="007A39BC"/>
    <w:rsid w:val="007A6302"/>
    <w:rsid w:val="007A721B"/>
    <w:rsid w:val="007B025F"/>
    <w:rsid w:val="007B1C5E"/>
    <w:rsid w:val="007C327F"/>
    <w:rsid w:val="007D36ED"/>
    <w:rsid w:val="007E38D9"/>
    <w:rsid w:val="007E5F8E"/>
    <w:rsid w:val="007F0211"/>
    <w:rsid w:val="007F0D00"/>
    <w:rsid w:val="00810D11"/>
    <w:rsid w:val="00812E6F"/>
    <w:rsid w:val="008229E6"/>
    <w:rsid w:val="00835EA1"/>
    <w:rsid w:val="00836B96"/>
    <w:rsid w:val="00854460"/>
    <w:rsid w:val="0085732C"/>
    <w:rsid w:val="00861309"/>
    <w:rsid w:val="00861CF0"/>
    <w:rsid w:val="008654FB"/>
    <w:rsid w:val="00872F23"/>
    <w:rsid w:val="00874F35"/>
    <w:rsid w:val="008911D1"/>
    <w:rsid w:val="008B1189"/>
    <w:rsid w:val="008C2AE1"/>
    <w:rsid w:val="008C5D1B"/>
    <w:rsid w:val="008C5DB8"/>
    <w:rsid w:val="008D7409"/>
    <w:rsid w:val="008E1DE1"/>
    <w:rsid w:val="00901AFF"/>
    <w:rsid w:val="00906B49"/>
    <w:rsid w:val="009158CF"/>
    <w:rsid w:val="00915B5E"/>
    <w:rsid w:val="00917B47"/>
    <w:rsid w:val="00925DC1"/>
    <w:rsid w:val="009349D1"/>
    <w:rsid w:val="00936406"/>
    <w:rsid w:val="009436E5"/>
    <w:rsid w:val="009502AD"/>
    <w:rsid w:val="00962390"/>
    <w:rsid w:val="00967180"/>
    <w:rsid w:val="009678C5"/>
    <w:rsid w:val="00975ACE"/>
    <w:rsid w:val="00985EE4"/>
    <w:rsid w:val="00995C0D"/>
    <w:rsid w:val="009B271A"/>
    <w:rsid w:val="009C0E16"/>
    <w:rsid w:val="009C2455"/>
    <w:rsid w:val="009C337B"/>
    <w:rsid w:val="009C6FC2"/>
    <w:rsid w:val="009D6DC2"/>
    <w:rsid w:val="009D72BB"/>
    <w:rsid w:val="009D7BD8"/>
    <w:rsid w:val="009E296D"/>
    <w:rsid w:val="009E3054"/>
    <w:rsid w:val="009E6CBC"/>
    <w:rsid w:val="009F292D"/>
    <w:rsid w:val="00A0763A"/>
    <w:rsid w:val="00A253DF"/>
    <w:rsid w:val="00A2757C"/>
    <w:rsid w:val="00A41220"/>
    <w:rsid w:val="00A44088"/>
    <w:rsid w:val="00A44FB2"/>
    <w:rsid w:val="00A519B9"/>
    <w:rsid w:val="00A524DE"/>
    <w:rsid w:val="00A55A28"/>
    <w:rsid w:val="00A641F4"/>
    <w:rsid w:val="00A67440"/>
    <w:rsid w:val="00A90E35"/>
    <w:rsid w:val="00A93931"/>
    <w:rsid w:val="00A94EAB"/>
    <w:rsid w:val="00AC4039"/>
    <w:rsid w:val="00AE358F"/>
    <w:rsid w:val="00AE7CA5"/>
    <w:rsid w:val="00AF1C0B"/>
    <w:rsid w:val="00AF20B4"/>
    <w:rsid w:val="00AF274C"/>
    <w:rsid w:val="00B00464"/>
    <w:rsid w:val="00B00859"/>
    <w:rsid w:val="00B07A56"/>
    <w:rsid w:val="00B260DC"/>
    <w:rsid w:val="00B2742F"/>
    <w:rsid w:val="00B31927"/>
    <w:rsid w:val="00B47B8E"/>
    <w:rsid w:val="00B6271D"/>
    <w:rsid w:val="00B63BA2"/>
    <w:rsid w:val="00B6670E"/>
    <w:rsid w:val="00B80FB0"/>
    <w:rsid w:val="00B84946"/>
    <w:rsid w:val="00B91746"/>
    <w:rsid w:val="00BA69C3"/>
    <w:rsid w:val="00BA7D81"/>
    <w:rsid w:val="00BD5924"/>
    <w:rsid w:val="00BD5A0D"/>
    <w:rsid w:val="00BD6BD3"/>
    <w:rsid w:val="00BE0AD6"/>
    <w:rsid w:val="00BE11AE"/>
    <w:rsid w:val="00BE150F"/>
    <w:rsid w:val="00BE5BC4"/>
    <w:rsid w:val="00BE6217"/>
    <w:rsid w:val="00BF3233"/>
    <w:rsid w:val="00C00B0C"/>
    <w:rsid w:val="00C0652F"/>
    <w:rsid w:val="00C101CB"/>
    <w:rsid w:val="00C22C97"/>
    <w:rsid w:val="00C27DBC"/>
    <w:rsid w:val="00C31AE0"/>
    <w:rsid w:val="00C32F4C"/>
    <w:rsid w:val="00C3538D"/>
    <w:rsid w:val="00C46116"/>
    <w:rsid w:val="00C70E49"/>
    <w:rsid w:val="00C765C9"/>
    <w:rsid w:val="00C847EF"/>
    <w:rsid w:val="00C94A41"/>
    <w:rsid w:val="00C95112"/>
    <w:rsid w:val="00CD00D0"/>
    <w:rsid w:val="00CD420B"/>
    <w:rsid w:val="00CD4EFA"/>
    <w:rsid w:val="00CD6CCF"/>
    <w:rsid w:val="00CE21EA"/>
    <w:rsid w:val="00CE2260"/>
    <w:rsid w:val="00CE3B5F"/>
    <w:rsid w:val="00CE44EB"/>
    <w:rsid w:val="00CF233D"/>
    <w:rsid w:val="00CF2424"/>
    <w:rsid w:val="00CF7518"/>
    <w:rsid w:val="00D02960"/>
    <w:rsid w:val="00D03B5B"/>
    <w:rsid w:val="00D23237"/>
    <w:rsid w:val="00D33006"/>
    <w:rsid w:val="00D340AB"/>
    <w:rsid w:val="00D350E0"/>
    <w:rsid w:val="00D41367"/>
    <w:rsid w:val="00D445C7"/>
    <w:rsid w:val="00D55ECE"/>
    <w:rsid w:val="00D643BC"/>
    <w:rsid w:val="00D7495F"/>
    <w:rsid w:val="00D74B9D"/>
    <w:rsid w:val="00D925A6"/>
    <w:rsid w:val="00D94327"/>
    <w:rsid w:val="00DA10EB"/>
    <w:rsid w:val="00DA6D41"/>
    <w:rsid w:val="00DB18B1"/>
    <w:rsid w:val="00DB43B4"/>
    <w:rsid w:val="00DC47E1"/>
    <w:rsid w:val="00DD5A90"/>
    <w:rsid w:val="00DF29A3"/>
    <w:rsid w:val="00E0001C"/>
    <w:rsid w:val="00E048E4"/>
    <w:rsid w:val="00E10345"/>
    <w:rsid w:val="00E116D6"/>
    <w:rsid w:val="00E26AE6"/>
    <w:rsid w:val="00E2745C"/>
    <w:rsid w:val="00E45F49"/>
    <w:rsid w:val="00E45F99"/>
    <w:rsid w:val="00E54333"/>
    <w:rsid w:val="00E62A3C"/>
    <w:rsid w:val="00E64020"/>
    <w:rsid w:val="00E67F90"/>
    <w:rsid w:val="00E84DD6"/>
    <w:rsid w:val="00E91A42"/>
    <w:rsid w:val="00E9746C"/>
    <w:rsid w:val="00EA0400"/>
    <w:rsid w:val="00EB0CC2"/>
    <w:rsid w:val="00EB3324"/>
    <w:rsid w:val="00EC61E0"/>
    <w:rsid w:val="00ED1630"/>
    <w:rsid w:val="00ED3DA0"/>
    <w:rsid w:val="00ED41B9"/>
    <w:rsid w:val="00ED5BF3"/>
    <w:rsid w:val="00EE5C06"/>
    <w:rsid w:val="00EE65E2"/>
    <w:rsid w:val="00EF6FDD"/>
    <w:rsid w:val="00F06E78"/>
    <w:rsid w:val="00F079A0"/>
    <w:rsid w:val="00F22B44"/>
    <w:rsid w:val="00F378D0"/>
    <w:rsid w:val="00F543C6"/>
    <w:rsid w:val="00F70293"/>
    <w:rsid w:val="00F74926"/>
    <w:rsid w:val="00F765F4"/>
    <w:rsid w:val="00F85DFA"/>
    <w:rsid w:val="00F93719"/>
    <w:rsid w:val="00FB1111"/>
    <w:rsid w:val="00FB2CA6"/>
    <w:rsid w:val="00FB6976"/>
    <w:rsid w:val="00FB7563"/>
    <w:rsid w:val="00FC0F95"/>
    <w:rsid w:val="00FC4E1E"/>
    <w:rsid w:val="00FD4206"/>
    <w:rsid w:val="00FD75D9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16"/>
    <w:pPr>
      <w:spacing w:before="120" w:after="120"/>
      <w:jc w:val="both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0E16"/>
    <w:pPr>
      <w:spacing w:after="100"/>
    </w:pPr>
    <w:rPr>
      <w:color w:val="0070C0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link w:val="ListParagraphChar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915B5E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4001FC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F74926"/>
    <w:pPr>
      <w:numPr>
        <w:numId w:val="12"/>
      </w:numPr>
    </w:pPr>
  </w:style>
  <w:style w:type="paragraph" w:customStyle="1" w:styleId="Heading30">
    <w:name w:val="_Heading 3"/>
    <w:basedOn w:val="Heading3"/>
    <w:qFormat/>
    <w:rsid w:val="00672938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9C0E16"/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C3"/>
    <w:pPr>
      <w:spacing w:after="20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8E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8E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7ECF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C0E16"/>
    <w:pPr>
      <w:spacing w:after="100"/>
      <w:ind w:left="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C0E16"/>
    <w:pPr>
      <w:spacing w:after="100"/>
      <w:ind w:left="1540"/>
    </w:pPr>
  </w:style>
  <w:style w:type="character" w:customStyle="1" w:styleId="ListParagraphChar">
    <w:name w:val="List Paragraph Char"/>
    <w:link w:val="ListParagraph"/>
    <w:uiPriority w:val="34"/>
    <w:locked/>
    <w:rsid w:val="00C3538D"/>
    <w:rPr>
      <w:rFonts w:ascii="Trebuchet MS" w:hAnsi="Trebuchet MS"/>
      <w:sz w:val="20"/>
    </w:rPr>
  </w:style>
  <w:style w:type="table" w:styleId="GridTable5Dark-Accent6">
    <w:name w:val="Grid Table 5 Dark Accent 6"/>
    <w:basedOn w:val="TableNormal"/>
    <w:uiPriority w:val="50"/>
    <w:rsid w:val="003703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45B0CB171FD44CE68A1B3528D5A1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5BCE-2102-46BF-8C3C-05A448E08906}"/>
      </w:docPartPr>
      <w:docPartBody>
        <w:p w:rsidR="00F62D0B" w:rsidRDefault="00F62D0B">
          <w:pPr>
            <w:pStyle w:val="45B0CB171FD44CE68A1B3528D5A1BE6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16888A5D5654AC9BEB92C9320F0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A379-F153-4649-95FA-5044D9242780}"/>
      </w:docPartPr>
      <w:docPartBody>
        <w:p w:rsidR="00F62D0B" w:rsidRDefault="00F62D0B">
          <w:r w:rsidRPr="00571A91">
            <w:rPr>
              <w:rStyle w:val="PlaceholderText"/>
            </w:rPr>
            <w:t>[Title]</w:t>
          </w:r>
        </w:p>
      </w:docPartBody>
    </w:docPart>
    <w:docPart>
      <w:docPartPr>
        <w:name w:val="AE1AD7301B004306BDF3E527E86FE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D383-0051-4618-A4AF-0565DCC46648}"/>
      </w:docPartPr>
      <w:docPartBody>
        <w:p w:rsidR="000736D1" w:rsidRDefault="00E878A6" w:rsidP="00E878A6">
          <w:pPr>
            <w:pStyle w:val="AE1AD7301B004306BDF3E527E86FE38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A80A42944674A29A07E7F9F917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79934-51D8-40CE-B767-13B926C48F39}"/>
      </w:docPartPr>
      <w:docPartBody>
        <w:p w:rsidR="009A1E79" w:rsidRDefault="00C005BA" w:rsidP="00C005BA">
          <w:pPr>
            <w:pStyle w:val="9A80A42944674A29A07E7F9F917D2AC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9AD46DCB0BC4CE38ED1C7D098CF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A4B5-07D6-4084-A121-D7E9CA17F0B8}"/>
      </w:docPartPr>
      <w:docPartBody>
        <w:p w:rsidR="00942269" w:rsidRDefault="001939E9" w:rsidP="001939E9">
          <w:pPr>
            <w:pStyle w:val="29AD46DCB0BC4CE38ED1C7D098CF9A17"/>
          </w:pPr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CECC41E92B1492081E66DABCE8D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71084-D302-4CBE-A7CD-9A63D8C1B2BE}"/>
      </w:docPartPr>
      <w:docPartBody>
        <w:p w:rsidR="00942269" w:rsidRDefault="001939E9" w:rsidP="001939E9">
          <w:pPr>
            <w:pStyle w:val="ECECC41E92B1492081E66DABCE8DD09C"/>
          </w:pPr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BEDCC4CC6984993BAEDBD642FB68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82522-3381-467A-B1F3-46CD99CFC7DA}"/>
      </w:docPartPr>
      <w:docPartBody>
        <w:p w:rsidR="001A4666" w:rsidRDefault="007F4FA7" w:rsidP="007F4FA7">
          <w:pPr>
            <w:pStyle w:val="CBEDCC4CC6984993BAEDBD642FB6822E"/>
          </w:pPr>
          <w:r w:rsidRPr="0084596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0736D1"/>
    <w:rsid w:val="000F7C23"/>
    <w:rsid w:val="001939E9"/>
    <w:rsid w:val="001A4666"/>
    <w:rsid w:val="00291ACB"/>
    <w:rsid w:val="002D37E1"/>
    <w:rsid w:val="003427E4"/>
    <w:rsid w:val="003A077D"/>
    <w:rsid w:val="003F5FC9"/>
    <w:rsid w:val="004079D9"/>
    <w:rsid w:val="0043498E"/>
    <w:rsid w:val="004A59C1"/>
    <w:rsid w:val="004E3ED8"/>
    <w:rsid w:val="004E7D59"/>
    <w:rsid w:val="00563A09"/>
    <w:rsid w:val="005D07E0"/>
    <w:rsid w:val="007C0AF1"/>
    <w:rsid w:val="007C324E"/>
    <w:rsid w:val="007F4FA7"/>
    <w:rsid w:val="008935A1"/>
    <w:rsid w:val="008D5432"/>
    <w:rsid w:val="008E7122"/>
    <w:rsid w:val="00926E65"/>
    <w:rsid w:val="00942269"/>
    <w:rsid w:val="00961AE9"/>
    <w:rsid w:val="009A1E79"/>
    <w:rsid w:val="009D123A"/>
    <w:rsid w:val="00A237E0"/>
    <w:rsid w:val="00A30AEE"/>
    <w:rsid w:val="00A70A32"/>
    <w:rsid w:val="00A71AC6"/>
    <w:rsid w:val="00A8299D"/>
    <w:rsid w:val="00B64036"/>
    <w:rsid w:val="00B84567"/>
    <w:rsid w:val="00B954CC"/>
    <w:rsid w:val="00BE4C82"/>
    <w:rsid w:val="00C005BA"/>
    <w:rsid w:val="00E5443E"/>
    <w:rsid w:val="00E85A47"/>
    <w:rsid w:val="00E878A6"/>
    <w:rsid w:val="00F471CC"/>
    <w:rsid w:val="00F62D0B"/>
    <w:rsid w:val="00F67A00"/>
    <w:rsid w:val="00F76C65"/>
    <w:rsid w:val="00F95A6A"/>
    <w:rsid w:val="00FA6466"/>
    <w:rsid w:val="00F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FA7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45B0CB171FD44CE68A1B3528D5A1BE62">
    <w:name w:val="45B0CB171FD44CE68A1B3528D5A1BE62"/>
    <w:pPr>
      <w:spacing w:after="160" w:line="259" w:lineRule="auto"/>
    </w:pPr>
  </w:style>
  <w:style w:type="paragraph" w:customStyle="1" w:styleId="AE1AD7301B004306BDF3E527E86FE387">
    <w:name w:val="AE1AD7301B004306BDF3E527E86FE387"/>
    <w:rsid w:val="00E878A6"/>
    <w:pPr>
      <w:spacing w:after="160" w:line="259" w:lineRule="auto"/>
    </w:pPr>
  </w:style>
  <w:style w:type="paragraph" w:customStyle="1" w:styleId="9A80A42944674A29A07E7F9F917D2ACD">
    <w:name w:val="9A80A42944674A29A07E7F9F917D2ACD"/>
    <w:rsid w:val="00C005BA"/>
    <w:pPr>
      <w:spacing w:after="160" w:line="259" w:lineRule="auto"/>
    </w:pPr>
  </w:style>
  <w:style w:type="paragraph" w:customStyle="1" w:styleId="29AD46DCB0BC4CE38ED1C7D098CF9A17">
    <w:name w:val="29AD46DCB0BC4CE38ED1C7D098CF9A17"/>
    <w:rsid w:val="001939E9"/>
    <w:pPr>
      <w:spacing w:after="160" w:line="259" w:lineRule="auto"/>
    </w:pPr>
  </w:style>
  <w:style w:type="paragraph" w:customStyle="1" w:styleId="ECECC41E92B1492081E66DABCE8DD09C">
    <w:name w:val="ECECC41E92B1492081E66DABCE8DD09C"/>
    <w:rsid w:val="001939E9"/>
    <w:pPr>
      <w:spacing w:after="160" w:line="259" w:lineRule="auto"/>
    </w:pPr>
  </w:style>
  <w:style w:type="paragraph" w:customStyle="1" w:styleId="CBEDCC4CC6984993BAEDBD642FB6822E">
    <w:name w:val="CBEDCC4CC6984993BAEDBD642FB6822E"/>
    <w:rsid w:val="007F4FA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RKV5Y5VHEFTU-1265157358-391</_dlc_DocId>
    <_dlc_DocIdUrl xmlns="cb2f1755-a844-43d8-97cd-a47e3afad20b">
      <Url>https://frsecure.sharepoint.com/teams/frsecure/security/VCISO/_layouts/15/DocIdRedir.aspx?ID=RKV5Y5VHEFTU-1265157358-391</Url>
      <Description>RKV5Y5VHEFTU-1265157358-391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B7974C8-4636-4F1E-B37A-6F85E0B03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31469E-0850-4329-82AE-65A3BA329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8051-FE51-42C4-8EA1-A2A631F1E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EA5678-57F8-4DCA-8AE7-4440D451D903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F4203C27-B7DF-44A0-90BE-A03BD5F0FF1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Management Policy</vt:lpstr>
    </vt:vector>
  </TitlesOfParts>
  <Company>(Company)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Management Policy</dc:title>
  <dc:subject/>
  <dc:creator>Evan Francen</dc:creator>
  <cp:keywords/>
  <dc:description/>
  <cp:lastModifiedBy>Andy Forsberg</cp:lastModifiedBy>
  <cp:revision>8</cp:revision>
  <cp:lastPrinted>2010-12-02T17:40:00Z</cp:lastPrinted>
  <dcterms:created xsi:type="dcterms:W3CDTF">2020-09-22T15:55:00Z</dcterms:created>
  <dcterms:modified xsi:type="dcterms:W3CDTF">2022-06-23T16:35:00Z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41d39471-3a7e-4ec8-bf36-e508de02b5ad</vt:lpwstr>
  </property>
  <property fmtid="{D5CDD505-2E9C-101B-9397-08002B2CF9AE}" pid="3" name="ContentTypeId">
    <vt:lpwstr>0x0101003E2F2BCF78E2D1468DDEA35A42F2B164</vt:lpwstr>
  </property>
</Properties>
</file>