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jc w:val="center"/>
      </w:pPr>
      <w:r>
        <w:rPr>
          <w:rFonts w:ascii="Times New Roman" w:hAnsi="Times New Roman"/>
          <w:b/>
          <w:i w:val="0"/>
          <w:sz w:val="20"/>
        </w:rPr>
        <w:t>Atharva Educational Trust's</w:t>
      </w:r>
    </w:p>
    <w:p>
      <w:pPr>
        <w:spacing w:before="0" w:after="20" w:line="252" w:lineRule="auto"/>
        <w:jc w:val="center"/>
      </w:pPr>
      <w:r>
        <w:rPr>
          <w:rFonts w:ascii="Times New Roman" w:hAnsi="Times New Roman"/>
          <w:b/>
          <w:i w:val="0"/>
          <w:color w:val="0B2E59"/>
          <w:sz w:val="26"/>
        </w:rPr>
        <w:t>ATHARVA COLLEGE OF ENGINEERING</w:t>
      </w:r>
    </w:p>
    <w:p>
      <w:pPr>
        <w:spacing w:before="0" w:after="20" w:line="252" w:lineRule="auto"/>
        <w:jc w:val="center"/>
      </w:pPr>
      <w:r>
        <w:rPr>
          <w:rFonts w:ascii="Times New Roman" w:hAnsi="Times New Roman"/>
          <w:b w:val="0"/>
          <w:i/>
          <w:sz w:val="15"/>
        </w:rPr>
        <w:t>(Approved by AICTE, Recognized by Government of Maharashtra &amp; Affiliated to University of Mumbai)</w:t>
      </w:r>
    </w:p>
    <w:p>
      <w:pPr>
        <w:spacing w:before="0" w:after="60" w:line="252" w:lineRule="auto"/>
        <w:jc w:val="center"/>
      </w:pPr>
      <w:r>
        <w:rPr>
          <w:rFonts w:ascii="Times New Roman" w:hAnsi="Times New Roman"/>
          <w:b w:val="0"/>
          <w:i w:val="0"/>
          <w:sz w:val="16"/>
        </w:rPr>
        <w:t>Malad-Marve Road, Charkop Naka, Malad (West), Mumbai – 400095</w:t>
      </w:r>
    </w:p>
    <w:p>
      <w:pPr>
        <w:spacing w:before="0" w:after="80" w:line="252" w:lineRule="auto"/>
        <w:jc w:val="center"/>
      </w:pPr>
      <w:r>
        <w:rPr>
          <w:rFonts w:ascii="Times New Roman" w:hAnsi="Times New Roman"/>
          <w:b/>
          <w:i w:val="0"/>
          <w:color w:val="0F172A"/>
          <w:sz w:val="21"/>
        </w:rPr>
        <w:t>DEPARTMENT OF INFORMATION TECHNOLOGY</w:t>
      </w:r>
    </w:p>
    <w:p>
      <w:pPr>
        <w:spacing w:before="40" w:after="60"/>
        <w:jc w:val="center"/>
      </w:pPr>
      <w:r>
        <w:drawing>
          <wp:inline xmlns:a="http://schemas.openxmlformats.org/drawingml/2006/main" xmlns:pic="http://schemas.openxmlformats.org/drawingml/2006/picture">
            <wp:extent cx="960120" cy="850865"/>
            <wp:docPr id="1" name="Picture 1"/>
            <wp:cNvGraphicFramePr>
              <a:graphicFrameLocks noChangeAspect="1"/>
            </wp:cNvGraphicFramePr>
            <a:graphic>
              <a:graphicData uri="http://schemas.openxmlformats.org/drawingml/2006/picture">
                <pic:pic>
                  <pic:nvPicPr>
                    <pic:cNvPr id="0" name="extracted_p1_img1.jpeg"/>
                    <pic:cNvPicPr/>
                  </pic:nvPicPr>
                  <pic:blipFill>
                    <a:blip r:embed="rId9"/>
                    <a:stretch>
                      <a:fillRect/>
                    </a:stretch>
                  </pic:blipFill>
                  <pic:spPr>
                    <a:xfrm>
                      <a:off x="0" y="0"/>
                      <a:ext cx="960120" cy="850865"/>
                    </a:xfrm>
                    <a:prstGeom prst="rect"/>
                  </pic:spPr>
                </pic:pic>
              </a:graphicData>
            </a:graphic>
          </wp:inline>
        </w:drawing>
      </w:r>
    </w:p>
    <w:p>
      <w:pPr>
        <w:spacing w:before="40" w:after="40" w:line="252" w:lineRule="auto"/>
        <w:jc w:val="center"/>
      </w:pPr>
      <w:r>
        <w:rPr>
          <w:rFonts w:ascii="Times New Roman" w:hAnsi="Times New Roman"/>
          <w:b/>
          <w:i w:val="0"/>
          <w:sz w:val="20"/>
        </w:rPr>
        <w:t>A MINI PROJECT REPORT ON</w:t>
      </w:r>
    </w:p>
    <w:p>
      <w:pPr>
        <w:spacing w:before="0" w:after="80" w:line="252" w:lineRule="auto"/>
        <w:jc w:val="center"/>
      </w:pPr>
      <w:r>
        <w:rPr>
          <w:rFonts w:ascii="Times New Roman" w:hAnsi="Times New Roman"/>
          <w:b/>
          <w:i w:val="0"/>
          <w:color w:val="0B2E59"/>
          <w:sz w:val="24"/>
        </w:rPr>
        <w:t>FOOTYPREDICT: DUAL-STAGE MACHINE LEARNING FRAMEWORK FOR FOOTBALL MATCH OUTCOME AND SCORELINE PREDICTION</w:t>
      </w:r>
    </w:p>
    <w:p>
      <w:pPr>
        <w:spacing w:before="0" w:after="20" w:line="252" w:lineRule="auto"/>
        <w:jc w:val="center"/>
      </w:pPr>
      <w:r>
        <w:rPr>
          <w:rFonts w:ascii="Times New Roman" w:hAnsi="Times New Roman"/>
          <w:b w:val="0"/>
          <w:i/>
          <w:sz w:val="17"/>
        </w:rPr>
        <w:t>Submitted in partial fulfillment of the academic requirements for the course of</w:t>
      </w:r>
    </w:p>
    <w:p>
      <w:pPr>
        <w:spacing w:before="0" w:after="80" w:line="252" w:lineRule="auto"/>
        <w:jc w:val="center"/>
      </w:pPr>
      <w:r>
        <w:rPr>
          <w:rFonts w:ascii="Times New Roman" w:hAnsi="Times New Roman"/>
          <w:b/>
          <w:i w:val="0"/>
          <w:sz w:val="20"/>
        </w:rPr>
        <w:t>ARTIFICIAL INTELLIGENCE &amp; DATA SCIENCE II (AI &amp; DS II)</w:t>
      </w:r>
    </w:p>
    <w:tbl>
      <w:tblPr>
        <w:tblW w:type="auto" w:w="0"/>
        <w:jc w:val="center"/>
        <w:tblLook w:firstColumn="1" w:firstRow="1" w:lastColumn="0" w:lastRow="0" w:noHBand="0" w:noVBand="1" w:val="04A0"/>
      </w:tblPr>
      <w:tblGrid>
        <w:gridCol w:w="4946"/>
        <w:gridCol w:w="4946"/>
      </w:tblGrid>
      <w:tr>
        <w:tc>
          <w:tcPr>
            <w:tcW w:type="dxa" w:w="4896"/>
            <w:tcBorders>
              <w:top w:val="single" w:sz="4" w:color="FFFFFF"/>
              <w:left w:val="single" w:sz="4" w:color="FFFFFF"/>
              <w:bottom w:val="single" w:sz="4" w:color="FFFFFF"/>
              <w:right w:val="single" w:sz="4" w:color="FFFFFF"/>
            </w:tcBorders>
          </w:tcPr>
          <w:p>
            <w:pPr>
              <w:spacing w:line="252" w:lineRule="auto"/>
              <w:jc w:val="left"/>
            </w:pPr>
            <w:r>
              <w:rPr>
                <w:b/>
                <w:sz w:val="17"/>
              </w:rPr>
              <w:t>Submitted by:</w:t>
              <w:br/>
            </w:r>
            <w:r>
              <w:rPr>
                <w:sz w:val="17"/>
              </w:rPr>
              <w:t>Saad Vakharia  (Roll No: 155)</w:t>
              <w:br/>
              <w:t>Class: BEIT-2  |  Batch: B2</w:t>
            </w:r>
          </w:p>
        </w:tc>
        <w:tc>
          <w:tcPr>
            <w:tcW w:type="dxa" w:w="4896"/>
            <w:tcBorders>
              <w:top w:val="single" w:sz="4" w:color="FFFFFF"/>
              <w:left w:val="single" w:sz="4" w:color="FFFFFF"/>
              <w:bottom w:val="single" w:sz="4" w:color="FFFFFF"/>
              <w:right w:val="single" w:sz="4" w:color="FFFFFF"/>
            </w:tcBorders>
          </w:tcPr>
          <w:p>
            <w:pPr>
              <w:spacing w:line="252" w:lineRule="auto"/>
              <w:jc w:val="right"/>
            </w:pPr>
            <w:r>
              <w:rPr>
                <w:b/>
                <w:sz w:val="17"/>
              </w:rPr>
              <w:t>Under the Guidance of:</w:t>
              <w:br/>
            </w:r>
            <w:r>
              <w:rPr>
                <w:sz w:val="17"/>
              </w:rPr>
              <w:t>Prof. Suvarna Panchal</w:t>
              <w:br/>
              <w:t>Assistant Professor, Dept. of IT</w:t>
            </w:r>
          </w:p>
        </w:tc>
      </w:tr>
      <w:tr>
        <w:tc>
          <w:tcPr>
            <w:tcW w:type="dxa" w:w="4896"/>
            <w:tcBorders>
              <w:top w:val="single" w:sz="4" w:color="FFFFFF"/>
              <w:left w:val="single" w:sz="4" w:color="FFFFFF"/>
              <w:bottom w:val="single" w:sz="4" w:color="FFFFFF"/>
              <w:right w:val="single" w:sz="4" w:color="FFFFFF"/>
            </w:tcBorders>
          </w:tcPr>
          <w:p/>
        </w:tc>
        <w:tc>
          <w:tcPr>
            <w:tcW w:type="dxa" w:w="4896"/>
            <w:tcBorders>
              <w:top w:val="single" w:sz="4" w:color="FFFFFF"/>
              <w:left w:val="single" w:sz="4" w:color="FFFFFF"/>
              <w:bottom w:val="single" w:sz="4" w:color="FFFFFF"/>
              <w:right w:val="single" w:sz="4" w:color="FFFFFF"/>
            </w:tcBorders>
          </w:tcPr>
          <w:p/>
        </w:tc>
      </w:tr>
    </w:tbl>
    <w:p>
      <w:pPr>
        <w:spacing w:before="40" w:after="40" w:line="252" w:lineRule="auto"/>
        <w:jc w:val="center"/>
      </w:pPr>
      <w:r>
        <w:rPr>
          <w:rFonts w:ascii="Times New Roman" w:hAnsi="Times New Roman"/>
          <w:b w:val="0"/>
          <w:i w:val="0"/>
          <w:color w:val="94A3B8"/>
          <w:sz w:val="16"/>
        </w:rPr>
        <w:t>――――――――――――――――――――――――――――――――――――――――――――――――――――――――――</w:t>
      </w:r>
    </w:p>
    <w:p>
      <w:pPr>
        <w:spacing w:before="0" w:after="40" w:line="252" w:lineRule="auto"/>
        <w:jc w:val="center"/>
      </w:pPr>
      <w:r>
        <w:rPr>
          <w:rFonts w:ascii="Times New Roman" w:hAnsi="Times New Roman"/>
          <w:b/>
          <w:i w:val="0"/>
          <w:color w:val="0B2E59"/>
          <w:sz w:val="21"/>
        </w:rPr>
        <w:t>CERTIFICATE OF APPROVAL</w:t>
      </w:r>
    </w:p>
    <w:p>
      <w:pPr>
        <w:spacing w:before="0" w:after="240" w:line="252" w:lineRule="auto"/>
        <w:jc w:val="both"/>
      </w:pPr>
      <w:r>
        <w:rPr>
          <w:rFonts w:ascii="Times New Roman" w:hAnsi="Times New Roman"/>
          <w:b w:val="0"/>
          <w:i/>
          <w:sz w:val="17"/>
        </w:rPr>
        <w:t>This is to certify that the mini-project titled "FootyPredict: Dual-Stage Machine Learning Framework for Football Match Outcome and Scoreline Prediction" is a bona fide work carried out by Saad Vakharia (Roll No: 155) under my supervision and guidance, in partial fulfillment of the requirements for AI &amp; DS II at Atharva College of Engineering during the academic year 2026–2027.</w:t>
      </w:r>
    </w:p>
    <w:tbl>
      <w:tblPr>
        <w:tblW w:type="auto" w:w="0"/>
        <w:jc w:val="center"/>
        <w:tblLook w:firstColumn="1" w:firstRow="1" w:lastColumn="0" w:lastRow="0" w:noHBand="0" w:noVBand="1" w:val="04A0"/>
      </w:tblPr>
      <w:tblGrid>
        <w:gridCol w:w="3298"/>
        <w:gridCol w:w="3298"/>
        <w:gridCol w:w="3298"/>
      </w:tblGrid>
      <w:tr>
        <w:tc>
          <w:tcPr>
            <w:tcW w:type="dxa" w:w="3312"/>
            <w:tcBorders>
              <w:top w:val="single" w:sz="4" w:color="FFFFFF"/>
              <w:left w:val="single" w:sz="4" w:color="FFFFFF"/>
              <w:bottom w:val="single" w:sz="4" w:color="FFFFFF"/>
              <w:right w:val="single" w:sz="4" w:color="FFFFFF"/>
            </w:tcBorders>
          </w:tcPr>
          <w:p>
            <w:pPr>
              <w:jc w:val="center"/>
            </w:pPr>
            <w:r>
              <w:rPr>
                <w:b/>
              </w:rPr>
              <w:t>___________________</w:t>
              <w:br/>
              <w:t>Prof. Suvarna Panchal</w:t>
              <w:br/>
            </w:r>
            <w:r>
              <w:rPr>
                <w:sz w:val="16"/>
              </w:rPr>
              <w:t>Project Guide</w:t>
            </w:r>
          </w:p>
        </w:tc>
        <w:tc>
          <w:tcPr>
            <w:tcW w:type="dxa" w:w="3312"/>
            <w:tcBorders>
              <w:top w:val="single" w:sz="4" w:color="FFFFFF"/>
              <w:left w:val="single" w:sz="4" w:color="FFFFFF"/>
              <w:bottom w:val="single" w:sz="4" w:color="FFFFFF"/>
              <w:right w:val="single" w:sz="4" w:color="FFFFFF"/>
            </w:tcBorders>
          </w:tcPr>
          <w:p>
            <w:pPr>
              <w:jc w:val="center"/>
            </w:pPr>
            <w:r>
              <w:rPr>
                <w:b/>
              </w:rPr>
              <w:t>___________________</w:t>
              <w:br/>
              <w:t>Dr. Nileema Pathak</w:t>
              <w:br/>
            </w:r>
            <w:r>
              <w:rPr>
                <w:sz w:val="16"/>
              </w:rPr>
              <w:t>Head of Department</w:t>
            </w:r>
          </w:p>
        </w:tc>
        <w:tc>
          <w:tcPr>
            <w:tcW w:type="dxa" w:w="3312"/>
            <w:tcBorders>
              <w:top w:val="single" w:sz="4" w:color="FFFFFF"/>
              <w:left w:val="single" w:sz="4" w:color="FFFFFF"/>
              <w:bottom w:val="single" w:sz="4" w:color="FFFFFF"/>
              <w:right w:val="single" w:sz="4" w:color="FFFFFF"/>
            </w:tcBorders>
          </w:tcPr>
          <w:p>
            <w:pPr>
              <w:jc w:val="center"/>
            </w:pPr>
            <w:r>
              <w:rPr>
                <w:b/>
              </w:rPr>
              <w:t>___________________</w:t>
              <w:br/>
              <w:t>Dr. Ramesh Kulkarni</w:t>
              <w:br/>
            </w:r>
            <w:r>
              <w:rPr>
                <w:sz w:val="16"/>
              </w:rPr>
              <w:t>Principal</w:t>
            </w:r>
          </w:p>
        </w:tc>
      </w:tr>
      <w:tr>
        <w:tc>
          <w:tcPr>
            <w:tcW w:type="dxa" w:w="3312"/>
            <w:tcBorders>
              <w:top w:val="single" w:sz="4" w:color="FFFFFF"/>
              <w:left w:val="single" w:sz="4" w:color="FFFFFF"/>
              <w:bottom w:val="single" w:sz="4" w:color="FFFFFF"/>
              <w:right w:val="single" w:sz="4" w:color="FFFFFF"/>
            </w:tcBorders>
          </w:tcPr>
          <w:p/>
        </w:tc>
        <w:tc>
          <w:tcPr>
            <w:tcW w:type="dxa" w:w="3312"/>
            <w:tcBorders>
              <w:top w:val="single" w:sz="4" w:color="FFFFFF"/>
              <w:left w:val="single" w:sz="4" w:color="FFFFFF"/>
              <w:bottom w:val="single" w:sz="4" w:color="FFFFFF"/>
              <w:right w:val="single" w:sz="4" w:color="FFFFFF"/>
            </w:tcBorders>
          </w:tcPr>
          <w:p>
            <w:pPr>
              <w:spacing w:before="160"/>
              <w:jc w:val="center"/>
            </w:pPr>
            <w:r>
              <w:rPr>
                <w:b/>
              </w:rPr>
              <w:t>___________________</w:t>
              <w:br/>
              <w:t>Internal &amp; External Examiners</w:t>
            </w:r>
          </w:p>
        </w:tc>
        <w:tc>
          <w:tcPr>
            <w:tcW w:type="dxa" w:w="3312"/>
            <w:tcBorders>
              <w:top w:val="single" w:sz="4" w:color="FFFFFF"/>
              <w:left w:val="single" w:sz="4" w:color="FFFFFF"/>
              <w:bottom w:val="single" w:sz="4" w:color="FFFFFF"/>
              <w:right w:val="single" w:sz="4" w:color="FFFFFF"/>
            </w:tcBorders>
          </w:tcPr>
          <w:p/>
        </w:tc>
      </w:tr>
    </w:tbl>
    <w:p>
      <w:r>
        <w:br w:type="page"/>
      </w:r>
    </w:p>
    <w:p>
      <w:pPr>
        <w:spacing w:before="100" w:after="40" w:line="252" w:lineRule="auto"/>
        <w:jc w:val="left"/>
      </w:pPr>
      <w:r>
        <w:rPr>
          <w:rFonts w:ascii="Times New Roman" w:hAnsi="Times New Roman"/>
          <w:b/>
          <w:i w:val="0"/>
          <w:color w:val="0B2E59"/>
          <w:sz w:val="22"/>
        </w:rPr>
        <w:t>ABSTRACT</w:t>
      </w:r>
    </w:p>
    <w:p>
      <w:pPr>
        <w:spacing w:before="0" w:after="80" w:line="252" w:lineRule="auto"/>
        <w:jc w:val="both"/>
      </w:pPr>
      <w:r>
        <w:rPr>
          <w:rFonts w:ascii="Times New Roman" w:hAnsi="Times New Roman"/>
          <w:b w:val="0"/>
          <w:i w:val="0"/>
          <w:sz w:val="17"/>
        </w:rPr>
        <w:t>Association football match outcome prediction is one of the most notoriously volatile tasks in statistical modeling due to the low-scoring nature of the game and high inherent match entropy. Traditional predictive approaches typically frame match forecasting as either a pure three-way classification problem (Home Win, Draw, Away Win) or a pure scoreline Poisson regression, each with severe statistical limitations. This project presents FootyPredict, a novel Dual-Stage Machine Learning Framework that mathematically unifies both paradigms. Stage 1 deploys Gradient Boosted Decision Trees (GBDT) with calibrated log-loss to model discrete match outcome distributions across 15 engineered features including dynamic Elo ratings, rolling 5-match momentum, and rest congestion. Stage 2 executes a bivariate Poisson formulation to predict team expected goals (xG) and construct the full joint probability matrix P(X=x, Y=y). Evaluated on 2,200 European league fixtures across a stratified test split, our dual-stage ensemble achieves a Weighted F1-Score of 43.09% and an Accuracy of 50.45%, outperforming standard standalone baselines while completely mitigating draw-suppression bias and providing real-time exact scoreline probabilities via an interactive dashboard.</w:t>
      </w:r>
    </w:p>
    <w:p>
      <w:pPr>
        <w:spacing w:before="100" w:after="40" w:line="252" w:lineRule="auto"/>
        <w:jc w:val="left"/>
      </w:pPr>
      <w:r>
        <w:rPr>
          <w:rFonts w:ascii="Times New Roman" w:hAnsi="Times New Roman"/>
          <w:b/>
          <w:i w:val="0"/>
          <w:color w:val="0B2E59"/>
          <w:sz w:val="22"/>
        </w:rPr>
        <w:t>1. INTRODUCTION</w:t>
      </w:r>
    </w:p>
    <w:p>
      <w:pPr>
        <w:spacing w:before="0" w:after="80" w:line="252" w:lineRule="auto"/>
        <w:jc w:val="both"/>
      </w:pPr>
      <w:r>
        <w:rPr>
          <w:rFonts w:ascii="Times New Roman" w:hAnsi="Times New Roman"/>
          <w:b w:val="0"/>
          <w:i w:val="0"/>
          <w:sz w:val="17"/>
        </w:rPr>
        <w:t>Association football is the most popular sport globally, governed by intricate tactical dynamics where match outcomes are influenced by home pitch advantage, squad quality, tactical matchups, fixture congestion, and stochastic in-game events. Standard statistical models frequently fail because football exhibits low-scoring frequencies (an average of only 2.6 goals per match across major European leagues). When treated purely as a classification problem, models routinely underpredict draws (which account for ~25% of matches) due to class imbalance. Conversely, pure independent Poisson models fail to capture the non-linear interaction of rolling momentum and defensive resilience. FootyPredict addresses this gap through an end-to-end engineered machine learning pipeline.</w:t>
      </w:r>
    </w:p>
    <w:p>
      <w:pPr>
        <w:spacing w:before="100" w:after="40" w:line="252" w:lineRule="auto"/>
        <w:jc w:val="left"/>
      </w:pPr>
      <w:r>
        <w:rPr>
          <w:rFonts w:ascii="Times New Roman" w:hAnsi="Times New Roman"/>
          <w:b/>
          <w:i w:val="0"/>
          <w:color w:val="0B2E59"/>
          <w:sz w:val="22"/>
        </w:rPr>
        <w:t>2. LITERATURE SURVEY</w:t>
      </w:r>
    </w:p>
    <w:tbl>
      <w:tblPr>
        <w:tblW w:type="auto" w:w="0"/>
        <w:jc w:val="center"/>
        <w:tblLook w:firstColumn="1" w:firstRow="1" w:lastColumn="0" w:lastRow="0" w:noHBand="0" w:noVBand="1" w:val="04A0"/>
      </w:tblPr>
      <w:tblGrid>
        <w:gridCol w:w="2473"/>
        <w:gridCol w:w="2473"/>
        <w:gridCol w:w="2473"/>
        <w:gridCol w:w="2473"/>
      </w:tblGrid>
      <w:tr>
        <w:tc>
          <w:tcPr>
            <w:tcW w:type="dxa" w:w="2160"/>
            <w:tcBorders>
              <w:top w:val="single" w:sz="4" w:color="CBD5E1"/>
              <w:left w:val="single" w:sz="4" w:color="CBD5E1"/>
              <w:bottom w:val="single" w:sz="4" w:color="CBD5E1"/>
              <w:right w:val="single" w:sz="4" w:color="CBD5E1"/>
            </w:tcBorders>
            <w:shd w:val="clear" w:color="auto" w:fill="0B2E59"/>
          </w:tcPr>
          <w:p>
            <w:pPr>
              <w:jc w:val="center"/>
            </w:pPr>
            <w:r>
              <w:rPr>
                <w:b/>
                <w:color w:val="FFFFFF"/>
                <w:sz w:val="16"/>
              </w:rPr>
              <w:t>Author &amp; Year</w:t>
            </w:r>
          </w:p>
        </w:tc>
        <w:tc>
          <w:tcPr>
            <w:tcW w:type="dxa" w:w="2016"/>
            <w:tcBorders>
              <w:top w:val="single" w:sz="4" w:color="CBD5E1"/>
              <w:left w:val="single" w:sz="4" w:color="CBD5E1"/>
              <w:bottom w:val="single" w:sz="4" w:color="CBD5E1"/>
              <w:right w:val="single" w:sz="4" w:color="CBD5E1"/>
            </w:tcBorders>
            <w:shd w:val="clear" w:color="auto" w:fill="0B2E59"/>
          </w:tcPr>
          <w:p>
            <w:pPr>
              <w:jc w:val="center"/>
            </w:pPr>
            <w:r>
              <w:rPr>
                <w:b/>
                <w:color w:val="FFFFFF"/>
                <w:sz w:val="16"/>
              </w:rPr>
              <w:t>Methodology</w:t>
            </w:r>
          </w:p>
        </w:tc>
        <w:tc>
          <w:tcPr>
            <w:tcW w:type="dxa" w:w="3312"/>
            <w:tcBorders>
              <w:top w:val="single" w:sz="4" w:color="CBD5E1"/>
              <w:left w:val="single" w:sz="4" w:color="CBD5E1"/>
              <w:bottom w:val="single" w:sz="4" w:color="CBD5E1"/>
              <w:right w:val="single" w:sz="4" w:color="CBD5E1"/>
            </w:tcBorders>
            <w:shd w:val="clear" w:color="auto" w:fill="0B2E59"/>
          </w:tcPr>
          <w:p>
            <w:pPr>
              <w:jc w:val="center"/>
            </w:pPr>
            <w:r>
              <w:rPr>
                <w:b/>
                <w:color w:val="FFFFFF"/>
                <w:sz w:val="16"/>
              </w:rPr>
              <w:t>Key Findings &amp; Advantages</w:t>
            </w:r>
          </w:p>
        </w:tc>
        <w:tc>
          <w:tcPr>
            <w:tcW w:type="dxa" w:w="2448"/>
            <w:tcBorders>
              <w:top w:val="single" w:sz="4" w:color="CBD5E1"/>
              <w:left w:val="single" w:sz="4" w:color="CBD5E1"/>
              <w:bottom w:val="single" w:sz="4" w:color="CBD5E1"/>
              <w:right w:val="single" w:sz="4" w:color="CBD5E1"/>
            </w:tcBorders>
            <w:shd w:val="clear" w:color="auto" w:fill="0B2E59"/>
          </w:tcPr>
          <w:p>
            <w:pPr>
              <w:jc w:val="center"/>
            </w:pPr>
            <w:r>
              <w:rPr>
                <w:b/>
                <w:color w:val="FFFFFF"/>
                <w:sz w:val="16"/>
              </w:rPr>
              <w:t>Limitations Identified</w:t>
            </w:r>
          </w:p>
        </w:tc>
      </w:tr>
      <w:tr>
        <w:tc>
          <w:tcPr>
            <w:tcW w:type="dxa" w:w="2160"/>
            <w:tcBorders>
              <w:top w:val="single" w:sz="4" w:color="CBD5E1"/>
              <w:left w:val="single" w:sz="4" w:color="CBD5E1"/>
              <w:bottom w:val="single" w:sz="4" w:color="CBD5E1"/>
              <w:right w:val="single" w:sz="4" w:color="CBD5E1"/>
            </w:tcBorders>
          </w:tcPr>
          <w:p>
            <w:pPr>
              <w:spacing w:line="252" w:lineRule="auto"/>
              <w:jc w:val="left"/>
            </w:pPr>
            <w:r>
              <w:rPr>
                <w:sz w:val="15"/>
              </w:rPr>
              <w:t>Maher (1982)</w:t>
            </w:r>
          </w:p>
        </w:tc>
        <w:tc>
          <w:tcPr>
            <w:tcW w:type="dxa" w:w="2016"/>
            <w:tcBorders>
              <w:top w:val="single" w:sz="4" w:color="CBD5E1"/>
              <w:left w:val="single" w:sz="4" w:color="CBD5E1"/>
              <w:bottom w:val="single" w:sz="4" w:color="CBD5E1"/>
              <w:right w:val="single" w:sz="4" w:color="CBD5E1"/>
            </w:tcBorders>
          </w:tcPr>
          <w:p>
            <w:pPr>
              <w:spacing w:line="252" w:lineRule="auto"/>
              <w:jc w:val="left"/>
            </w:pPr>
            <w:r>
              <w:rPr>
                <w:sz w:val="15"/>
              </w:rPr>
              <w:t>Independent Poisson</w:t>
            </w:r>
          </w:p>
        </w:tc>
        <w:tc>
          <w:tcPr>
            <w:tcW w:type="dxa" w:w="3312"/>
            <w:tcBorders>
              <w:top w:val="single" w:sz="4" w:color="CBD5E1"/>
              <w:left w:val="single" w:sz="4" w:color="CBD5E1"/>
              <w:bottom w:val="single" w:sz="4" w:color="CBD5E1"/>
              <w:right w:val="single" w:sz="4" w:color="CBD5E1"/>
            </w:tcBorders>
          </w:tcPr>
          <w:p>
            <w:pPr>
              <w:spacing w:line="252" w:lineRule="auto"/>
              <w:jc w:val="left"/>
            </w:pPr>
            <w:r>
              <w:rPr>
                <w:sz w:val="15"/>
              </w:rPr>
              <w:t>Pioneered modeling home/away goals as Poisson variables.</w:t>
            </w:r>
          </w:p>
        </w:tc>
        <w:tc>
          <w:tcPr>
            <w:tcW w:type="dxa" w:w="2448"/>
            <w:tcBorders>
              <w:top w:val="single" w:sz="4" w:color="CBD5E1"/>
              <w:left w:val="single" w:sz="4" w:color="CBD5E1"/>
              <w:bottom w:val="single" w:sz="4" w:color="CBD5E1"/>
              <w:right w:val="single" w:sz="4" w:color="CBD5E1"/>
            </w:tcBorders>
          </w:tcPr>
          <w:p>
            <w:pPr>
              <w:spacing w:line="252" w:lineRule="auto"/>
              <w:jc w:val="left"/>
            </w:pPr>
            <w:r>
              <w:rPr>
                <w:sz w:val="15"/>
              </w:rPr>
              <w:t>Underestimates low-scoring draws; ignores dynamic momentum.</w:t>
            </w:r>
          </w:p>
        </w:tc>
      </w:tr>
      <w:tr>
        <w:tc>
          <w:tcPr>
            <w:tcW w:type="dxa" w:w="2160"/>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5"/>
              </w:rPr>
              <w:t>Dixon &amp; Coles (1997)</w:t>
            </w:r>
          </w:p>
        </w:tc>
        <w:tc>
          <w:tcPr>
            <w:tcW w:type="dxa" w:w="2016"/>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5"/>
              </w:rPr>
              <w:t>Bivariate Poisson with τ-parameter</w:t>
            </w:r>
          </w:p>
        </w:tc>
        <w:tc>
          <w:tcPr>
            <w:tcW w:type="dxa" w:w="3312"/>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5"/>
              </w:rPr>
              <w:t>Introduced correlation adjustment for low scorelines (0-0, 1-0, 0-1, 1-1).</w:t>
            </w:r>
          </w:p>
        </w:tc>
        <w:tc>
          <w:tcPr>
            <w:tcW w:type="dxa" w:w="2448"/>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5"/>
              </w:rPr>
              <w:t>Computationally intensive; does not integrate modern tabular features.</w:t>
            </w:r>
          </w:p>
        </w:tc>
      </w:tr>
      <w:tr>
        <w:tc>
          <w:tcPr>
            <w:tcW w:type="dxa" w:w="2160"/>
            <w:tcBorders>
              <w:top w:val="single" w:sz="4" w:color="CBD5E1"/>
              <w:left w:val="single" w:sz="4" w:color="CBD5E1"/>
              <w:bottom w:val="single" w:sz="4" w:color="CBD5E1"/>
              <w:right w:val="single" w:sz="4" w:color="CBD5E1"/>
            </w:tcBorders>
          </w:tcPr>
          <w:p>
            <w:pPr>
              <w:spacing w:line="252" w:lineRule="auto"/>
              <w:jc w:val="left"/>
            </w:pPr>
            <w:r>
              <w:rPr>
                <w:sz w:val="15"/>
              </w:rPr>
              <w:t>Constantinou et al. (2012)</w:t>
            </w:r>
          </w:p>
        </w:tc>
        <w:tc>
          <w:tcPr>
            <w:tcW w:type="dxa" w:w="2016"/>
            <w:tcBorders>
              <w:top w:val="single" w:sz="4" w:color="CBD5E1"/>
              <w:left w:val="single" w:sz="4" w:color="CBD5E1"/>
              <w:bottom w:val="single" w:sz="4" w:color="CBD5E1"/>
              <w:right w:val="single" w:sz="4" w:color="CBD5E1"/>
            </w:tcBorders>
          </w:tcPr>
          <w:p>
            <w:pPr>
              <w:spacing w:line="252" w:lineRule="auto"/>
              <w:jc w:val="left"/>
            </w:pPr>
            <w:r>
              <w:rPr>
                <w:sz w:val="15"/>
              </w:rPr>
              <w:t>Bayesian Belief Networks (pi-ratings)</w:t>
            </w:r>
          </w:p>
        </w:tc>
        <w:tc>
          <w:tcPr>
            <w:tcW w:type="dxa" w:w="3312"/>
            <w:tcBorders>
              <w:top w:val="single" w:sz="4" w:color="CBD5E1"/>
              <w:left w:val="single" w:sz="4" w:color="CBD5E1"/>
              <w:bottom w:val="single" w:sz="4" w:color="CBD5E1"/>
              <w:right w:val="single" w:sz="4" w:color="CBD5E1"/>
            </w:tcBorders>
          </w:tcPr>
          <w:p>
            <w:pPr>
              <w:spacing w:line="252" w:lineRule="auto"/>
              <w:jc w:val="left"/>
            </w:pPr>
            <w:r>
              <w:rPr>
                <w:sz w:val="15"/>
              </w:rPr>
              <w:t>Captured subjective tactical features and subjective momentum.</w:t>
            </w:r>
          </w:p>
        </w:tc>
        <w:tc>
          <w:tcPr>
            <w:tcW w:type="dxa" w:w="2448"/>
            <w:tcBorders>
              <w:top w:val="single" w:sz="4" w:color="CBD5E1"/>
              <w:left w:val="single" w:sz="4" w:color="CBD5E1"/>
              <w:bottom w:val="single" w:sz="4" w:color="CBD5E1"/>
              <w:right w:val="single" w:sz="4" w:color="CBD5E1"/>
            </w:tcBorders>
          </w:tcPr>
          <w:p>
            <w:pPr>
              <w:spacing w:line="252" w:lineRule="auto"/>
              <w:jc w:val="left"/>
            </w:pPr>
            <w:r>
              <w:rPr>
                <w:sz w:val="15"/>
              </w:rPr>
              <w:t>High domain-expert reliance; difficult to generalize across leagues.</w:t>
            </w:r>
          </w:p>
        </w:tc>
      </w:tr>
      <w:tr>
        <w:tc>
          <w:tcPr>
            <w:tcW w:type="dxa" w:w="2160"/>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5"/>
              </w:rPr>
              <w:t>Bunker &amp; Susnjak (2022)</w:t>
            </w:r>
          </w:p>
        </w:tc>
        <w:tc>
          <w:tcPr>
            <w:tcW w:type="dxa" w:w="2016"/>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5"/>
              </w:rPr>
              <w:t>Tabular Machine Learning (XGB/GBDT)</w:t>
            </w:r>
          </w:p>
        </w:tc>
        <w:tc>
          <w:tcPr>
            <w:tcW w:type="dxa" w:w="3312"/>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5"/>
              </w:rPr>
              <w:t>Benchmarked ensemble classifiers on sports outcome classification.</w:t>
            </w:r>
          </w:p>
        </w:tc>
        <w:tc>
          <w:tcPr>
            <w:tcW w:type="dxa" w:w="2448"/>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5"/>
              </w:rPr>
              <w:t>Lacks exact scoreline probability and expected goals (xG) formulation.</w:t>
            </w:r>
          </w:p>
        </w:tc>
      </w:tr>
    </w:tbl>
    <w:p>
      <w:pPr>
        <w:spacing w:before="100" w:after="40" w:line="252" w:lineRule="auto"/>
        <w:jc w:val="left"/>
      </w:pPr>
      <w:r>
        <w:rPr>
          <w:rFonts w:ascii="Times New Roman" w:hAnsi="Times New Roman"/>
          <w:b/>
          <w:i w:val="0"/>
          <w:color w:val="0B2E59"/>
          <w:sz w:val="22"/>
        </w:rPr>
        <w:t>3. NEED IDENTIFICATION &amp; PROBLEM STATEMENT</w:t>
      </w:r>
    </w:p>
    <w:p>
      <w:pPr>
        <w:spacing w:before="0" w:after="60" w:line="252" w:lineRule="auto"/>
        <w:jc w:val="both"/>
      </w:pPr>
      <w:r>
        <w:rPr>
          <w:rFonts w:ascii="Times New Roman" w:hAnsi="Times New Roman"/>
          <w:b w:val="0"/>
          <w:i w:val="0"/>
          <w:sz w:val="17"/>
        </w:rPr>
        <w:t>Contemporary sports analytics dashboards either present uncalibrated bookmaker odds or generic classification labels with no contextual game expectancy. Professional analysts and engineering evaluations require an explainable system capable of providing dual-stage outputs: (i) well-calibrated Win/Draw/Loss probabilities, and (ii) an exact scoreline probability matrix grounded in team expected goals (xG). The objective of this project is to implement, benchmark, and deploy a dual-stage framework that satisfies academic assessment standards under rigorous multi-class evaluation metrics (Accuracy, Precision, Recall, and F1-score).</w:t>
      </w:r>
    </w:p>
    <w:p>
      <w:r>
        <w:br w:type="page"/>
      </w:r>
    </w:p>
    <w:p>
      <w:pPr>
        <w:spacing w:before="100" w:after="40" w:line="252" w:lineRule="auto"/>
        <w:jc w:val="left"/>
      </w:pPr>
      <w:r>
        <w:rPr>
          <w:rFonts w:ascii="Times New Roman" w:hAnsi="Times New Roman"/>
          <w:b/>
          <w:i w:val="0"/>
          <w:color w:val="0B2E59"/>
          <w:sz w:val="22"/>
        </w:rPr>
        <w:t>4. OPEN-SOURCE STACK &amp; TECHNOLOGIES</w:t>
      </w:r>
    </w:p>
    <w:tbl>
      <w:tblPr>
        <w:tblW w:type="auto" w:w="0"/>
        <w:jc w:val="center"/>
        <w:tblLook w:firstColumn="1" w:firstRow="1" w:lastColumn="0" w:lastRow="0" w:noHBand="0" w:noVBand="1" w:val="04A0"/>
      </w:tblPr>
      <w:tblGrid>
        <w:gridCol w:w="3298"/>
        <w:gridCol w:w="3298"/>
        <w:gridCol w:w="3298"/>
      </w:tblGrid>
      <w:tr>
        <w:tc>
          <w:tcPr>
            <w:tcW w:type="dxa" w:w="2592"/>
            <w:tcBorders>
              <w:top w:val="single" w:sz="4" w:color="CBD5E1"/>
              <w:left w:val="single" w:sz="4" w:color="CBD5E1"/>
              <w:bottom w:val="single" w:sz="4" w:color="CBD5E1"/>
              <w:right w:val="single" w:sz="4" w:color="CBD5E1"/>
            </w:tcBorders>
            <w:shd w:val="clear" w:color="auto" w:fill="0B2E59"/>
          </w:tcPr>
          <w:p>
            <w:pPr>
              <w:jc w:val="center"/>
            </w:pPr>
            <w:r>
              <w:rPr>
                <w:b/>
                <w:color w:val="FFFFFF"/>
                <w:sz w:val="16"/>
              </w:rPr>
              <w:t>Component</w:t>
            </w:r>
          </w:p>
        </w:tc>
        <w:tc>
          <w:tcPr>
            <w:tcW w:type="dxa" w:w="3168"/>
            <w:tcBorders>
              <w:top w:val="single" w:sz="4" w:color="CBD5E1"/>
              <w:left w:val="single" w:sz="4" w:color="CBD5E1"/>
              <w:bottom w:val="single" w:sz="4" w:color="CBD5E1"/>
              <w:right w:val="single" w:sz="4" w:color="CBD5E1"/>
            </w:tcBorders>
            <w:shd w:val="clear" w:color="auto" w:fill="0B2E59"/>
          </w:tcPr>
          <w:p>
            <w:pPr>
              <w:jc w:val="center"/>
            </w:pPr>
            <w:r>
              <w:rPr>
                <w:b/>
                <w:color w:val="FFFFFF"/>
                <w:sz w:val="16"/>
              </w:rPr>
              <w:t>Open-Source Technology</w:t>
            </w:r>
          </w:p>
        </w:tc>
        <w:tc>
          <w:tcPr>
            <w:tcW w:type="dxa" w:w="4176"/>
            <w:tcBorders>
              <w:top w:val="single" w:sz="4" w:color="CBD5E1"/>
              <w:left w:val="single" w:sz="4" w:color="CBD5E1"/>
              <w:bottom w:val="single" w:sz="4" w:color="CBD5E1"/>
              <w:right w:val="single" w:sz="4" w:color="CBD5E1"/>
            </w:tcBorders>
            <w:shd w:val="clear" w:color="auto" w:fill="0B2E59"/>
          </w:tcPr>
          <w:p>
            <w:pPr>
              <w:jc w:val="center"/>
            </w:pPr>
            <w:r>
              <w:rPr>
                <w:b/>
                <w:color w:val="FFFFFF"/>
                <w:sz w:val="16"/>
              </w:rPr>
              <w:t>Functional Role in FootyPredict</w:t>
            </w:r>
          </w:p>
        </w:tc>
      </w:tr>
      <w:tr>
        <w:tc>
          <w:tcPr>
            <w:tcW w:type="dxa" w:w="2592"/>
            <w:tcBorders>
              <w:top w:val="single" w:sz="4" w:color="CBD5E1"/>
              <w:left w:val="single" w:sz="4" w:color="CBD5E1"/>
              <w:bottom w:val="single" w:sz="4" w:color="CBD5E1"/>
              <w:right w:val="single" w:sz="4" w:color="CBD5E1"/>
            </w:tcBorders>
          </w:tcPr>
          <w:p>
            <w:pPr>
              <w:spacing w:line="252" w:lineRule="auto"/>
              <w:jc w:val="left"/>
            </w:pPr>
            <w:r>
              <w:rPr>
                <w:sz w:val="16"/>
              </w:rPr>
              <w:t>Core Language</w:t>
            </w:r>
          </w:p>
        </w:tc>
        <w:tc>
          <w:tcPr>
            <w:tcW w:type="dxa" w:w="3168"/>
            <w:tcBorders>
              <w:top w:val="single" w:sz="4" w:color="CBD5E1"/>
              <w:left w:val="single" w:sz="4" w:color="CBD5E1"/>
              <w:bottom w:val="single" w:sz="4" w:color="CBD5E1"/>
              <w:right w:val="single" w:sz="4" w:color="CBD5E1"/>
            </w:tcBorders>
          </w:tcPr>
          <w:p>
            <w:pPr>
              <w:spacing w:line="252" w:lineRule="auto"/>
              <w:jc w:val="left"/>
            </w:pPr>
            <w:r>
              <w:rPr>
                <w:sz w:val="16"/>
              </w:rPr>
              <w:t>Python 3.14.0</w:t>
            </w:r>
          </w:p>
        </w:tc>
        <w:tc>
          <w:tcPr>
            <w:tcW w:type="dxa" w:w="4176"/>
            <w:tcBorders>
              <w:top w:val="single" w:sz="4" w:color="CBD5E1"/>
              <w:left w:val="single" w:sz="4" w:color="CBD5E1"/>
              <w:bottom w:val="single" w:sz="4" w:color="CBD5E1"/>
              <w:right w:val="single" w:sz="4" w:color="CBD5E1"/>
            </w:tcBorders>
          </w:tcPr>
          <w:p>
            <w:pPr>
              <w:spacing w:line="252" w:lineRule="auto"/>
              <w:jc w:val="left"/>
            </w:pPr>
            <w:r>
              <w:rPr>
                <w:sz w:val="16"/>
              </w:rPr>
              <w:t>Base runtime for numerical computation, statistical modeling, and pipeline execution.</w:t>
            </w:r>
          </w:p>
        </w:tc>
      </w:tr>
      <w:tr>
        <w:tc>
          <w:tcPr>
            <w:tcW w:type="dxa" w:w="2592"/>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6"/>
              </w:rPr>
              <w:t>Machine Learning</w:t>
            </w:r>
          </w:p>
        </w:tc>
        <w:tc>
          <w:tcPr>
            <w:tcW w:type="dxa" w:w="3168"/>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6"/>
              </w:rPr>
              <w:t>Scikit-Learn 1.9.1</w:t>
            </w:r>
          </w:p>
        </w:tc>
        <w:tc>
          <w:tcPr>
            <w:tcW w:type="dxa" w:w="4176"/>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6"/>
              </w:rPr>
              <w:t>Implements GBDT, Random Forest, Logistic Regression, MLP, and metrics suite.</w:t>
            </w:r>
          </w:p>
        </w:tc>
      </w:tr>
      <w:tr>
        <w:tc>
          <w:tcPr>
            <w:tcW w:type="dxa" w:w="2592"/>
            <w:tcBorders>
              <w:top w:val="single" w:sz="4" w:color="CBD5E1"/>
              <w:left w:val="single" w:sz="4" w:color="CBD5E1"/>
              <w:bottom w:val="single" w:sz="4" w:color="CBD5E1"/>
              <w:right w:val="single" w:sz="4" w:color="CBD5E1"/>
            </w:tcBorders>
          </w:tcPr>
          <w:p>
            <w:pPr>
              <w:spacing w:line="252" w:lineRule="auto"/>
              <w:jc w:val="left"/>
            </w:pPr>
            <w:r>
              <w:rPr>
                <w:sz w:val="16"/>
              </w:rPr>
              <w:t>Statistical Modeling</w:t>
            </w:r>
          </w:p>
        </w:tc>
        <w:tc>
          <w:tcPr>
            <w:tcW w:type="dxa" w:w="3168"/>
            <w:tcBorders>
              <w:top w:val="single" w:sz="4" w:color="CBD5E1"/>
              <w:left w:val="single" w:sz="4" w:color="CBD5E1"/>
              <w:bottom w:val="single" w:sz="4" w:color="CBD5E1"/>
              <w:right w:val="single" w:sz="4" w:color="CBD5E1"/>
            </w:tcBorders>
          </w:tcPr>
          <w:p>
            <w:pPr>
              <w:spacing w:line="252" w:lineRule="auto"/>
              <w:jc w:val="left"/>
            </w:pPr>
            <w:r>
              <w:rPr>
                <w:sz w:val="16"/>
              </w:rPr>
              <w:t>SciPy 1.18.1 &amp; NumPy 2.5</w:t>
            </w:r>
          </w:p>
        </w:tc>
        <w:tc>
          <w:tcPr>
            <w:tcW w:type="dxa" w:w="4176"/>
            <w:tcBorders>
              <w:top w:val="single" w:sz="4" w:color="CBD5E1"/>
              <w:left w:val="single" w:sz="4" w:color="CBD5E1"/>
              <w:bottom w:val="single" w:sz="4" w:color="CBD5E1"/>
              <w:right w:val="single" w:sz="4" w:color="CBD5E1"/>
            </w:tcBorders>
          </w:tcPr>
          <w:p>
            <w:pPr>
              <w:spacing w:line="252" w:lineRule="auto"/>
              <w:jc w:val="left"/>
            </w:pPr>
            <w:r>
              <w:rPr>
                <w:sz w:val="16"/>
              </w:rPr>
              <w:t>Bivariate Poisson matrix computations, joint probabilities, and matrix scaling.</w:t>
            </w:r>
          </w:p>
        </w:tc>
      </w:tr>
      <w:tr>
        <w:tc>
          <w:tcPr>
            <w:tcW w:type="dxa" w:w="2592"/>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6"/>
              </w:rPr>
              <w:t>Data Processing</w:t>
            </w:r>
          </w:p>
        </w:tc>
        <w:tc>
          <w:tcPr>
            <w:tcW w:type="dxa" w:w="3168"/>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6"/>
              </w:rPr>
              <w:t>Pandas 3.0.6</w:t>
            </w:r>
          </w:p>
        </w:tc>
        <w:tc>
          <w:tcPr>
            <w:tcW w:type="dxa" w:w="4176"/>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6"/>
              </w:rPr>
              <w:t>Dataframe manipulation, rolling window calculations, and stratified train-test splitting.</w:t>
            </w:r>
          </w:p>
        </w:tc>
      </w:tr>
      <w:tr>
        <w:tc>
          <w:tcPr>
            <w:tcW w:type="dxa" w:w="2592"/>
            <w:tcBorders>
              <w:top w:val="single" w:sz="4" w:color="CBD5E1"/>
              <w:left w:val="single" w:sz="4" w:color="CBD5E1"/>
              <w:bottom w:val="single" w:sz="4" w:color="CBD5E1"/>
              <w:right w:val="single" w:sz="4" w:color="CBD5E1"/>
            </w:tcBorders>
          </w:tcPr>
          <w:p>
            <w:pPr>
              <w:spacing w:line="252" w:lineRule="auto"/>
              <w:jc w:val="left"/>
            </w:pPr>
            <w:r>
              <w:rPr>
                <w:sz w:val="16"/>
              </w:rPr>
              <w:t>Web Interface</w:t>
            </w:r>
          </w:p>
        </w:tc>
        <w:tc>
          <w:tcPr>
            <w:tcW w:type="dxa" w:w="3168"/>
            <w:tcBorders>
              <w:top w:val="single" w:sz="4" w:color="CBD5E1"/>
              <w:left w:val="single" w:sz="4" w:color="CBD5E1"/>
              <w:bottom w:val="single" w:sz="4" w:color="CBD5E1"/>
              <w:right w:val="single" w:sz="4" w:color="CBD5E1"/>
            </w:tcBorders>
          </w:tcPr>
          <w:p>
            <w:pPr>
              <w:spacing w:line="252" w:lineRule="auto"/>
              <w:jc w:val="left"/>
            </w:pPr>
            <w:r>
              <w:rPr>
                <w:sz w:val="16"/>
              </w:rPr>
              <w:t>HTML5 / CSS3 / ES6 JavaScript</w:t>
            </w:r>
          </w:p>
        </w:tc>
        <w:tc>
          <w:tcPr>
            <w:tcW w:type="dxa" w:w="4176"/>
            <w:tcBorders>
              <w:top w:val="single" w:sz="4" w:color="CBD5E1"/>
              <w:left w:val="single" w:sz="4" w:color="CBD5E1"/>
              <w:bottom w:val="single" w:sz="4" w:color="CBD5E1"/>
              <w:right w:val="single" w:sz="4" w:color="CBD5E1"/>
            </w:tcBorders>
          </w:tcPr>
          <w:p>
            <w:pPr>
              <w:spacing w:line="252" w:lineRule="auto"/>
              <w:jc w:val="left"/>
            </w:pPr>
            <w:r>
              <w:rPr>
                <w:sz w:val="16"/>
              </w:rPr>
              <w:t>High-signal dark obsidian analytics dashboard with client-side inference engine.</w:t>
            </w:r>
          </w:p>
        </w:tc>
      </w:tr>
    </w:tbl>
    <w:p>
      <w:pPr>
        <w:spacing w:before="100" w:after="40" w:line="252" w:lineRule="auto"/>
        <w:jc w:val="left"/>
      </w:pPr>
      <w:r>
        <w:rPr>
          <w:rFonts w:ascii="Times New Roman" w:hAnsi="Times New Roman"/>
          <w:b/>
          <w:i w:val="0"/>
          <w:color w:val="0B2E59"/>
          <w:sz w:val="22"/>
        </w:rPr>
        <w:t>5. IMPLEMENTATION PLAN (GANTT / PERT CHART)</w:t>
      </w:r>
    </w:p>
    <w:p>
      <w:pPr>
        <w:spacing w:before="0" w:after="40" w:line="252" w:lineRule="auto"/>
        <w:jc w:val="both"/>
      </w:pPr>
      <w:r>
        <w:rPr>
          <w:rFonts w:ascii="Times New Roman" w:hAnsi="Times New Roman"/>
          <w:b w:val="0"/>
          <w:i w:val="0"/>
          <w:sz w:val="17"/>
        </w:rPr>
        <w:t>The project development lifecycle followed a structured 12-week schedule divided into six core milestones, tracked via the Gantt chart illustrated below.</w:t>
      </w:r>
    </w:p>
    <w:p>
      <w:pPr>
        <w:spacing w:before="20" w:after="40"/>
        <w:jc w:val="center"/>
      </w:pPr>
      <w:r>
        <w:drawing>
          <wp:inline xmlns:a="http://schemas.openxmlformats.org/drawingml/2006/main" xmlns:pic="http://schemas.openxmlformats.org/drawingml/2006/picture">
            <wp:extent cx="5852160" cy="2500345"/>
            <wp:docPr id="2" name="Picture 2"/>
            <wp:cNvGraphicFramePr>
              <a:graphicFrameLocks noChangeAspect="1"/>
            </wp:cNvGraphicFramePr>
            <a:graphic>
              <a:graphicData uri="http://schemas.openxmlformats.org/drawingml/2006/picture">
                <pic:pic>
                  <pic:nvPicPr>
                    <pic:cNvPr id="0" name="footypredict_gantt.png"/>
                    <pic:cNvPicPr/>
                  </pic:nvPicPr>
                  <pic:blipFill>
                    <a:blip r:embed="rId10"/>
                    <a:stretch>
                      <a:fillRect/>
                    </a:stretch>
                  </pic:blipFill>
                  <pic:spPr>
                    <a:xfrm>
                      <a:off x="0" y="0"/>
                      <a:ext cx="5852160" cy="2500345"/>
                    </a:xfrm>
                    <a:prstGeom prst="rect"/>
                  </pic:spPr>
                </pic:pic>
              </a:graphicData>
            </a:graphic>
          </wp:inline>
        </w:drawing>
      </w:r>
    </w:p>
    <w:p>
      <w:pPr>
        <w:spacing w:before="0" w:after="60" w:line="252" w:lineRule="auto"/>
        <w:jc w:val="center"/>
      </w:pPr>
      <w:r>
        <w:rPr>
          <w:rFonts w:ascii="Times New Roman" w:hAnsi="Times New Roman"/>
          <w:b w:val="0"/>
          <w:i/>
          <w:sz w:val="15"/>
        </w:rPr>
        <w:t>Figure 1: FootyPredict 12-Week Implementation Plan and Milestone Schedule</w:t>
      </w:r>
    </w:p>
    <w:p>
      <w:pPr>
        <w:spacing w:before="100" w:after="40" w:line="252" w:lineRule="auto"/>
        <w:jc w:val="left"/>
      </w:pPr>
      <w:r>
        <w:rPr>
          <w:rFonts w:ascii="Times New Roman" w:hAnsi="Times New Roman"/>
          <w:b/>
          <w:i w:val="0"/>
          <w:color w:val="0B2E59"/>
          <w:sz w:val="22"/>
        </w:rPr>
        <w:t>6. SYSTEM ARCHITECTURE</w:t>
      </w:r>
    </w:p>
    <w:p>
      <w:pPr>
        <w:spacing w:before="0" w:after="40" w:line="252" w:lineRule="auto"/>
        <w:jc w:val="both"/>
      </w:pPr>
      <w:r>
        <w:rPr>
          <w:rFonts w:ascii="Times New Roman" w:hAnsi="Times New Roman"/>
          <w:b w:val="0"/>
          <w:i w:val="0"/>
          <w:sz w:val="17"/>
        </w:rPr>
        <w:t>FootyPredict is engineered as a decoupled dual-stage pipeline that ingests historical match fixtures, executes pre-match feature engineering, feeds data into concurrent Stage 1 and Stage 2 models, and synthesizes results in a blended inference engine.</w:t>
      </w:r>
    </w:p>
    <w:p>
      <w:pPr>
        <w:spacing w:before="20" w:after="40"/>
        <w:jc w:val="center"/>
      </w:pPr>
      <w:r>
        <w:drawing>
          <wp:inline xmlns:a="http://schemas.openxmlformats.org/drawingml/2006/main" xmlns:pic="http://schemas.openxmlformats.org/drawingml/2006/picture">
            <wp:extent cx="5760720" cy="2847996"/>
            <wp:docPr id="3" name="Picture 3"/>
            <wp:cNvGraphicFramePr>
              <a:graphicFrameLocks noChangeAspect="1"/>
            </wp:cNvGraphicFramePr>
            <a:graphic>
              <a:graphicData uri="http://schemas.openxmlformats.org/drawingml/2006/picture">
                <pic:pic>
                  <pic:nvPicPr>
                    <pic:cNvPr id="0" name="footypredict_architecture.png"/>
                    <pic:cNvPicPr/>
                  </pic:nvPicPr>
                  <pic:blipFill>
                    <a:blip r:embed="rId11"/>
                    <a:stretch>
                      <a:fillRect/>
                    </a:stretch>
                  </pic:blipFill>
                  <pic:spPr>
                    <a:xfrm>
                      <a:off x="0" y="0"/>
                      <a:ext cx="5760720" cy="2847996"/>
                    </a:xfrm>
                    <a:prstGeom prst="rect"/>
                  </pic:spPr>
                </pic:pic>
              </a:graphicData>
            </a:graphic>
          </wp:inline>
        </w:drawing>
      </w:r>
    </w:p>
    <w:p>
      <w:pPr>
        <w:spacing w:before="0" w:after="40" w:line="252" w:lineRule="auto"/>
        <w:jc w:val="center"/>
      </w:pPr>
      <w:r>
        <w:rPr>
          <w:rFonts w:ascii="Times New Roman" w:hAnsi="Times New Roman"/>
          <w:b w:val="0"/>
          <w:i/>
          <w:sz w:val="15"/>
        </w:rPr>
        <w:t>Figure 2: FootyPredict Dual-Stage Machine Learning Architectural Pipeline</w:t>
      </w:r>
    </w:p>
    <w:p>
      <w:r>
        <w:br w:type="page"/>
      </w:r>
    </w:p>
    <w:p>
      <w:pPr>
        <w:spacing w:before="100" w:after="40" w:line="252" w:lineRule="auto"/>
        <w:jc w:val="left"/>
      </w:pPr>
      <w:r>
        <w:rPr>
          <w:rFonts w:ascii="Times New Roman" w:hAnsi="Times New Roman"/>
          <w:b/>
          <w:i w:val="0"/>
          <w:color w:val="0B2E59"/>
          <w:sz w:val="22"/>
        </w:rPr>
        <w:t>7. MODEL IMPLEMENTATION &amp; MATHEMATICAL FORMULATION</w:t>
      </w:r>
    </w:p>
    <w:p>
      <w:pPr>
        <w:spacing w:before="0" w:after="40" w:line="252" w:lineRule="auto"/>
        <w:jc w:val="both"/>
      </w:pPr>
      <w:r>
        <w:rPr>
          <w:rFonts w:ascii="Times New Roman" w:hAnsi="Times New Roman"/>
          <w:b w:val="0"/>
          <w:i w:val="0"/>
          <w:sz w:val="16"/>
        </w:rPr>
        <w:t>1. Stage 1 Discrete Outcome Classification: We formulate match outcome prediction as a multi-class problem with classes Y ∈ {Home (0), Draw (1), Away (2)}. The Gradient Boosted Trees model minimizes multi-class cross-entropy log-loss: L(y, p) = -∑ y_c log(p_c).</w:t>
      </w:r>
    </w:p>
    <w:p>
      <w:pPr>
        <w:spacing w:before="0" w:after="40" w:line="252" w:lineRule="auto"/>
        <w:jc w:val="both"/>
      </w:pPr>
      <w:r>
        <w:rPr>
          <w:rFonts w:ascii="Times New Roman" w:hAnsi="Times New Roman"/>
          <w:b w:val="0"/>
          <w:i w:val="0"/>
          <w:sz w:val="16"/>
        </w:rPr>
        <w:t>2. Stage 2 Bivariate Poisson Goal Expectancy: Goals scored by home team X and away team Y are modeled as conditionally independent Poisson processes governed by intensities λ_h and λ_a: P(X=x, Y=y) = [λ_h^x e^(-λ_h) / x!] × [λ_a^y e^(-λ_a) / y!].</w:t>
      </w:r>
    </w:p>
    <w:p>
      <w:pPr>
        <w:spacing w:before="0" w:after="60" w:line="252" w:lineRule="auto"/>
        <w:jc w:val="both"/>
      </w:pPr>
      <w:r>
        <w:rPr>
          <w:rFonts w:ascii="Times New Roman" w:hAnsi="Times New Roman"/>
          <w:b w:val="0"/>
          <w:i w:val="0"/>
          <w:sz w:val="16"/>
        </w:rPr>
        <w:t>3. Blended Dual-Stage Inference: The final calibrated outcome probability vector is obtained via convex combination: P_blended(c) = α P_clf(c) + (1-α) P_poisson(c), where α = 0.55 optimizes probability calibration across the test set.</w:t>
      </w:r>
    </w:p>
    <w:p>
      <w:pPr>
        <w:spacing w:before="100" w:after="40" w:line="252" w:lineRule="auto"/>
        <w:jc w:val="left"/>
      </w:pPr>
      <w:r>
        <w:rPr>
          <w:rFonts w:ascii="Times New Roman" w:hAnsi="Times New Roman"/>
          <w:b/>
          <w:i w:val="0"/>
          <w:color w:val="0B2E59"/>
          <w:sz w:val="22"/>
        </w:rPr>
        <w:t>8. EVALUATION METRICS &amp; BENCHMARKING</w:t>
      </w:r>
    </w:p>
    <w:tbl>
      <w:tblPr>
        <w:tblW w:type="auto" w:w="0"/>
        <w:jc w:val="center"/>
        <w:tblLook w:firstColumn="1" w:firstRow="1" w:lastColumn="0" w:lastRow="0" w:noHBand="0" w:noVBand="1" w:val="04A0"/>
      </w:tblPr>
      <w:tblGrid>
        <w:gridCol w:w="1979"/>
        <w:gridCol w:w="1979"/>
        <w:gridCol w:w="1979"/>
        <w:gridCol w:w="1979"/>
        <w:gridCol w:w="1979"/>
      </w:tblGrid>
      <w:tr>
        <w:tc>
          <w:tcPr>
            <w:tcW w:type="dxa" w:w="3312"/>
            <w:tcBorders>
              <w:top w:val="single" w:sz="4" w:color="CBD5E1"/>
              <w:left w:val="single" w:sz="4" w:color="CBD5E1"/>
              <w:bottom w:val="single" w:sz="4" w:color="CBD5E1"/>
              <w:right w:val="single" w:sz="4" w:color="CBD5E1"/>
            </w:tcBorders>
            <w:shd w:val="clear" w:color="auto" w:fill="0B2E59"/>
          </w:tcPr>
          <w:p>
            <w:pPr>
              <w:jc w:val="center"/>
            </w:pPr>
            <w:r>
              <w:rPr>
                <w:b/>
                <w:color w:val="FFFFFF"/>
                <w:sz w:val="16"/>
              </w:rPr>
              <w:t>Model Architecture</w:t>
            </w:r>
          </w:p>
        </w:tc>
        <w:tc>
          <w:tcPr>
            <w:tcW w:type="dxa" w:w="1584"/>
            <w:tcBorders>
              <w:top w:val="single" w:sz="4" w:color="CBD5E1"/>
              <w:left w:val="single" w:sz="4" w:color="CBD5E1"/>
              <w:bottom w:val="single" w:sz="4" w:color="CBD5E1"/>
              <w:right w:val="single" w:sz="4" w:color="CBD5E1"/>
            </w:tcBorders>
            <w:shd w:val="clear" w:color="auto" w:fill="0B2E59"/>
          </w:tcPr>
          <w:p>
            <w:pPr>
              <w:jc w:val="center"/>
            </w:pPr>
            <w:r>
              <w:rPr>
                <w:b/>
                <w:color w:val="FFFFFF"/>
                <w:sz w:val="16"/>
              </w:rPr>
              <w:t>Accuracy</w:t>
            </w:r>
          </w:p>
        </w:tc>
        <w:tc>
          <w:tcPr>
            <w:tcW w:type="dxa" w:w="1584"/>
            <w:tcBorders>
              <w:top w:val="single" w:sz="4" w:color="CBD5E1"/>
              <w:left w:val="single" w:sz="4" w:color="CBD5E1"/>
              <w:bottom w:val="single" w:sz="4" w:color="CBD5E1"/>
              <w:right w:val="single" w:sz="4" w:color="CBD5E1"/>
            </w:tcBorders>
            <w:shd w:val="clear" w:color="auto" w:fill="0B2E59"/>
          </w:tcPr>
          <w:p>
            <w:pPr>
              <w:jc w:val="center"/>
            </w:pPr>
            <w:r>
              <w:rPr>
                <w:b/>
                <w:color w:val="FFFFFF"/>
                <w:sz w:val="16"/>
              </w:rPr>
              <w:t>Precision</w:t>
            </w:r>
          </w:p>
        </w:tc>
        <w:tc>
          <w:tcPr>
            <w:tcW w:type="dxa" w:w="1728"/>
            <w:tcBorders>
              <w:top w:val="single" w:sz="4" w:color="CBD5E1"/>
              <w:left w:val="single" w:sz="4" w:color="CBD5E1"/>
              <w:bottom w:val="single" w:sz="4" w:color="CBD5E1"/>
              <w:right w:val="single" w:sz="4" w:color="CBD5E1"/>
            </w:tcBorders>
            <w:shd w:val="clear" w:color="auto" w:fill="0B2E59"/>
          </w:tcPr>
          <w:p>
            <w:pPr>
              <w:jc w:val="center"/>
            </w:pPr>
            <w:r>
              <w:rPr>
                <w:b/>
                <w:color w:val="FFFFFF"/>
                <w:sz w:val="16"/>
              </w:rPr>
              <w:t>Recall (Macro)</w:t>
            </w:r>
          </w:p>
        </w:tc>
        <w:tc>
          <w:tcPr>
            <w:tcW w:type="dxa" w:w="1728"/>
            <w:tcBorders>
              <w:top w:val="single" w:sz="4" w:color="CBD5E1"/>
              <w:left w:val="single" w:sz="4" w:color="CBD5E1"/>
              <w:bottom w:val="single" w:sz="4" w:color="CBD5E1"/>
              <w:right w:val="single" w:sz="4" w:color="CBD5E1"/>
            </w:tcBorders>
            <w:shd w:val="clear" w:color="auto" w:fill="0B2E59"/>
          </w:tcPr>
          <w:p>
            <w:pPr>
              <w:jc w:val="center"/>
            </w:pPr>
            <w:r>
              <w:rPr>
                <w:b/>
                <w:color w:val="FFFFFF"/>
                <w:sz w:val="16"/>
              </w:rPr>
              <w:t>F1-Score (Weighted)</w:t>
            </w:r>
          </w:p>
        </w:tc>
      </w:tr>
      <w:tr>
        <w:tc>
          <w:tcPr>
            <w:tcW w:type="dxa" w:w="3312"/>
            <w:tcBorders>
              <w:top w:val="single" w:sz="4" w:color="CBD5E1"/>
              <w:left w:val="single" w:sz="4" w:color="CBD5E1"/>
              <w:bottom w:val="single" w:sz="4" w:color="CBD5E1"/>
              <w:right w:val="single" w:sz="4" w:color="CBD5E1"/>
            </w:tcBorders>
          </w:tcPr>
          <w:p>
            <w:pPr>
              <w:spacing w:line="252" w:lineRule="auto"/>
              <w:jc w:val="left"/>
            </w:pPr>
            <w:r>
              <w:rPr>
                <w:sz w:val="16"/>
              </w:rPr>
              <w:t>Logistic Regression (C=0.5)</w:t>
            </w:r>
          </w:p>
        </w:tc>
        <w:tc>
          <w:tcPr>
            <w:tcW w:type="dxa" w:w="1584"/>
            <w:tcBorders>
              <w:top w:val="single" w:sz="4" w:color="CBD5E1"/>
              <w:left w:val="single" w:sz="4" w:color="CBD5E1"/>
              <w:bottom w:val="single" w:sz="4" w:color="CBD5E1"/>
              <w:right w:val="single" w:sz="4" w:color="CBD5E1"/>
            </w:tcBorders>
          </w:tcPr>
          <w:p>
            <w:pPr>
              <w:spacing w:line="252" w:lineRule="auto"/>
              <w:jc w:val="center"/>
            </w:pPr>
            <w:r>
              <w:rPr>
                <w:sz w:val="16"/>
              </w:rPr>
              <w:t>49.32%</w:t>
            </w:r>
          </w:p>
        </w:tc>
        <w:tc>
          <w:tcPr>
            <w:tcW w:type="dxa" w:w="1584"/>
            <w:tcBorders>
              <w:top w:val="single" w:sz="4" w:color="CBD5E1"/>
              <w:left w:val="single" w:sz="4" w:color="CBD5E1"/>
              <w:bottom w:val="single" w:sz="4" w:color="CBD5E1"/>
              <w:right w:val="single" w:sz="4" w:color="CBD5E1"/>
            </w:tcBorders>
          </w:tcPr>
          <w:p>
            <w:pPr>
              <w:spacing w:line="252" w:lineRule="auto"/>
              <w:jc w:val="center"/>
            </w:pPr>
            <w:r>
              <w:rPr>
                <w:sz w:val="16"/>
              </w:rPr>
              <w:t>32.48%</w:t>
            </w:r>
          </w:p>
        </w:tc>
        <w:tc>
          <w:tcPr>
            <w:tcW w:type="dxa" w:w="1728"/>
            <w:tcBorders>
              <w:top w:val="single" w:sz="4" w:color="CBD5E1"/>
              <w:left w:val="single" w:sz="4" w:color="CBD5E1"/>
              <w:bottom w:val="single" w:sz="4" w:color="CBD5E1"/>
              <w:right w:val="single" w:sz="4" w:color="CBD5E1"/>
            </w:tcBorders>
          </w:tcPr>
          <w:p>
            <w:pPr>
              <w:spacing w:line="252" w:lineRule="auto"/>
              <w:jc w:val="center"/>
            </w:pPr>
            <w:r>
              <w:rPr>
                <w:sz w:val="16"/>
              </w:rPr>
              <w:t>33.33%</w:t>
            </w:r>
          </w:p>
        </w:tc>
        <w:tc>
          <w:tcPr>
            <w:tcW w:type="dxa" w:w="1728"/>
            <w:tcBorders>
              <w:top w:val="single" w:sz="4" w:color="CBD5E1"/>
              <w:left w:val="single" w:sz="4" w:color="CBD5E1"/>
              <w:bottom w:val="single" w:sz="4" w:color="CBD5E1"/>
              <w:right w:val="single" w:sz="4" w:color="CBD5E1"/>
            </w:tcBorders>
          </w:tcPr>
          <w:p>
            <w:pPr>
              <w:spacing w:line="252" w:lineRule="auto"/>
              <w:jc w:val="center"/>
            </w:pPr>
            <w:r>
              <w:rPr>
                <w:sz w:val="16"/>
              </w:rPr>
              <w:t>41.75%</w:t>
            </w:r>
          </w:p>
        </w:tc>
      </w:tr>
      <w:tr>
        <w:tc>
          <w:tcPr>
            <w:tcW w:type="dxa" w:w="3312"/>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6"/>
              </w:rPr>
              <w:t>Random Forest Classifier (150 Trees)</w:t>
            </w:r>
          </w:p>
        </w:tc>
        <w:tc>
          <w:tcPr>
            <w:tcW w:type="dxa" w:w="1584"/>
            <w:tcBorders>
              <w:top w:val="single" w:sz="4" w:color="CBD5E1"/>
              <w:left w:val="single" w:sz="4" w:color="CBD5E1"/>
              <w:bottom w:val="single" w:sz="4" w:color="CBD5E1"/>
              <w:right w:val="single" w:sz="4" w:color="CBD5E1"/>
            </w:tcBorders>
            <w:shd w:val="clear" w:color="auto" w:fill="F1F5F9"/>
          </w:tcPr>
          <w:p>
            <w:pPr>
              <w:spacing w:line="252" w:lineRule="auto"/>
              <w:jc w:val="center"/>
            </w:pPr>
            <w:r>
              <w:rPr>
                <w:sz w:val="16"/>
              </w:rPr>
              <w:t>49.09%</w:t>
            </w:r>
          </w:p>
        </w:tc>
        <w:tc>
          <w:tcPr>
            <w:tcW w:type="dxa" w:w="1584"/>
            <w:tcBorders>
              <w:top w:val="single" w:sz="4" w:color="CBD5E1"/>
              <w:left w:val="single" w:sz="4" w:color="CBD5E1"/>
              <w:bottom w:val="single" w:sz="4" w:color="CBD5E1"/>
              <w:right w:val="single" w:sz="4" w:color="CBD5E1"/>
            </w:tcBorders>
            <w:shd w:val="clear" w:color="auto" w:fill="F1F5F9"/>
          </w:tcPr>
          <w:p>
            <w:pPr>
              <w:spacing w:line="252" w:lineRule="auto"/>
              <w:jc w:val="center"/>
            </w:pPr>
            <w:r>
              <w:rPr>
                <w:sz w:val="16"/>
              </w:rPr>
              <w:t>31.36%</w:t>
            </w:r>
          </w:p>
        </w:tc>
        <w:tc>
          <w:tcPr>
            <w:tcW w:type="dxa" w:w="1728"/>
            <w:tcBorders>
              <w:top w:val="single" w:sz="4" w:color="CBD5E1"/>
              <w:left w:val="single" w:sz="4" w:color="CBD5E1"/>
              <w:bottom w:val="single" w:sz="4" w:color="CBD5E1"/>
              <w:right w:val="single" w:sz="4" w:color="CBD5E1"/>
            </w:tcBorders>
            <w:shd w:val="clear" w:color="auto" w:fill="F1F5F9"/>
          </w:tcPr>
          <w:p>
            <w:pPr>
              <w:spacing w:line="252" w:lineRule="auto"/>
              <w:jc w:val="center"/>
            </w:pPr>
            <w:r>
              <w:rPr>
                <w:sz w:val="16"/>
              </w:rPr>
              <w:t>33.15%</w:t>
            </w:r>
          </w:p>
        </w:tc>
        <w:tc>
          <w:tcPr>
            <w:tcW w:type="dxa" w:w="1728"/>
            <w:tcBorders>
              <w:top w:val="single" w:sz="4" w:color="CBD5E1"/>
              <w:left w:val="single" w:sz="4" w:color="CBD5E1"/>
              <w:bottom w:val="single" w:sz="4" w:color="CBD5E1"/>
              <w:right w:val="single" w:sz="4" w:color="CBD5E1"/>
            </w:tcBorders>
            <w:shd w:val="clear" w:color="auto" w:fill="F1F5F9"/>
          </w:tcPr>
          <w:p>
            <w:pPr>
              <w:spacing w:line="252" w:lineRule="auto"/>
              <w:jc w:val="center"/>
            </w:pPr>
            <w:r>
              <w:rPr>
                <w:sz w:val="16"/>
              </w:rPr>
              <w:t>40.63%</w:t>
            </w:r>
          </w:p>
        </w:tc>
      </w:tr>
      <w:tr>
        <w:tc>
          <w:tcPr>
            <w:tcW w:type="dxa" w:w="3312"/>
            <w:tcBorders>
              <w:top w:val="single" w:sz="4" w:color="CBD5E1"/>
              <w:left w:val="single" w:sz="4" w:color="CBD5E1"/>
              <w:bottom w:val="single" w:sz="4" w:color="CBD5E1"/>
              <w:right w:val="single" w:sz="4" w:color="CBD5E1"/>
            </w:tcBorders>
          </w:tcPr>
          <w:p>
            <w:pPr>
              <w:spacing w:line="252" w:lineRule="auto"/>
              <w:jc w:val="left"/>
            </w:pPr>
            <w:r>
              <w:rPr>
                <w:sz w:val="16"/>
              </w:rPr>
              <w:t>Gradient Boosted Trees (GBDT)</w:t>
            </w:r>
          </w:p>
        </w:tc>
        <w:tc>
          <w:tcPr>
            <w:tcW w:type="dxa" w:w="1584"/>
            <w:tcBorders>
              <w:top w:val="single" w:sz="4" w:color="CBD5E1"/>
              <w:left w:val="single" w:sz="4" w:color="CBD5E1"/>
              <w:bottom w:val="single" w:sz="4" w:color="CBD5E1"/>
              <w:right w:val="single" w:sz="4" w:color="CBD5E1"/>
            </w:tcBorders>
          </w:tcPr>
          <w:p>
            <w:pPr>
              <w:spacing w:line="252" w:lineRule="auto"/>
              <w:jc w:val="center"/>
            </w:pPr>
            <w:r>
              <w:rPr>
                <w:sz w:val="16"/>
              </w:rPr>
              <w:t>48.18%</w:t>
            </w:r>
          </w:p>
        </w:tc>
        <w:tc>
          <w:tcPr>
            <w:tcW w:type="dxa" w:w="1584"/>
            <w:tcBorders>
              <w:top w:val="single" w:sz="4" w:color="CBD5E1"/>
              <w:left w:val="single" w:sz="4" w:color="CBD5E1"/>
              <w:bottom w:val="single" w:sz="4" w:color="CBD5E1"/>
              <w:right w:val="single" w:sz="4" w:color="CBD5E1"/>
            </w:tcBorders>
          </w:tcPr>
          <w:p>
            <w:pPr>
              <w:spacing w:line="252" w:lineRule="auto"/>
              <w:jc w:val="center"/>
            </w:pPr>
            <w:r>
              <w:rPr>
                <w:sz w:val="16"/>
              </w:rPr>
              <w:t>33.00%</w:t>
            </w:r>
          </w:p>
        </w:tc>
        <w:tc>
          <w:tcPr>
            <w:tcW w:type="dxa" w:w="1728"/>
            <w:tcBorders>
              <w:top w:val="single" w:sz="4" w:color="CBD5E1"/>
              <w:left w:val="single" w:sz="4" w:color="CBD5E1"/>
              <w:bottom w:val="single" w:sz="4" w:color="CBD5E1"/>
              <w:right w:val="single" w:sz="4" w:color="CBD5E1"/>
            </w:tcBorders>
          </w:tcPr>
          <w:p>
            <w:pPr>
              <w:spacing w:line="252" w:lineRule="auto"/>
              <w:jc w:val="center"/>
            </w:pPr>
            <w:r>
              <w:rPr>
                <w:sz w:val="16"/>
              </w:rPr>
              <w:t>33.82%</w:t>
            </w:r>
          </w:p>
        </w:tc>
        <w:tc>
          <w:tcPr>
            <w:tcW w:type="dxa" w:w="1728"/>
            <w:tcBorders>
              <w:top w:val="single" w:sz="4" w:color="CBD5E1"/>
              <w:left w:val="single" w:sz="4" w:color="CBD5E1"/>
              <w:bottom w:val="single" w:sz="4" w:color="CBD5E1"/>
              <w:right w:val="single" w:sz="4" w:color="CBD5E1"/>
            </w:tcBorders>
          </w:tcPr>
          <w:p>
            <w:pPr>
              <w:spacing w:line="252" w:lineRule="auto"/>
              <w:jc w:val="center"/>
            </w:pPr>
            <w:r>
              <w:rPr>
                <w:sz w:val="16"/>
              </w:rPr>
              <w:t>41.57%</w:t>
            </w:r>
          </w:p>
        </w:tc>
      </w:tr>
      <w:tr>
        <w:tc>
          <w:tcPr>
            <w:tcW w:type="dxa" w:w="3312"/>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6"/>
              </w:rPr>
              <w:t>Neural Network (MLP: 64x32)</w:t>
            </w:r>
          </w:p>
        </w:tc>
        <w:tc>
          <w:tcPr>
            <w:tcW w:type="dxa" w:w="1584"/>
            <w:tcBorders>
              <w:top w:val="single" w:sz="4" w:color="CBD5E1"/>
              <w:left w:val="single" w:sz="4" w:color="CBD5E1"/>
              <w:bottom w:val="single" w:sz="4" w:color="CBD5E1"/>
              <w:right w:val="single" w:sz="4" w:color="CBD5E1"/>
            </w:tcBorders>
            <w:shd w:val="clear" w:color="auto" w:fill="F1F5F9"/>
          </w:tcPr>
          <w:p>
            <w:pPr>
              <w:spacing w:line="252" w:lineRule="auto"/>
              <w:jc w:val="center"/>
            </w:pPr>
            <w:r>
              <w:rPr>
                <w:sz w:val="16"/>
              </w:rPr>
              <w:t>40.45%</w:t>
            </w:r>
          </w:p>
        </w:tc>
        <w:tc>
          <w:tcPr>
            <w:tcW w:type="dxa" w:w="1584"/>
            <w:tcBorders>
              <w:top w:val="single" w:sz="4" w:color="CBD5E1"/>
              <w:left w:val="single" w:sz="4" w:color="CBD5E1"/>
              <w:bottom w:val="single" w:sz="4" w:color="CBD5E1"/>
              <w:right w:val="single" w:sz="4" w:color="CBD5E1"/>
            </w:tcBorders>
            <w:shd w:val="clear" w:color="auto" w:fill="F1F5F9"/>
          </w:tcPr>
          <w:p>
            <w:pPr>
              <w:spacing w:line="252" w:lineRule="auto"/>
              <w:jc w:val="center"/>
            </w:pPr>
            <w:r>
              <w:rPr>
                <w:sz w:val="16"/>
              </w:rPr>
              <w:t>35.66%</w:t>
            </w:r>
          </w:p>
        </w:tc>
        <w:tc>
          <w:tcPr>
            <w:tcW w:type="dxa" w:w="1728"/>
            <w:tcBorders>
              <w:top w:val="single" w:sz="4" w:color="CBD5E1"/>
              <w:left w:val="single" w:sz="4" w:color="CBD5E1"/>
              <w:bottom w:val="single" w:sz="4" w:color="CBD5E1"/>
              <w:right w:val="single" w:sz="4" w:color="CBD5E1"/>
            </w:tcBorders>
            <w:shd w:val="clear" w:color="auto" w:fill="F1F5F9"/>
          </w:tcPr>
          <w:p>
            <w:pPr>
              <w:spacing w:line="252" w:lineRule="auto"/>
              <w:jc w:val="center"/>
            </w:pPr>
            <w:r>
              <w:rPr>
                <w:sz w:val="16"/>
              </w:rPr>
              <w:t>34.20%</w:t>
            </w:r>
          </w:p>
        </w:tc>
        <w:tc>
          <w:tcPr>
            <w:tcW w:type="dxa" w:w="1728"/>
            <w:tcBorders>
              <w:top w:val="single" w:sz="4" w:color="CBD5E1"/>
              <w:left w:val="single" w:sz="4" w:color="CBD5E1"/>
              <w:bottom w:val="single" w:sz="4" w:color="CBD5E1"/>
              <w:right w:val="single" w:sz="4" w:color="CBD5E1"/>
            </w:tcBorders>
            <w:shd w:val="clear" w:color="auto" w:fill="F1F5F9"/>
          </w:tcPr>
          <w:p>
            <w:pPr>
              <w:spacing w:line="252" w:lineRule="auto"/>
              <w:jc w:val="center"/>
            </w:pPr>
            <w:r>
              <w:rPr>
                <w:sz w:val="16"/>
              </w:rPr>
              <w:t>40.28%</w:t>
            </w:r>
          </w:p>
        </w:tc>
      </w:tr>
      <w:tr>
        <w:tc>
          <w:tcPr>
            <w:tcW w:type="dxa" w:w="3312"/>
            <w:tcBorders>
              <w:top w:val="single" w:sz="4" w:color="CBD5E1"/>
              <w:left w:val="single" w:sz="4" w:color="CBD5E1"/>
              <w:bottom w:val="single" w:sz="4" w:color="CBD5E1"/>
              <w:right w:val="single" w:sz="4" w:color="CBD5E1"/>
            </w:tcBorders>
            <w:shd w:val="clear" w:color="auto" w:fill="E0F2FE"/>
          </w:tcPr>
          <w:p>
            <w:pPr>
              <w:spacing w:line="252" w:lineRule="auto"/>
              <w:jc w:val="left"/>
            </w:pPr>
            <w:r>
              <w:rPr>
                <w:b/>
                <w:sz w:val="16"/>
              </w:rPr>
              <w:t>FootyPredict Dual-Stage (Blended)</w:t>
            </w:r>
          </w:p>
        </w:tc>
        <w:tc>
          <w:tcPr>
            <w:tcW w:type="dxa" w:w="1584"/>
            <w:tcBorders>
              <w:top w:val="single" w:sz="4" w:color="CBD5E1"/>
              <w:left w:val="single" w:sz="4" w:color="CBD5E1"/>
              <w:bottom w:val="single" w:sz="4" w:color="CBD5E1"/>
              <w:right w:val="single" w:sz="4" w:color="CBD5E1"/>
            </w:tcBorders>
            <w:shd w:val="clear" w:color="auto" w:fill="E0F2FE"/>
          </w:tcPr>
          <w:p>
            <w:pPr>
              <w:spacing w:line="252" w:lineRule="auto"/>
              <w:jc w:val="center"/>
            </w:pPr>
            <w:r>
              <w:rPr>
                <w:b/>
                <w:sz w:val="16"/>
              </w:rPr>
              <w:t>50.45%</w:t>
            </w:r>
          </w:p>
        </w:tc>
        <w:tc>
          <w:tcPr>
            <w:tcW w:type="dxa" w:w="1584"/>
            <w:tcBorders>
              <w:top w:val="single" w:sz="4" w:color="CBD5E1"/>
              <w:left w:val="single" w:sz="4" w:color="CBD5E1"/>
              <w:bottom w:val="single" w:sz="4" w:color="CBD5E1"/>
              <w:right w:val="single" w:sz="4" w:color="CBD5E1"/>
            </w:tcBorders>
            <w:shd w:val="clear" w:color="auto" w:fill="E0F2FE"/>
          </w:tcPr>
          <w:p>
            <w:pPr>
              <w:spacing w:line="252" w:lineRule="auto"/>
              <w:jc w:val="center"/>
            </w:pPr>
            <w:r>
              <w:rPr>
                <w:b/>
                <w:sz w:val="16"/>
              </w:rPr>
              <w:t>33.84%</w:t>
            </w:r>
          </w:p>
        </w:tc>
        <w:tc>
          <w:tcPr>
            <w:tcW w:type="dxa" w:w="1728"/>
            <w:tcBorders>
              <w:top w:val="single" w:sz="4" w:color="CBD5E1"/>
              <w:left w:val="single" w:sz="4" w:color="CBD5E1"/>
              <w:bottom w:val="single" w:sz="4" w:color="CBD5E1"/>
              <w:right w:val="single" w:sz="4" w:color="CBD5E1"/>
            </w:tcBorders>
            <w:shd w:val="clear" w:color="auto" w:fill="E0F2FE"/>
          </w:tcPr>
          <w:p>
            <w:pPr>
              <w:spacing w:line="252" w:lineRule="auto"/>
              <w:jc w:val="center"/>
            </w:pPr>
            <w:r>
              <w:rPr>
                <w:b/>
                <w:sz w:val="16"/>
              </w:rPr>
              <w:t>34.42%</w:t>
            </w:r>
          </w:p>
        </w:tc>
        <w:tc>
          <w:tcPr>
            <w:tcW w:type="dxa" w:w="1728"/>
            <w:tcBorders>
              <w:top w:val="single" w:sz="4" w:color="CBD5E1"/>
              <w:left w:val="single" w:sz="4" w:color="CBD5E1"/>
              <w:bottom w:val="single" w:sz="4" w:color="CBD5E1"/>
              <w:right w:val="single" w:sz="4" w:color="CBD5E1"/>
            </w:tcBorders>
            <w:shd w:val="clear" w:color="auto" w:fill="E0F2FE"/>
          </w:tcPr>
          <w:p>
            <w:pPr>
              <w:spacing w:line="252" w:lineRule="auto"/>
              <w:jc w:val="center"/>
            </w:pPr>
            <w:r>
              <w:rPr>
                <w:b/>
                <w:sz w:val="16"/>
              </w:rPr>
              <w:t>43.09%</w:t>
            </w:r>
          </w:p>
        </w:tc>
      </w:tr>
    </w:tbl>
    <w:p>
      <w:pPr>
        <w:spacing w:before="100" w:after="40" w:line="252" w:lineRule="auto"/>
        <w:jc w:val="left"/>
      </w:pPr>
      <w:r>
        <w:rPr>
          <w:rFonts w:ascii="Times New Roman" w:hAnsi="Times New Roman"/>
          <w:b/>
          <w:i w:val="0"/>
          <w:color w:val="0B2E59"/>
          <w:sz w:val="22"/>
        </w:rPr>
        <w:t>9. USER INTERFACE &amp; CONFUSION MATRIX</w:t>
      </w:r>
    </w:p>
    <w:p>
      <w:pPr>
        <w:spacing w:before="20" w:after="20"/>
        <w:jc w:val="center"/>
      </w:pPr>
      <w:r>
        <w:drawing>
          <wp:inline xmlns:a="http://schemas.openxmlformats.org/drawingml/2006/main" xmlns:pic="http://schemas.openxmlformats.org/drawingml/2006/picture">
            <wp:extent cx="5852160" cy="3090467"/>
            <wp:docPr id="4" name="Picture 4"/>
            <wp:cNvGraphicFramePr>
              <a:graphicFrameLocks noChangeAspect="1"/>
            </wp:cNvGraphicFramePr>
            <a:graphic>
              <a:graphicData uri="http://schemas.openxmlformats.org/drawingml/2006/picture">
                <pic:pic>
                  <pic:nvPicPr>
                    <pic:cNvPr id="0" name="footypredict_ui_mockup.png"/>
                    <pic:cNvPicPr/>
                  </pic:nvPicPr>
                  <pic:blipFill>
                    <a:blip r:embed="rId12"/>
                    <a:stretch>
                      <a:fillRect/>
                    </a:stretch>
                  </pic:blipFill>
                  <pic:spPr>
                    <a:xfrm>
                      <a:off x="0" y="0"/>
                      <a:ext cx="5852160" cy="3090467"/>
                    </a:xfrm>
                    <a:prstGeom prst="rect"/>
                  </pic:spPr>
                </pic:pic>
              </a:graphicData>
            </a:graphic>
          </wp:inline>
        </w:drawing>
      </w:r>
    </w:p>
    <w:p>
      <w:pPr>
        <w:spacing w:before="0" w:after="40" w:line="252" w:lineRule="auto"/>
        <w:jc w:val="center"/>
      </w:pPr>
      <w:r>
        <w:rPr>
          <w:rFonts w:ascii="Times New Roman" w:hAnsi="Times New Roman"/>
          <w:b w:val="0"/>
          <w:i/>
          <w:sz w:val="15"/>
        </w:rPr>
        <w:t>Figure 3: FootyPredict High-Signal Sports Analytics Interface (Dual-Stage Inference View)</w:t>
      </w:r>
    </w:p>
    <w:p>
      <w:r>
        <w:br w:type="page"/>
      </w:r>
    </w:p>
    <w:p>
      <w:pPr>
        <w:spacing w:before="100" w:after="40" w:line="252" w:lineRule="auto"/>
        <w:jc w:val="left"/>
      </w:pPr>
      <w:r>
        <w:rPr>
          <w:rFonts w:ascii="Times New Roman" w:hAnsi="Times New Roman"/>
          <w:b/>
          <w:i w:val="0"/>
          <w:color w:val="0B2E59"/>
          <w:sz w:val="22"/>
        </w:rPr>
        <w:t>10. PUBLIC GITHUB REPOSITORY &amp; OPEN-SOURCE LICENSE</w:t>
      </w:r>
    </w:p>
    <w:p>
      <w:pPr>
        <w:spacing w:before="0" w:after="40" w:line="252" w:lineRule="auto"/>
        <w:jc w:val="both"/>
      </w:pPr>
      <w:r>
        <w:rPr>
          <w:rFonts w:ascii="Times New Roman" w:hAnsi="Times New Roman"/>
          <w:b w:val="0"/>
          <w:i w:val="0"/>
          <w:sz w:val="17"/>
        </w:rPr>
        <w:t>Per university evaluation mandates, FootyPredict is published under an open-source license with complete reproducible code, models, notebooks, and interface files:</w:t>
      </w:r>
    </w:p>
    <w:tbl>
      <w:tblPr>
        <w:tblW w:type="auto" w:w="0"/>
        <w:jc w:val="center"/>
        <w:tblLook w:firstColumn="1" w:firstRow="1" w:lastColumn="0" w:lastRow="0" w:noHBand="0" w:noVBand="1" w:val="04A0"/>
      </w:tblPr>
      <w:tblGrid>
        <w:gridCol w:w="4946"/>
        <w:gridCol w:w="4946"/>
      </w:tblGrid>
      <w:tr>
        <w:tc>
          <w:tcPr>
            <w:tcW w:type="dxa" w:w="3168"/>
            <w:tcBorders>
              <w:top w:val="single" w:sz="4" w:color="CBD5E1"/>
              <w:left w:val="single" w:sz="4" w:color="CBD5E1"/>
              <w:bottom w:val="single" w:sz="4" w:color="CBD5E1"/>
              <w:right w:val="single" w:sz="4" w:color="CBD5E1"/>
            </w:tcBorders>
          </w:tcPr>
          <w:p>
            <w:r>
              <w:rPr>
                <w:b/>
                <w:sz w:val="16"/>
              </w:rPr>
              <w:t>Repository URL:</w:t>
            </w:r>
          </w:p>
        </w:tc>
        <w:tc>
          <w:tcPr>
            <w:tcW w:type="dxa" w:w="6768"/>
            <w:tcBorders>
              <w:top w:val="single" w:sz="4" w:color="CBD5E1"/>
              <w:left w:val="single" w:sz="4" w:color="CBD5E1"/>
              <w:bottom w:val="single" w:sz="4" w:color="CBD5E1"/>
              <w:right w:val="single" w:sz="4" w:color="CBD5E1"/>
            </w:tcBorders>
          </w:tcPr>
          <w:p>
            <w:r>
              <w:rPr>
                <w:rFonts w:ascii="Consolas" w:hAnsi="Consolas"/>
                <w:color w:val="0B2E59"/>
                <w:sz w:val="16"/>
              </w:rPr>
              <w:t>https://github.com/SaadVakharia/FootyPredict</w:t>
            </w:r>
          </w:p>
        </w:tc>
      </w:tr>
      <w:tr>
        <w:tc>
          <w:tcPr>
            <w:tcW w:type="dxa" w:w="3168"/>
            <w:tcBorders>
              <w:top w:val="single" w:sz="4" w:color="CBD5E1"/>
              <w:left w:val="single" w:sz="4" w:color="CBD5E1"/>
              <w:bottom w:val="single" w:sz="4" w:color="CBD5E1"/>
              <w:right w:val="single" w:sz="4" w:color="CBD5E1"/>
            </w:tcBorders>
          </w:tcPr>
          <w:p>
            <w:r>
              <w:rPr>
                <w:b/>
                <w:sz w:val="16"/>
              </w:rPr>
              <w:t>Open-Source License:</w:t>
            </w:r>
          </w:p>
        </w:tc>
        <w:tc>
          <w:tcPr>
            <w:tcW w:type="dxa" w:w="6768"/>
            <w:tcBorders>
              <w:top w:val="single" w:sz="4" w:color="CBD5E1"/>
              <w:left w:val="single" w:sz="4" w:color="CBD5E1"/>
              <w:bottom w:val="single" w:sz="4" w:color="CBD5E1"/>
              <w:right w:val="single" w:sz="4" w:color="CBD5E1"/>
            </w:tcBorders>
          </w:tcPr>
          <w:p>
            <w:r>
              <w:rPr>
                <w:sz w:val="16"/>
              </w:rPr>
              <w:t>MIT License (Permissive Free Software License)</w:t>
            </w:r>
          </w:p>
        </w:tc>
      </w:tr>
      <w:tr>
        <w:tc>
          <w:tcPr>
            <w:tcW w:type="dxa" w:w="3168"/>
            <w:tcBorders>
              <w:top w:val="single" w:sz="4" w:color="CBD5E1"/>
              <w:left w:val="single" w:sz="4" w:color="CBD5E1"/>
              <w:bottom w:val="single" w:sz="4" w:color="CBD5E1"/>
              <w:right w:val="single" w:sz="4" w:color="CBD5E1"/>
            </w:tcBorders>
          </w:tcPr>
          <w:p>
            <w:r>
              <w:rPr>
                <w:b/>
                <w:sz w:val="16"/>
              </w:rPr>
              <w:t>Clone &amp; Run Command:</w:t>
            </w:r>
          </w:p>
        </w:tc>
        <w:tc>
          <w:tcPr>
            <w:tcW w:type="dxa" w:w="6768"/>
            <w:tcBorders>
              <w:top w:val="single" w:sz="4" w:color="CBD5E1"/>
              <w:left w:val="single" w:sz="4" w:color="CBD5E1"/>
              <w:bottom w:val="single" w:sz="4" w:color="CBD5E1"/>
              <w:right w:val="single" w:sz="4" w:color="CBD5E1"/>
            </w:tcBorders>
          </w:tcPr>
          <w:p>
            <w:r>
              <w:rPr>
                <w:rFonts w:ascii="Consolas" w:hAnsi="Consolas"/>
                <w:color w:val="0B2E59"/>
                <w:sz w:val="16"/>
              </w:rPr>
              <w:t>git clone https://github.com/SaadVakharia/FootyPredict.git &amp;&amp; python src/train.py</w:t>
            </w:r>
          </w:p>
        </w:tc>
      </w:tr>
    </w:tbl>
    <w:p>
      <w:pPr>
        <w:spacing w:before="100" w:after="40" w:line="252" w:lineRule="auto"/>
        <w:jc w:val="left"/>
      </w:pPr>
      <w:r>
        <w:rPr>
          <w:rFonts w:ascii="Times New Roman" w:hAnsi="Times New Roman"/>
          <w:b/>
          <w:i w:val="0"/>
          <w:color w:val="0B2E59"/>
          <w:sz w:val="22"/>
        </w:rPr>
        <w:t>11. PROJECT LOG BOOK SUMMARY</w:t>
      </w:r>
    </w:p>
    <w:tbl>
      <w:tblPr>
        <w:tblW w:type="auto" w:w="0"/>
        <w:jc w:val="center"/>
        <w:tblLook w:firstColumn="1" w:firstRow="1" w:lastColumn="0" w:lastRow="0" w:noHBand="0" w:noVBand="1" w:val="04A0"/>
      </w:tblPr>
      <w:tblGrid>
        <w:gridCol w:w="2473"/>
        <w:gridCol w:w="2473"/>
        <w:gridCol w:w="2473"/>
        <w:gridCol w:w="2473"/>
      </w:tblGrid>
      <w:tr>
        <w:tc>
          <w:tcPr>
            <w:tcW w:type="dxa" w:w="1440"/>
            <w:tcBorders>
              <w:top w:val="single" w:sz="4" w:color="CBD5E1"/>
              <w:left w:val="single" w:sz="4" w:color="CBD5E1"/>
              <w:bottom w:val="single" w:sz="4" w:color="CBD5E1"/>
              <w:right w:val="single" w:sz="4" w:color="CBD5E1"/>
            </w:tcBorders>
            <w:shd w:val="clear" w:color="auto" w:fill="0B2E59"/>
          </w:tcPr>
          <w:p>
            <w:pPr>
              <w:jc w:val="center"/>
            </w:pPr>
            <w:r>
              <w:rPr>
                <w:b/>
                <w:color w:val="FFFFFF"/>
                <w:sz w:val="16"/>
              </w:rPr>
              <w:t>Week</w:t>
            </w:r>
          </w:p>
        </w:tc>
        <w:tc>
          <w:tcPr>
            <w:tcW w:type="dxa" w:w="2016"/>
            <w:tcBorders>
              <w:top w:val="single" w:sz="4" w:color="CBD5E1"/>
              <w:left w:val="single" w:sz="4" w:color="CBD5E1"/>
              <w:bottom w:val="single" w:sz="4" w:color="CBD5E1"/>
              <w:right w:val="single" w:sz="4" w:color="CBD5E1"/>
            </w:tcBorders>
            <w:shd w:val="clear" w:color="auto" w:fill="0B2E59"/>
          </w:tcPr>
          <w:p>
            <w:pPr>
              <w:jc w:val="center"/>
            </w:pPr>
            <w:r>
              <w:rPr>
                <w:b/>
                <w:color w:val="FFFFFF"/>
                <w:sz w:val="16"/>
              </w:rPr>
              <w:t>Dates</w:t>
            </w:r>
          </w:p>
        </w:tc>
        <w:tc>
          <w:tcPr>
            <w:tcW w:type="dxa" w:w="4752"/>
            <w:tcBorders>
              <w:top w:val="single" w:sz="4" w:color="CBD5E1"/>
              <w:left w:val="single" w:sz="4" w:color="CBD5E1"/>
              <w:bottom w:val="single" w:sz="4" w:color="CBD5E1"/>
              <w:right w:val="single" w:sz="4" w:color="CBD5E1"/>
            </w:tcBorders>
            <w:shd w:val="clear" w:color="auto" w:fill="0B2E59"/>
          </w:tcPr>
          <w:p>
            <w:pPr>
              <w:jc w:val="center"/>
            </w:pPr>
            <w:r>
              <w:rPr>
                <w:b/>
                <w:color w:val="FFFFFF"/>
                <w:sz w:val="16"/>
              </w:rPr>
              <w:t>Milestone &amp; Technical Deliverables Completed</w:t>
            </w:r>
          </w:p>
        </w:tc>
        <w:tc>
          <w:tcPr>
            <w:tcW w:type="dxa" w:w="1728"/>
            <w:tcBorders>
              <w:top w:val="single" w:sz="4" w:color="CBD5E1"/>
              <w:left w:val="single" w:sz="4" w:color="CBD5E1"/>
              <w:bottom w:val="single" w:sz="4" w:color="CBD5E1"/>
              <w:right w:val="single" w:sz="4" w:color="CBD5E1"/>
            </w:tcBorders>
            <w:shd w:val="clear" w:color="auto" w:fill="0B2E59"/>
          </w:tcPr>
          <w:p>
            <w:pPr>
              <w:jc w:val="center"/>
            </w:pPr>
            <w:r>
              <w:rPr>
                <w:b/>
                <w:color w:val="FFFFFF"/>
                <w:sz w:val="16"/>
              </w:rPr>
              <w:t>Guide Status</w:t>
            </w:r>
          </w:p>
        </w:tc>
      </w:tr>
      <w:tr>
        <w:tc>
          <w:tcPr>
            <w:tcW w:type="dxa" w:w="1440"/>
            <w:tcBorders>
              <w:top w:val="single" w:sz="4" w:color="CBD5E1"/>
              <w:left w:val="single" w:sz="4" w:color="CBD5E1"/>
              <w:bottom w:val="single" w:sz="4" w:color="CBD5E1"/>
              <w:right w:val="single" w:sz="4" w:color="CBD5E1"/>
            </w:tcBorders>
          </w:tcPr>
          <w:p>
            <w:pPr>
              <w:spacing w:line="252" w:lineRule="auto"/>
              <w:jc w:val="center"/>
            </w:pPr>
            <w:r>
              <w:rPr>
                <w:sz w:val="15"/>
              </w:rPr>
              <w:t>W1-W2</w:t>
            </w:r>
          </w:p>
        </w:tc>
        <w:tc>
          <w:tcPr>
            <w:tcW w:type="dxa" w:w="2016"/>
            <w:tcBorders>
              <w:top w:val="single" w:sz="4" w:color="CBD5E1"/>
              <w:left w:val="single" w:sz="4" w:color="CBD5E1"/>
              <w:bottom w:val="single" w:sz="4" w:color="CBD5E1"/>
              <w:right w:val="single" w:sz="4" w:color="CBD5E1"/>
            </w:tcBorders>
          </w:tcPr>
          <w:p>
            <w:pPr>
              <w:spacing w:line="252" w:lineRule="auto"/>
              <w:jc w:val="center"/>
            </w:pPr>
            <w:r>
              <w:rPr>
                <w:sz w:val="15"/>
              </w:rPr>
              <w:t>01/08 - 14/08</w:t>
            </w:r>
          </w:p>
        </w:tc>
        <w:tc>
          <w:tcPr>
            <w:tcW w:type="dxa" w:w="4752"/>
            <w:tcBorders>
              <w:top w:val="single" w:sz="4" w:color="CBD5E1"/>
              <w:left w:val="single" w:sz="4" w:color="CBD5E1"/>
              <w:bottom w:val="single" w:sz="4" w:color="CBD5E1"/>
              <w:right w:val="single" w:sz="4" w:color="CBD5E1"/>
            </w:tcBorders>
          </w:tcPr>
          <w:p>
            <w:pPr>
              <w:spacing w:line="252" w:lineRule="auto"/>
              <w:jc w:val="left"/>
            </w:pPr>
            <w:r>
              <w:rPr>
                <w:sz w:val="15"/>
              </w:rPr>
              <w:t>Problem formulation, literature survey on bivariate Poisson models.</w:t>
            </w:r>
          </w:p>
        </w:tc>
        <w:tc>
          <w:tcPr>
            <w:tcW w:type="dxa" w:w="1728"/>
            <w:tcBorders>
              <w:top w:val="single" w:sz="4" w:color="CBD5E1"/>
              <w:left w:val="single" w:sz="4" w:color="CBD5E1"/>
              <w:bottom w:val="single" w:sz="4" w:color="CBD5E1"/>
              <w:right w:val="single" w:sz="4" w:color="CBD5E1"/>
            </w:tcBorders>
          </w:tcPr>
          <w:p>
            <w:pPr>
              <w:spacing w:line="252" w:lineRule="auto"/>
              <w:jc w:val="center"/>
            </w:pPr>
            <w:r>
              <w:rPr>
                <w:sz w:val="15"/>
              </w:rPr>
              <w:t>Approved</w:t>
            </w:r>
          </w:p>
        </w:tc>
      </w:tr>
      <w:tr>
        <w:tc>
          <w:tcPr>
            <w:tcW w:type="dxa" w:w="1440"/>
            <w:tcBorders>
              <w:top w:val="single" w:sz="4" w:color="CBD5E1"/>
              <w:left w:val="single" w:sz="4" w:color="CBD5E1"/>
              <w:bottom w:val="single" w:sz="4" w:color="CBD5E1"/>
              <w:right w:val="single" w:sz="4" w:color="CBD5E1"/>
            </w:tcBorders>
            <w:shd w:val="clear" w:color="auto" w:fill="F1F5F9"/>
          </w:tcPr>
          <w:p>
            <w:pPr>
              <w:spacing w:line="252" w:lineRule="auto"/>
              <w:jc w:val="center"/>
            </w:pPr>
            <w:r>
              <w:rPr>
                <w:sz w:val="15"/>
              </w:rPr>
              <w:t>W3-W4</w:t>
            </w:r>
          </w:p>
        </w:tc>
        <w:tc>
          <w:tcPr>
            <w:tcW w:type="dxa" w:w="2016"/>
            <w:tcBorders>
              <w:top w:val="single" w:sz="4" w:color="CBD5E1"/>
              <w:left w:val="single" w:sz="4" w:color="CBD5E1"/>
              <w:bottom w:val="single" w:sz="4" w:color="CBD5E1"/>
              <w:right w:val="single" w:sz="4" w:color="CBD5E1"/>
            </w:tcBorders>
            <w:shd w:val="clear" w:color="auto" w:fill="F1F5F9"/>
          </w:tcPr>
          <w:p>
            <w:pPr>
              <w:spacing w:line="252" w:lineRule="auto"/>
              <w:jc w:val="center"/>
            </w:pPr>
            <w:r>
              <w:rPr>
                <w:sz w:val="15"/>
              </w:rPr>
              <w:t>15/08 - 28/08</w:t>
            </w:r>
          </w:p>
        </w:tc>
        <w:tc>
          <w:tcPr>
            <w:tcW w:type="dxa" w:w="4752"/>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5"/>
              </w:rPr>
              <w:t>Generated 2,200 match dataset; implemented dynamic Elo ratings.</w:t>
            </w:r>
          </w:p>
        </w:tc>
        <w:tc>
          <w:tcPr>
            <w:tcW w:type="dxa" w:w="1728"/>
            <w:tcBorders>
              <w:top w:val="single" w:sz="4" w:color="CBD5E1"/>
              <w:left w:val="single" w:sz="4" w:color="CBD5E1"/>
              <w:bottom w:val="single" w:sz="4" w:color="CBD5E1"/>
              <w:right w:val="single" w:sz="4" w:color="CBD5E1"/>
            </w:tcBorders>
            <w:shd w:val="clear" w:color="auto" w:fill="F1F5F9"/>
          </w:tcPr>
          <w:p>
            <w:pPr>
              <w:spacing w:line="252" w:lineRule="auto"/>
              <w:jc w:val="center"/>
            </w:pPr>
            <w:r>
              <w:rPr>
                <w:sz w:val="15"/>
              </w:rPr>
              <w:t>Reviewed</w:t>
            </w:r>
          </w:p>
        </w:tc>
      </w:tr>
      <w:tr>
        <w:tc>
          <w:tcPr>
            <w:tcW w:type="dxa" w:w="1440"/>
            <w:tcBorders>
              <w:top w:val="single" w:sz="4" w:color="CBD5E1"/>
              <w:left w:val="single" w:sz="4" w:color="CBD5E1"/>
              <w:bottom w:val="single" w:sz="4" w:color="CBD5E1"/>
              <w:right w:val="single" w:sz="4" w:color="CBD5E1"/>
            </w:tcBorders>
          </w:tcPr>
          <w:p>
            <w:pPr>
              <w:spacing w:line="252" w:lineRule="auto"/>
              <w:jc w:val="center"/>
            </w:pPr>
            <w:r>
              <w:rPr>
                <w:sz w:val="15"/>
              </w:rPr>
              <w:t>W5-W6</w:t>
            </w:r>
          </w:p>
        </w:tc>
        <w:tc>
          <w:tcPr>
            <w:tcW w:type="dxa" w:w="2016"/>
            <w:tcBorders>
              <w:top w:val="single" w:sz="4" w:color="CBD5E1"/>
              <w:left w:val="single" w:sz="4" w:color="CBD5E1"/>
              <w:bottom w:val="single" w:sz="4" w:color="CBD5E1"/>
              <w:right w:val="single" w:sz="4" w:color="CBD5E1"/>
            </w:tcBorders>
          </w:tcPr>
          <w:p>
            <w:pPr>
              <w:spacing w:line="252" w:lineRule="auto"/>
              <w:jc w:val="center"/>
            </w:pPr>
            <w:r>
              <w:rPr>
                <w:sz w:val="15"/>
              </w:rPr>
              <w:t>29/08 - 11/09</w:t>
            </w:r>
          </w:p>
        </w:tc>
        <w:tc>
          <w:tcPr>
            <w:tcW w:type="dxa" w:w="4752"/>
            <w:tcBorders>
              <w:top w:val="single" w:sz="4" w:color="CBD5E1"/>
              <w:left w:val="single" w:sz="4" w:color="CBD5E1"/>
              <w:bottom w:val="single" w:sz="4" w:color="CBD5E1"/>
              <w:right w:val="single" w:sz="4" w:color="CBD5E1"/>
            </w:tcBorders>
          </w:tcPr>
          <w:p>
            <w:pPr>
              <w:spacing w:line="252" w:lineRule="auto"/>
              <w:jc w:val="left"/>
            </w:pPr>
            <w:r>
              <w:rPr>
                <w:sz w:val="15"/>
              </w:rPr>
              <w:t>Constructed Stage 1 multi-classifier benchmark (Logistic, RF, GBDT, MLP).</w:t>
            </w:r>
          </w:p>
        </w:tc>
        <w:tc>
          <w:tcPr>
            <w:tcW w:type="dxa" w:w="1728"/>
            <w:tcBorders>
              <w:top w:val="single" w:sz="4" w:color="CBD5E1"/>
              <w:left w:val="single" w:sz="4" w:color="CBD5E1"/>
              <w:bottom w:val="single" w:sz="4" w:color="CBD5E1"/>
              <w:right w:val="single" w:sz="4" w:color="CBD5E1"/>
            </w:tcBorders>
          </w:tcPr>
          <w:p>
            <w:pPr>
              <w:spacing w:line="252" w:lineRule="auto"/>
              <w:jc w:val="center"/>
            </w:pPr>
            <w:r>
              <w:rPr>
                <w:sz w:val="15"/>
              </w:rPr>
              <w:t>Approved</w:t>
            </w:r>
          </w:p>
        </w:tc>
      </w:tr>
      <w:tr>
        <w:tc>
          <w:tcPr>
            <w:tcW w:type="dxa" w:w="1440"/>
            <w:tcBorders>
              <w:top w:val="single" w:sz="4" w:color="CBD5E1"/>
              <w:left w:val="single" w:sz="4" w:color="CBD5E1"/>
              <w:bottom w:val="single" w:sz="4" w:color="CBD5E1"/>
              <w:right w:val="single" w:sz="4" w:color="CBD5E1"/>
            </w:tcBorders>
            <w:shd w:val="clear" w:color="auto" w:fill="F1F5F9"/>
          </w:tcPr>
          <w:p>
            <w:pPr>
              <w:spacing w:line="252" w:lineRule="auto"/>
              <w:jc w:val="center"/>
            </w:pPr>
            <w:r>
              <w:rPr>
                <w:sz w:val="15"/>
              </w:rPr>
              <w:t>W7-W8</w:t>
            </w:r>
          </w:p>
        </w:tc>
        <w:tc>
          <w:tcPr>
            <w:tcW w:type="dxa" w:w="2016"/>
            <w:tcBorders>
              <w:top w:val="single" w:sz="4" w:color="CBD5E1"/>
              <w:left w:val="single" w:sz="4" w:color="CBD5E1"/>
              <w:bottom w:val="single" w:sz="4" w:color="CBD5E1"/>
              <w:right w:val="single" w:sz="4" w:color="CBD5E1"/>
            </w:tcBorders>
            <w:shd w:val="clear" w:color="auto" w:fill="F1F5F9"/>
          </w:tcPr>
          <w:p>
            <w:pPr>
              <w:spacing w:line="252" w:lineRule="auto"/>
              <w:jc w:val="center"/>
            </w:pPr>
            <w:r>
              <w:rPr>
                <w:sz w:val="15"/>
              </w:rPr>
              <w:t>12/09 - 25/09</w:t>
            </w:r>
          </w:p>
        </w:tc>
        <w:tc>
          <w:tcPr>
            <w:tcW w:type="dxa" w:w="4752"/>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5"/>
              </w:rPr>
              <w:t>Developed Stage 2 bivariate Poisson regression &amp; joint scoreline matrix.</w:t>
            </w:r>
          </w:p>
        </w:tc>
        <w:tc>
          <w:tcPr>
            <w:tcW w:type="dxa" w:w="1728"/>
            <w:tcBorders>
              <w:top w:val="single" w:sz="4" w:color="CBD5E1"/>
              <w:left w:val="single" w:sz="4" w:color="CBD5E1"/>
              <w:bottom w:val="single" w:sz="4" w:color="CBD5E1"/>
              <w:right w:val="single" w:sz="4" w:color="CBD5E1"/>
            </w:tcBorders>
            <w:shd w:val="clear" w:color="auto" w:fill="F1F5F9"/>
          </w:tcPr>
          <w:p>
            <w:pPr>
              <w:spacing w:line="252" w:lineRule="auto"/>
              <w:jc w:val="center"/>
            </w:pPr>
            <w:r>
              <w:rPr>
                <w:sz w:val="15"/>
              </w:rPr>
              <w:t>Approved</w:t>
            </w:r>
          </w:p>
        </w:tc>
      </w:tr>
      <w:tr>
        <w:tc>
          <w:tcPr>
            <w:tcW w:type="dxa" w:w="1440"/>
            <w:tcBorders>
              <w:top w:val="single" w:sz="4" w:color="CBD5E1"/>
              <w:left w:val="single" w:sz="4" w:color="CBD5E1"/>
              <w:bottom w:val="single" w:sz="4" w:color="CBD5E1"/>
              <w:right w:val="single" w:sz="4" w:color="CBD5E1"/>
            </w:tcBorders>
          </w:tcPr>
          <w:p>
            <w:pPr>
              <w:spacing w:line="252" w:lineRule="auto"/>
              <w:jc w:val="center"/>
            </w:pPr>
            <w:r>
              <w:rPr>
                <w:sz w:val="15"/>
              </w:rPr>
              <w:t>W9-W10</w:t>
            </w:r>
          </w:p>
        </w:tc>
        <w:tc>
          <w:tcPr>
            <w:tcW w:type="dxa" w:w="2016"/>
            <w:tcBorders>
              <w:top w:val="single" w:sz="4" w:color="CBD5E1"/>
              <w:left w:val="single" w:sz="4" w:color="CBD5E1"/>
              <w:bottom w:val="single" w:sz="4" w:color="CBD5E1"/>
              <w:right w:val="single" w:sz="4" w:color="CBD5E1"/>
            </w:tcBorders>
          </w:tcPr>
          <w:p>
            <w:pPr>
              <w:spacing w:line="252" w:lineRule="auto"/>
              <w:jc w:val="center"/>
            </w:pPr>
            <w:r>
              <w:rPr>
                <w:sz w:val="15"/>
              </w:rPr>
              <w:t>26/09 - 09/10</w:t>
            </w:r>
          </w:p>
        </w:tc>
        <w:tc>
          <w:tcPr>
            <w:tcW w:type="dxa" w:w="4752"/>
            <w:tcBorders>
              <w:top w:val="single" w:sz="4" w:color="CBD5E1"/>
              <w:left w:val="single" w:sz="4" w:color="CBD5E1"/>
              <w:bottom w:val="single" w:sz="4" w:color="CBD5E1"/>
              <w:right w:val="single" w:sz="4" w:color="CBD5E1"/>
            </w:tcBorders>
          </w:tcPr>
          <w:p>
            <w:pPr>
              <w:spacing w:line="252" w:lineRule="auto"/>
              <w:jc w:val="left"/>
            </w:pPr>
            <w:r>
              <w:rPr>
                <w:sz w:val="15"/>
              </w:rPr>
              <w:t>Tuned dual-stage blending parameter α=0.55; achieved 43.09% Weighted F1.</w:t>
            </w:r>
          </w:p>
        </w:tc>
        <w:tc>
          <w:tcPr>
            <w:tcW w:type="dxa" w:w="1728"/>
            <w:tcBorders>
              <w:top w:val="single" w:sz="4" w:color="CBD5E1"/>
              <w:left w:val="single" w:sz="4" w:color="CBD5E1"/>
              <w:bottom w:val="single" w:sz="4" w:color="CBD5E1"/>
              <w:right w:val="single" w:sz="4" w:color="CBD5E1"/>
            </w:tcBorders>
          </w:tcPr>
          <w:p>
            <w:pPr>
              <w:spacing w:line="252" w:lineRule="auto"/>
              <w:jc w:val="center"/>
            </w:pPr>
            <w:r>
              <w:rPr>
                <w:sz w:val="15"/>
              </w:rPr>
              <w:t>Approved</w:t>
            </w:r>
          </w:p>
        </w:tc>
      </w:tr>
      <w:tr>
        <w:tc>
          <w:tcPr>
            <w:tcW w:type="dxa" w:w="1440"/>
            <w:tcBorders>
              <w:top w:val="single" w:sz="4" w:color="CBD5E1"/>
              <w:left w:val="single" w:sz="4" w:color="CBD5E1"/>
              <w:bottom w:val="single" w:sz="4" w:color="CBD5E1"/>
              <w:right w:val="single" w:sz="4" w:color="CBD5E1"/>
            </w:tcBorders>
            <w:shd w:val="clear" w:color="auto" w:fill="F1F5F9"/>
          </w:tcPr>
          <w:p>
            <w:pPr>
              <w:spacing w:line="252" w:lineRule="auto"/>
              <w:jc w:val="center"/>
            </w:pPr>
            <w:r>
              <w:rPr>
                <w:sz w:val="15"/>
              </w:rPr>
              <w:t>W11-W12</w:t>
            </w:r>
          </w:p>
        </w:tc>
        <w:tc>
          <w:tcPr>
            <w:tcW w:type="dxa" w:w="2016"/>
            <w:tcBorders>
              <w:top w:val="single" w:sz="4" w:color="CBD5E1"/>
              <w:left w:val="single" w:sz="4" w:color="CBD5E1"/>
              <w:bottom w:val="single" w:sz="4" w:color="CBD5E1"/>
              <w:right w:val="single" w:sz="4" w:color="CBD5E1"/>
            </w:tcBorders>
            <w:shd w:val="clear" w:color="auto" w:fill="F1F5F9"/>
          </w:tcPr>
          <w:p>
            <w:pPr>
              <w:spacing w:line="252" w:lineRule="auto"/>
              <w:jc w:val="center"/>
            </w:pPr>
            <w:r>
              <w:rPr>
                <w:sz w:val="15"/>
              </w:rPr>
              <w:t>10/10 - 21/10</w:t>
            </w:r>
          </w:p>
        </w:tc>
        <w:tc>
          <w:tcPr>
            <w:tcW w:type="dxa" w:w="4752"/>
            <w:tcBorders>
              <w:top w:val="single" w:sz="4" w:color="CBD5E1"/>
              <w:left w:val="single" w:sz="4" w:color="CBD5E1"/>
              <w:bottom w:val="single" w:sz="4" w:color="CBD5E1"/>
              <w:right w:val="single" w:sz="4" w:color="CBD5E1"/>
            </w:tcBorders>
            <w:shd w:val="clear" w:color="auto" w:fill="F1F5F9"/>
          </w:tcPr>
          <w:p>
            <w:pPr>
              <w:spacing w:line="252" w:lineRule="auto"/>
              <w:jc w:val="left"/>
            </w:pPr>
            <w:r>
              <w:rPr>
                <w:sz w:val="15"/>
              </w:rPr>
              <w:t>Built high-signal dark obsidian dashboard and finalized 5-page report.</w:t>
            </w:r>
          </w:p>
        </w:tc>
        <w:tc>
          <w:tcPr>
            <w:tcW w:type="dxa" w:w="1728"/>
            <w:tcBorders>
              <w:top w:val="single" w:sz="4" w:color="CBD5E1"/>
              <w:left w:val="single" w:sz="4" w:color="CBD5E1"/>
              <w:bottom w:val="single" w:sz="4" w:color="CBD5E1"/>
              <w:right w:val="single" w:sz="4" w:color="CBD5E1"/>
            </w:tcBorders>
            <w:shd w:val="clear" w:color="auto" w:fill="F1F5F9"/>
          </w:tcPr>
          <w:p>
            <w:pPr>
              <w:spacing w:line="252" w:lineRule="auto"/>
              <w:jc w:val="center"/>
            </w:pPr>
            <w:r>
              <w:rPr>
                <w:sz w:val="15"/>
              </w:rPr>
              <w:t>Completed</w:t>
            </w:r>
          </w:p>
        </w:tc>
      </w:tr>
    </w:tbl>
    <w:p>
      <w:pPr>
        <w:spacing w:before="100" w:after="40" w:line="252" w:lineRule="auto"/>
        <w:jc w:val="left"/>
      </w:pPr>
      <w:r>
        <w:rPr>
          <w:rFonts w:ascii="Times New Roman" w:hAnsi="Times New Roman"/>
          <w:b/>
          <w:i w:val="0"/>
          <w:color w:val="0B2E59"/>
          <w:sz w:val="22"/>
        </w:rPr>
        <w:t>12. CONCLUSION &amp; FUTURE SCOPE</w:t>
      </w:r>
    </w:p>
    <w:p>
      <w:pPr>
        <w:spacing w:before="0" w:after="60" w:line="252" w:lineRule="auto"/>
        <w:jc w:val="both"/>
      </w:pPr>
      <w:r>
        <w:rPr>
          <w:rFonts w:ascii="Times New Roman" w:hAnsi="Times New Roman"/>
          <w:b w:val="0"/>
          <w:i w:val="0"/>
          <w:sz w:val="17"/>
        </w:rPr>
        <w:t>FootyPredict demonstrates that decoupling football forecasting into discrete outcome classification and continuous bivariate Poisson expectancy outperforms standalone approaches. The framework achieves 50.45% Accuracy and 43.09% Weighted F1-score on a challenging 3-class test set, while maintaining sub-millisecond inference latency for real-time web deployment. Future enhancements will integrate optical player-tracking data and real-time in-game Markov decision processes for live in-play predictions.</w:t>
      </w:r>
    </w:p>
    <w:p>
      <w:pPr>
        <w:spacing w:before="100" w:after="40" w:line="252" w:lineRule="auto"/>
        <w:jc w:val="left"/>
      </w:pPr>
      <w:r>
        <w:rPr>
          <w:rFonts w:ascii="Times New Roman" w:hAnsi="Times New Roman"/>
          <w:b/>
          <w:i w:val="0"/>
          <w:color w:val="0B2E59"/>
          <w:sz w:val="22"/>
        </w:rPr>
        <w:t>13. IEEE REFERENCES</w:t>
      </w:r>
    </w:p>
    <w:p>
      <w:pPr>
        <w:spacing w:before="0" w:after="30" w:line="252" w:lineRule="auto"/>
        <w:jc w:val="left"/>
      </w:pPr>
      <w:r>
        <w:rPr>
          <w:rFonts w:ascii="Times New Roman" w:hAnsi="Times New Roman"/>
          <w:b w:val="0"/>
          <w:i w:val="0"/>
          <w:sz w:val="15"/>
        </w:rPr>
        <w:t>[1] M. J. Maher, "Modelling association football scores," Statistica Neerlandica, vol. 36, no. 3, pp. 109–118, 1982.</w:t>
      </w:r>
    </w:p>
    <w:p>
      <w:pPr>
        <w:spacing w:before="0" w:after="30" w:line="252" w:lineRule="auto"/>
        <w:jc w:val="left"/>
      </w:pPr>
      <w:r>
        <w:rPr>
          <w:rFonts w:ascii="Times New Roman" w:hAnsi="Times New Roman"/>
          <w:b w:val="0"/>
          <w:i w:val="0"/>
          <w:sz w:val="15"/>
        </w:rPr>
        <w:t>[2] M. J. Dixon and S. G. Coles, "Modelling association football scores and inefficiencies in the football betting market," J. R. Stat. Soc. Ser. C (Applied Statistics), vol. 46, no. 2, pp. 265–280, 1997.</w:t>
      </w:r>
    </w:p>
    <w:p>
      <w:pPr>
        <w:spacing w:before="0" w:after="30" w:line="252" w:lineRule="auto"/>
        <w:jc w:val="left"/>
      </w:pPr>
      <w:r>
        <w:rPr>
          <w:rFonts w:ascii="Times New Roman" w:hAnsi="Times New Roman"/>
          <w:b w:val="0"/>
          <w:i w:val="0"/>
          <w:sz w:val="15"/>
        </w:rPr>
        <w:t>[3] A. C. Constantinou, N. E. Fenton, and M. Neil, "pi-football: A Bayesian network model for forecasting Association Football match outcomes," Knowl.-Based Syst., vol. 36, pp. 322–339, 2012.</w:t>
      </w:r>
    </w:p>
    <w:p>
      <w:pPr>
        <w:spacing w:before="0" w:after="30" w:line="252" w:lineRule="auto"/>
        <w:jc w:val="left"/>
      </w:pPr>
      <w:r>
        <w:rPr>
          <w:rFonts w:ascii="Times New Roman" w:hAnsi="Times New Roman"/>
          <w:b w:val="0"/>
          <w:i w:val="0"/>
          <w:sz w:val="15"/>
        </w:rPr>
        <w:t>[4] R. P. Bunker and R. Susnjak, "The application of machine learning techniques for predicting match results in team sport: A review," Comput. Sci. Rev., vol. 44, p. 100465, 2022.</w:t>
      </w:r>
    </w:p>
    <w:p>
      <w:pPr>
        <w:spacing w:before="0" w:after="30" w:line="252" w:lineRule="auto"/>
        <w:jc w:val="left"/>
      </w:pPr>
      <w:r>
        <w:rPr>
          <w:rFonts w:ascii="Times New Roman" w:hAnsi="Times New Roman"/>
          <w:b w:val="0"/>
          <w:i w:val="0"/>
          <w:sz w:val="15"/>
        </w:rPr>
        <w:t>[5] F. Pedregosa et al., "Scikit-learn: Machine Learning in Python," J. Mach. Learn. Res., vol. 12, pp. 2825–2830, 2011.</w:t>
      </w:r>
    </w:p>
    <w:p>
      <w:pPr>
        <w:spacing w:before="0" w:after="30" w:line="252" w:lineRule="auto"/>
        <w:jc w:val="left"/>
      </w:pPr>
      <w:r>
        <w:rPr>
          <w:rFonts w:ascii="Times New Roman" w:hAnsi="Times New Roman"/>
          <w:b w:val="0"/>
          <w:i w:val="0"/>
          <w:sz w:val="15"/>
        </w:rPr>
        <w:t>[6] J. Jerome, "Greedy function approximation: A gradient boosting machine," Ann. Statist., vol. 29, no. 5, pp. 1189–1232, 2001.</w:t>
      </w:r>
    </w:p>
    <w:sectPr w:rsidR="00FC693F" w:rsidRPr="0006063C" w:rsidSect="00034616">
      <w:pgSz w:w="11909" w:h="16834"/>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