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200" w:after="240"/>
        <w:jc w:val="center"/>
      </w:pPr>
      <w:r>
        <w:rPr>
          <w:rFonts w:ascii="Times New Roman" w:hAnsi="Times New Roman"/>
          <w:b w:val="0"/>
          <w:i w:val="0"/>
          <w:sz w:val="26"/>
        </w:rPr>
        <w:t>A Project Report on</w:t>
      </w:r>
    </w:p>
    <w:p>
      <w:pPr>
        <w:spacing w:line="276" w:lineRule="auto" w:before="0" w:after="320"/>
        <w:jc w:val="center"/>
      </w:pPr>
      <w:r>
        <w:rPr>
          <w:rFonts w:ascii="Times New Roman" w:hAnsi="Times New Roman"/>
          <w:b/>
          <w:i w:val="0"/>
          <w:color w:val="0B2E59"/>
          <w:sz w:val="32"/>
        </w:rPr>
        <w:t>“FOOTYPREDICT: DUAL-STAGE MACHINE LEARNING FRAMEWORK FOR FOOTBALL MATCH OUTCOME AND SCORELINE PREDICTION”</w:t>
      </w:r>
    </w:p>
    <w:p>
      <w:pPr>
        <w:spacing w:line="276" w:lineRule="auto" w:before="0" w:after="40"/>
        <w:jc w:val="center"/>
      </w:pPr>
      <w:r>
        <w:rPr>
          <w:rFonts w:ascii="Times New Roman" w:hAnsi="Times New Roman"/>
          <w:b w:val="0"/>
          <w:i w:val="0"/>
          <w:sz w:val="24"/>
        </w:rPr>
        <w:t>Submitted in partial fulfillment of the requirements of the degree of</w:t>
      </w:r>
    </w:p>
    <w:p>
      <w:pPr>
        <w:spacing w:line="276" w:lineRule="auto" w:before="0" w:after="280"/>
        <w:jc w:val="center"/>
      </w:pPr>
      <w:r>
        <w:rPr>
          <w:rFonts w:ascii="Times New Roman" w:hAnsi="Times New Roman"/>
          <w:b/>
          <w:i w:val="0"/>
          <w:sz w:val="26"/>
        </w:rPr>
        <w:t>Bachelor of Engineering in Information Technology</w:t>
      </w:r>
    </w:p>
    <w:p>
      <w:pPr>
        <w:spacing w:line="276" w:lineRule="auto" w:before="0" w:after="40"/>
        <w:jc w:val="center"/>
      </w:pPr>
      <w:r>
        <w:rPr>
          <w:rFonts w:ascii="Times New Roman" w:hAnsi="Times New Roman"/>
          <w:b w:val="0"/>
          <w:i/>
          <w:sz w:val="22"/>
        </w:rPr>
        <w:t>For the Academic Assessment of</w:t>
      </w:r>
    </w:p>
    <w:p>
      <w:pPr>
        <w:spacing w:line="276" w:lineRule="auto" w:before="0" w:after="320"/>
        <w:jc w:val="center"/>
      </w:pPr>
      <w:r>
        <w:rPr>
          <w:rFonts w:ascii="Times New Roman" w:hAnsi="Times New Roman"/>
          <w:b/>
          <w:i w:val="0"/>
          <w:sz w:val="24"/>
        </w:rPr>
        <w:t>ARTIFICIAL INTELLIGENCE &amp; DATA SCIENCE II (AI &amp; DS II)</w:t>
      </w:r>
    </w:p>
    <w:p>
      <w:pPr>
        <w:spacing w:line="276" w:lineRule="auto" w:before="0" w:after="160"/>
        <w:jc w:val="center"/>
      </w:pPr>
      <w:r>
        <w:rPr>
          <w:rFonts w:ascii="Times New Roman" w:hAnsi="Times New Roman"/>
          <w:b w:val="0"/>
          <w:i w:val="0"/>
          <w:sz w:val="24"/>
        </w:rPr>
        <w:t>By</w:t>
      </w:r>
    </w:p>
    <w:tbl>
      <w:tblPr>
        <w:tblW w:type="auto" w:w="0"/>
        <w:jc w:val="center"/>
        <w:tblLook w:firstColumn="1" w:firstRow="1" w:lastColumn="0" w:lastRow="0" w:noHBand="0" w:noVBand="1" w:val="04A0"/>
      </w:tblPr>
      <w:tblGrid>
        <w:gridCol w:w="2890"/>
        <w:gridCol w:w="2890"/>
        <w:gridCol w:w="2890"/>
      </w:tblGrid>
      <w:tr>
        <w:tc>
          <w:tcPr>
            <w:tcW w:type="dxa" w:w="2890"/>
            <w:tcBorders>
              <w:top w:val="none"/>
              <w:left w:val="none"/>
              <w:bottom w:val="none"/>
              <w:right w:val="none"/>
            </w:tcBorders>
          </w:tcPr>
          <w:p>
            <w:pPr>
              <w:jc w:val="center"/>
            </w:pPr>
            <w:r>
              <w:rPr>
                <w:rFonts w:ascii="Times New Roman" w:hAnsi="Times New Roman"/>
                <w:b/>
                <w:sz w:val="24"/>
              </w:rPr>
              <w:t>Saad Vakharia</w:t>
            </w:r>
          </w:p>
        </w:tc>
        <w:tc>
          <w:tcPr>
            <w:tcW w:type="dxa" w:w="2890"/>
            <w:tcBorders>
              <w:top w:val="none"/>
              <w:left w:val="none"/>
              <w:bottom w:val="none"/>
              <w:right w:val="none"/>
            </w:tcBorders>
          </w:tcPr>
          <w:p>
            <w:pPr>
              <w:jc w:val="center"/>
            </w:pPr>
            <w:r>
              <w:rPr>
                <w:rFonts w:ascii="Times New Roman" w:hAnsi="Times New Roman"/>
                <w:b/>
                <w:sz w:val="24"/>
              </w:rPr>
              <w:t>BEIT-2 (Batch B2)</w:t>
            </w:r>
          </w:p>
        </w:tc>
        <w:tc>
          <w:tcPr>
            <w:tcW w:type="dxa" w:w="2890"/>
            <w:tcBorders>
              <w:top w:val="none"/>
              <w:left w:val="none"/>
              <w:bottom w:val="none"/>
              <w:right w:val="none"/>
            </w:tcBorders>
          </w:tcPr>
          <w:p>
            <w:pPr>
              <w:jc w:val="center"/>
            </w:pPr>
            <w:r>
              <w:rPr>
                <w:rFonts w:ascii="Times New Roman" w:hAnsi="Times New Roman"/>
                <w:b/>
                <w:sz w:val="24"/>
              </w:rPr>
              <w:t>Roll No: 155</w:t>
            </w:r>
          </w:p>
        </w:tc>
      </w:tr>
    </w:tbl>
    <w:p>
      <w:pPr>
        <w:spacing w:line="276" w:lineRule="auto" w:before="280" w:after="0"/>
        <w:jc w:val="both"/>
      </w:pPr>
    </w:p>
    <w:p>
      <w:pPr>
        <w:spacing w:line="276" w:lineRule="auto" w:before="0" w:after="40"/>
        <w:jc w:val="center"/>
      </w:pPr>
      <w:r>
        <w:rPr>
          <w:rFonts w:ascii="Times New Roman" w:hAnsi="Times New Roman"/>
          <w:b/>
          <w:i w:val="0"/>
          <w:sz w:val="22"/>
        </w:rPr>
        <w:t>Under the Guidance of:</w:t>
      </w:r>
    </w:p>
    <w:p>
      <w:pPr>
        <w:spacing w:line="276" w:lineRule="auto" w:before="0" w:after="40"/>
        <w:jc w:val="center"/>
      </w:pPr>
      <w:r>
        <w:rPr>
          <w:rFonts w:ascii="Times New Roman" w:hAnsi="Times New Roman"/>
          <w:b/>
          <w:i w:val="0"/>
          <w:sz w:val="26"/>
        </w:rPr>
        <w:t>Prof. Suvarna Panchal</w:t>
      </w:r>
    </w:p>
    <w:p>
      <w:pPr>
        <w:spacing w:line="276" w:lineRule="auto" w:before="0" w:after="280"/>
        <w:jc w:val="center"/>
      </w:pPr>
      <w:r>
        <w:rPr>
          <w:rFonts w:ascii="Times New Roman" w:hAnsi="Times New Roman"/>
          <w:b w:val="0"/>
          <w:i w:val="0"/>
          <w:sz w:val="22"/>
        </w:rPr>
        <w:t>(Department of Information Technology)</w:t>
      </w:r>
    </w:p>
    <w:p>
      <w:pPr>
        <w:spacing w:after="120"/>
        <w:jc w:val="center"/>
      </w:pPr>
      <w:r>
        <w:drawing>
          <wp:inline xmlns:a="http://schemas.openxmlformats.org/drawingml/2006/main" xmlns:pic="http://schemas.openxmlformats.org/drawingml/2006/picture">
            <wp:extent cx="1463040" cy="1296556"/>
            <wp:docPr id="1" name="Picture 1"/>
            <wp:cNvGraphicFramePr>
              <a:graphicFrameLocks noChangeAspect="1"/>
            </wp:cNvGraphicFramePr>
            <a:graphic>
              <a:graphicData uri="http://schemas.openxmlformats.org/drawingml/2006/picture">
                <pic:pic>
                  <pic:nvPicPr>
                    <pic:cNvPr id="0" name="extracted_p1_img1.jpeg"/>
                    <pic:cNvPicPr/>
                  </pic:nvPicPr>
                  <pic:blipFill>
                    <a:blip r:embed="rId9"/>
                    <a:stretch>
                      <a:fillRect/>
                    </a:stretch>
                  </pic:blipFill>
                  <pic:spPr>
                    <a:xfrm>
                      <a:off x="0" y="0"/>
                      <a:ext cx="1463040" cy="1296556"/>
                    </a:xfrm>
                    <a:prstGeom prst="rect"/>
                  </pic:spPr>
                </pic:pic>
              </a:graphicData>
            </a:graphic>
          </wp:inline>
        </w:drawing>
      </w:r>
    </w:p>
    <w:p>
      <w:pPr>
        <w:spacing w:line="276" w:lineRule="auto" w:before="0" w:after="40"/>
        <w:jc w:val="center"/>
      </w:pPr>
      <w:r>
        <w:rPr>
          <w:rFonts w:ascii="Times New Roman" w:hAnsi="Times New Roman"/>
          <w:b/>
          <w:i w:val="0"/>
          <w:sz w:val="22"/>
        </w:rPr>
        <w:t>Atharva Educational Trust's</w:t>
      </w:r>
    </w:p>
    <w:p>
      <w:pPr>
        <w:spacing w:line="276" w:lineRule="auto" w:before="0" w:after="40"/>
        <w:jc w:val="center"/>
      </w:pPr>
      <w:r>
        <w:rPr>
          <w:rFonts w:ascii="Times New Roman" w:hAnsi="Times New Roman"/>
          <w:b/>
          <w:i w:val="0"/>
          <w:color w:val="0B2E59"/>
          <w:sz w:val="28"/>
        </w:rPr>
        <w:t>ATHARVA COLLEGE OF ENGINEERING</w:t>
      </w:r>
    </w:p>
    <w:p>
      <w:pPr>
        <w:spacing w:line="276" w:lineRule="auto" w:before="0" w:after="40"/>
        <w:jc w:val="center"/>
      </w:pPr>
      <w:r>
        <w:rPr>
          <w:rFonts w:ascii="Times New Roman" w:hAnsi="Times New Roman"/>
          <w:b w:val="0"/>
          <w:i w:val="0"/>
          <w:sz w:val="20"/>
        </w:rPr>
        <w:t>Malad-Marve Road, Charkop Naka, Malad (West), Mumbai – 400095</w:t>
      </w:r>
    </w:p>
    <w:p>
      <w:pPr>
        <w:spacing w:line="276" w:lineRule="auto" w:before="0" w:after="0"/>
        <w:jc w:val="center"/>
      </w:pPr>
      <w:r>
        <w:rPr>
          <w:rFonts w:ascii="Times New Roman" w:hAnsi="Times New Roman"/>
          <w:b/>
          <w:i w:val="0"/>
          <w:sz w:val="22"/>
        </w:rPr>
        <w:t>Academic Year 2026–2027</w:t>
      </w:r>
    </w:p>
    <w:p>
      <w:r>
        <w:br w:type="page"/>
      </w:r>
    </w:p>
    <w:p>
      <w:pPr>
        <w:spacing w:after="40"/>
        <w:jc w:val="center"/>
      </w:pPr>
      <w:r>
        <w:drawing>
          <wp:inline xmlns:a="http://schemas.openxmlformats.org/drawingml/2006/main" xmlns:pic="http://schemas.openxmlformats.org/drawingml/2006/picture">
            <wp:extent cx="1188720" cy="1053452"/>
            <wp:docPr id="2" name="Picture 2"/>
            <wp:cNvGraphicFramePr>
              <a:graphicFrameLocks noChangeAspect="1"/>
            </wp:cNvGraphicFramePr>
            <a:graphic>
              <a:graphicData uri="http://schemas.openxmlformats.org/drawingml/2006/picture">
                <pic:pic>
                  <pic:nvPicPr>
                    <pic:cNvPr id="0" name="extracted_p1_img1.jpeg"/>
                    <pic:cNvPicPr/>
                  </pic:nvPicPr>
                  <pic:blipFill>
                    <a:blip r:embed="rId9"/>
                    <a:stretch>
                      <a:fillRect/>
                    </a:stretch>
                  </pic:blipFill>
                  <pic:spPr>
                    <a:xfrm>
                      <a:off x="0" y="0"/>
                      <a:ext cx="1188720" cy="1053452"/>
                    </a:xfrm>
                    <a:prstGeom prst="rect"/>
                  </pic:spPr>
                </pic:pic>
              </a:graphicData>
            </a:graphic>
          </wp:inline>
        </w:drawing>
      </w:r>
    </w:p>
    <w:p>
      <w:pPr>
        <w:spacing w:line="276" w:lineRule="auto" w:before="0" w:after="40"/>
        <w:jc w:val="center"/>
      </w:pPr>
      <w:r>
        <w:rPr>
          <w:rFonts w:ascii="Times New Roman" w:hAnsi="Times New Roman"/>
          <w:b/>
          <w:i w:val="0"/>
          <w:sz w:val="22"/>
        </w:rPr>
        <w:t>Atharva Educational Trust's</w:t>
      </w:r>
    </w:p>
    <w:p>
      <w:pPr>
        <w:spacing w:line="276" w:lineRule="auto" w:before="0" w:after="80"/>
        <w:jc w:val="center"/>
      </w:pPr>
      <w:r>
        <w:rPr>
          <w:rFonts w:ascii="Times New Roman" w:hAnsi="Times New Roman"/>
          <w:b/>
          <w:i w:val="0"/>
          <w:color w:val="0B2E59"/>
          <w:sz w:val="28"/>
        </w:rPr>
        <w:t>ATHARVA COLLEGE OF ENGINEERING</w:t>
      </w:r>
    </w:p>
    <w:p>
      <w:pPr>
        <w:spacing w:line="276" w:lineRule="auto" w:before="0" w:after="240"/>
        <w:jc w:val="center"/>
      </w:pPr>
      <w:r>
        <w:rPr>
          <w:rFonts w:ascii="Times New Roman" w:hAnsi="Times New Roman"/>
          <w:b/>
          <w:i w:val="0"/>
          <w:sz w:val="22"/>
        </w:rPr>
        <w:t>DEPARTMENT OF INFORMATION TECHNOLOGY</w:t>
      </w:r>
    </w:p>
    <w:p>
      <w:pPr>
        <w:spacing w:line="276" w:lineRule="auto" w:before="0" w:after="240"/>
        <w:jc w:val="center"/>
      </w:pPr>
      <w:r>
        <w:rPr>
          <w:rFonts w:ascii="Times New Roman" w:hAnsi="Times New Roman"/>
          <w:b/>
          <w:i w:val="0"/>
          <w:color w:val="0B2E59"/>
          <w:sz w:val="32"/>
        </w:rPr>
        <w:t>CERTIFICATE</w:t>
      </w:r>
    </w:p>
    <w:p>
      <w:pPr>
        <w:spacing w:line="276" w:lineRule="auto" w:before="0" w:after="120"/>
        <w:jc w:val="center"/>
      </w:pPr>
      <w:r>
        <w:rPr>
          <w:rFonts w:ascii="Times New Roman" w:hAnsi="Times New Roman"/>
          <w:b w:val="0"/>
          <w:i/>
          <w:sz w:val="24"/>
        </w:rPr>
        <w:t>This is to certify that the project entitled</w:t>
      </w:r>
    </w:p>
    <w:p>
      <w:pPr>
        <w:spacing w:line="276" w:lineRule="auto" w:before="0" w:after="200"/>
        <w:jc w:val="center"/>
      </w:pPr>
      <w:r>
        <w:rPr>
          <w:rFonts w:ascii="Times New Roman" w:hAnsi="Times New Roman"/>
          <w:b/>
          <w:i w:val="0"/>
          <w:color w:val="0B2E59"/>
          <w:sz w:val="26"/>
        </w:rPr>
        <w:t>“FOOTYPREDICT: DUAL-STAGE MACHINE LEARNING FRAMEWORK FOR FOOTBALL MATCH OUTCOME AND SCORELINE PREDICTION”</w:t>
      </w:r>
    </w:p>
    <w:p>
      <w:pPr>
        <w:spacing w:line="276" w:lineRule="auto" w:before="0" w:after="160"/>
        <w:jc w:val="center"/>
      </w:pPr>
      <w:r>
        <w:rPr>
          <w:rFonts w:ascii="Times New Roman" w:hAnsi="Times New Roman"/>
          <w:b w:val="0"/>
          <w:i/>
          <w:sz w:val="24"/>
        </w:rPr>
        <w:t>is a bona fide work carried out by</w:t>
      </w:r>
    </w:p>
    <w:p>
      <w:pPr>
        <w:spacing w:line="276" w:lineRule="auto" w:before="0" w:after="240"/>
        <w:jc w:val="center"/>
      </w:pPr>
      <w:r>
        <w:rPr>
          <w:rFonts w:ascii="Times New Roman" w:hAnsi="Times New Roman"/>
          <w:b/>
          <w:i w:val="0"/>
          <w:sz w:val="24"/>
        </w:rPr>
        <w:t>Saad Vakharia  (Roll No: 155, Class: BEIT-2)</w:t>
      </w:r>
    </w:p>
    <w:p>
      <w:pPr>
        <w:spacing w:line="276" w:lineRule="auto" w:before="0" w:after="640"/>
        <w:jc w:val="both"/>
      </w:pPr>
      <w:r>
        <w:rPr>
          <w:rFonts w:ascii="Times New Roman" w:hAnsi="Times New Roman"/>
          <w:b w:val="0"/>
          <w:i w:val="0"/>
          <w:sz w:val="23"/>
        </w:rPr>
        <w:t>in partial fulfillment of the requirements for the degree of Bachelor of Engineering in Information Technology and the academic assessment of Artificial Intelligence &amp; Data Science II (AI &amp; DS II) as prescribed by the University of Mumbai during the academic year 2026–2027.</w:t>
      </w:r>
    </w:p>
    <w:tbl>
      <w:tblPr>
        <w:tblW w:type="auto" w:w="0"/>
        <w:jc w:val="center"/>
        <w:tblLook w:firstColumn="1" w:firstRow="1" w:lastColumn="0" w:lastRow="0" w:noHBand="0" w:noVBand="1" w:val="04A0"/>
      </w:tblPr>
      <w:tblGrid>
        <w:gridCol w:w="2890"/>
        <w:gridCol w:w="2890"/>
        <w:gridCol w:w="2890"/>
      </w:tblGrid>
      <w:tr>
        <w:tc>
          <w:tcPr>
            <w:tcW w:type="dxa" w:w="0"/>
            <w:tcBorders>
              <w:top w:val="single" w:sz="4" w:color="FFFFFF"/>
              <w:left w:val="single" w:sz="4" w:color="FFFFFF"/>
              <w:bottom w:val="single" w:sz="4" w:color="FFFFFF"/>
              <w:right w:val="single" w:sz="4" w:color="FFFFFF"/>
            </w:tcBorders>
          </w:tcPr>
          <w:p>
            <w:pPr>
              <w:jc w:val="center"/>
            </w:pPr>
            <w:r>
              <w:rPr>
                <w:rFonts w:ascii="Times New Roman" w:hAnsi="Times New Roman"/>
                <w:sz w:val="20"/>
              </w:rPr>
              <w:t>_____________________</w:t>
              <w:br/>
              <w:t>Prof. Suvarna Panchal</w:t>
              <w:br/>
              <w:t>Project Guide</w:t>
            </w:r>
          </w:p>
        </w:tc>
        <w:tc>
          <w:tcPr>
            <w:tcW w:type="dxa" w:w="0"/>
            <w:tcBorders>
              <w:top w:val="single" w:sz="4" w:color="FFFFFF"/>
              <w:left w:val="single" w:sz="4" w:color="FFFFFF"/>
              <w:bottom w:val="single" w:sz="4" w:color="FFFFFF"/>
              <w:right w:val="single" w:sz="4" w:color="FFFFFF"/>
            </w:tcBorders>
          </w:tcPr>
          <w:p>
            <w:pPr>
              <w:jc w:val="center"/>
            </w:pPr>
            <w:r>
              <w:rPr>
                <w:rFonts w:ascii="Times New Roman" w:hAnsi="Times New Roman"/>
                <w:sz w:val="20"/>
              </w:rPr>
              <w:t>_____________________</w:t>
              <w:br/>
              <w:t>Dr. Nileema Pathak</w:t>
              <w:br/>
              <w:t>Head of Department</w:t>
            </w:r>
          </w:p>
        </w:tc>
        <w:tc>
          <w:tcPr>
            <w:tcW w:type="dxa" w:w="0"/>
            <w:tcBorders>
              <w:top w:val="single" w:sz="4" w:color="FFFFFF"/>
              <w:left w:val="single" w:sz="4" w:color="FFFFFF"/>
              <w:bottom w:val="single" w:sz="4" w:color="FFFFFF"/>
              <w:right w:val="single" w:sz="4" w:color="FFFFFF"/>
            </w:tcBorders>
          </w:tcPr>
          <w:p>
            <w:pPr>
              <w:jc w:val="center"/>
            </w:pPr>
            <w:r>
              <w:rPr>
                <w:rFonts w:ascii="Times New Roman" w:hAnsi="Times New Roman"/>
                <w:sz w:val="20"/>
              </w:rPr>
              <w:t>_____________________</w:t>
              <w:br/>
              <w:t>Dr. Ramesh Kulkarni</w:t>
              <w:br/>
              <w:t>Principal</w:t>
            </w:r>
          </w:p>
        </w:tc>
      </w:tr>
    </w:tbl>
    <w:p>
      <w:pPr>
        <w:spacing w:line="276" w:lineRule="auto" w:before="480" w:after="0"/>
        <w:jc w:val="both"/>
      </w:pPr>
    </w:p>
    <w:tbl>
      <w:tblPr>
        <w:tblW w:type="auto" w:w="0"/>
        <w:jc w:val="center"/>
        <w:tblLook w:firstColumn="1" w:firstRow="1" w:lastColumn="0" w:lastRow="0" w:noHBand="0" w:noVBand="1" w:val="04A0"/>
      </w:tblPr>
      <w:tblGrid>
        <w:gridCol w:w="2890"/>
        <w:gridCol w:w="2890"/>
        <w:gridCol w:w="2890"/>
      </w:tblGrid>
      <w:tr>
        <w:tc>
          <w:tcPr>
            <w:tcW w:type="dxa" w:w="0"/>
            <w:tcBorders>
              <w:top w:val="single" w:sz="4" w:color="FFFFFF"/>
              <w:left w:val="single" w:sz="4" w:color="FFFFFF"/>
              <w:bottom w:val="single" w:sz="4" w:color="FFFFFF"/>
              <w:right w:val="single" w:sz="4" w:color="FFFFFF"/>
            </w:tcBorders>
          </w:tcPr>
          <w:p>
            <w:pPr>
              <w:jc w:val="center"/>
            </w:pPr>
            <w:r>
              <w:rPr>
                <w:rFonts w:ascii="Times New Roman" w:hAnsi="Times New Roman"/>
                <w:b/>
                <w:sz w:val="20"/>
              </w:rPr>
              <w:t>_____________________</w:t>
              <w:br/>
              <w:t>Internal Examiner</w:t>
            </w:r>
          </w:p>
        </w:tc>
        <w:tc>
          <w:tcPr>
            <w:tcW w:type="dxa" w:w="0"/>
            <w:tcBorders>
              <w:top w:val="single" w:sz="4" w:color="FFFFFF"/>
              <w:left w:val="single" w:sz="4" w:color="FFFFFF"/>
              <w:bottom w:val="single" w:sz="4" w:color="FFFFFF"/>
              <w:right w:val="single" w:sz="4" w:color="FFFFFF"/>
            </w:tcBorders>
          </w:tcPr>
          <w:p>
            <w:pPr>
              <w:jc w:val="center"/>
            </w:pPr>
            <w:r>
              <w:rPr>
                <w:rFonts w:ascii="Times New Roman" w:hAnsi="Times New Roman"/>
                <w:b/>
                <w:sz w:val="20"/>
              </w:rPr>
              <w:br/>
              <w:t>[ College Seal ]</w:t>
            </w:r>
          </w:p>
        </w:tc>
        <w:tc>
          <w:tcPr>
            <w:tcW w:type="dxa" w:w="0"/>
            <w:tcBorders>
              <w:top w:val="single" w:sz="4" w:color="FFFFFF"/>
              <w:left w:val="single" w:sz="4" w:color="FFFFFF"/>
              <w:bottom w:val="single" w:sz="4" w:color="FFFFFF"/>
              <w:right w:val="single" w:sz="4" w:color="FFFFFF"/>
            </w:tcBorders>
          </w:tcPr>
          <w:p>
            <w:pPr>
              <w:jc w:val="center"/>
            </w:pPr>
            <w:r>
              <w:rPr>
                <w:rFonts w:ascii="Times New Roman" w:hAnsi="Times New Roman"/>
                <w:b/>
                <w:sz w:val="20"/>
              </w:rPr>
              <w:t>_____________________</w:t>
              <w:br/>
              <w:t>External Examiner</w:t>
            </w:r>
          </w:p>
        </w:tc>
      </w:tr>
    </w:tbl>
    <w:p>
      <w:r>
        <w:br w:type="page"/>
      </w:r>
    </w:p>
    <w:p>
      <w:pPr>
        <w:spacing w:line="276" w:lineRule="auto" w:before="200" w:after="280"/>
        <w:jc w:val="center"/>
      </w:pPr>
      <w:r>
        <w:rPr>
          <w:rFonts w:ascii="Times New Roman" w:hAnsi="Times New Roman"/>
          <w:b/>
          <w:i w:val="0"/>
          <w:color w:val="0B2E59"/>
          <w:sz w:val="30"/>
        </w:rPr>
        <w:t>PROJECT APPROVAL SHEET</w:t>
      </w:r>
    </w:p>
    <w:p>
      <w:pPr>
        <w:spacing w:line="276" w:lineRule="auto" w:before="0" w:after="480"/>
        <w:jc w:val="both"/>
      </w:pPr>
      <w:r>
        <w:rPr>
          <w:rFonts w:ascii="Times New Roman" w:hAnsi="Times New Roman"/>
          <w:b w:val="0"/>
          <w:i w:val="0"/>
          <w:sz w:val="23"/>
        </w:rPr>
        <w:t>This project report entitled “FootyPredict: Dual-Stage Machine Learning Framework for Football Match Outcome and Scoreline Prediction” by Saad Vakharia (Roll No: 155) is approved for the degree of Bachelor of Engineering in Information Technology.</w:t>
      </w:r>
    </w:p>
    <w:tbl>
      <w:tblPr>
        <w:tblW w:type="auto" w:w="0"/>
        <w:jc w:val="center"/>
        <w:tblLook w:firstColumn="1" w:firstRow="1" w:lastColumn="0" w:lastRow="0" w:noHBand="0" w:noVBand="1" w:val="04A0"/>
      </w:tblPr>
      <w:tblGrid>
        <w:gridCol w:w="4334"/>
        <w:gridCol w:w="4334"/>
      </w:tblGrid>
      <w:tr>
        <w:tc>
          <w:tcPr>
            <w:tcW w:type="dxa" w:w="0"/>
            <w:tcBorders>
              <w:top w:val="single" w:sz="4" w:color="FFFFFF"/>
              <w:left w:val="single" w:sz="4" w:color="FFFFFF"/>
              <w:bottom w:val="single" w:sz="4" w:color="FFFFFF"/>
              <w:right w:val="single" w:sz="4" w:color="FFFFFF"/>
            </w:tcBorders>
          </w:tcPr>
          <w:p>
            <w:r>
              <w:rPr>
                <w:rFonts w:ascii="Times New Roman" w:hAnsi="Times New Roman"/>
                <w:sz w:val="21"/>
              </w:rPr>
              <w:t>Examiners:</w:t>
              <w:br/>
              <w:br/>
              <w:t>1. _________________________</w:t>
              <w:br/>
              <w:t>(Internal Examiner)</w:t>
            </w:r>
          </w:p>
        </w:tc>
        <w:tc>
          <w:tcPr>
            <w:tcW w:type="dxa" w:w="0"/>
            <w:tcBorders>
              <w:top w:val="single" w:sz="4" w:color="FFFFFF"/>
              <w:left w:val="single" w:sz="4" w:color="FFFFFF"/>
              <w:bottom w:val="single" w:sz="4" w:color="FFFFFF"/>
              <w:right w:val="single" w:sz="4" w:color="FFFFFF"/>
            </w:tcBorders>
          </w:tcPr>
          <w:p>
            <w:r>
              <w:rPr>
                <w:rFonts w:ascii="Times New Roman" w:hAnsi="Times New Roman"/>
                <w:sz w:val="21"/>
              </w:rPr>
              <w:br/>
              <w:br/>
              <w:t>2. _________________________</w:t>
              <w:br/>
              <w:t>(External Examiner)</w:t>
            </w:r>
          </w:p>
        </w:tc>
      </w:tr>
      <w:tr>
        <w:tc>
          <w:tcPr>
            <w:tcW w:type="dxa" w:w="0"/>
            <w:tcBorders>
              <w:top w:val="single" w:sz="4" w:color="FFFFFF"/>
              <w:left w:val="single" w:sz="4" w:color="FFFFFF"/>
              <w:bottom w:val="single" w:sz="4" w:color="FFFFFF"/>
              <w:right w:val="single" w:sz="4" w:color="FFFFFF"/>
            </w:tcBorders>
          </w:tcPr>
          <w:p>
            <w:r>
              <w:rPr>
                <w:rFonts w:ascii="Times New Roman" w:hAnsi="Times New Roman"/>
                <w:sz w:val="21"/>
              </w:rPr>
              <w:br/>
              <w:t>Date: _____________________</w:t>
              <w:br/>
              <w:t>Place: Mumbai</w:t>
            </w:r>
          </w:p>
        </w:tc>
        <w:tc>
          <w:tcPr>
            <w:tcW w:type="dxa" w:w="0"/>
            <w:tcBorders>
              <w:top w:val="single" w:sz="4" w:color="FFFFFF"/>
              <w:left w:val="single" w:sz="4" w:color="FFFFFF"/>
              <w:bottom w:val="single" w:sz="4" w:color="FFFFFF"/>
              <w:right w:val="single" w:sz="4" w:color="FFFFFF"/>
            </w:tcBorders>
          </w:tcPr>
          <w:p>
            <w:r>
              <w:rPr>
                <w:rFonts w:ascii="Times New Roman" w:hAnsi="Times New Roman"/>
                <w:sz w:val="21"/>
              </w:rPr>
              <w:br/>
              <w:br/>
              <w:t>College Seal</w:t>
            </w:r>
          </w:p>
        </w:tc>
      </w:tr>
    </w:tbl>
    <w:p>
      <w:pPr>
        <w:spacing w:line="276" w:lineRule="auto" w:before="480" w:after="0"/>
        <w:jc w:val="both"/>
      </w:pPr>
    </w:p>
    <w:p>
      <w:pPr>
        <w:spacing w:line="276" w:lineRule="auto" w:before="280" w:after="280"/>
        <w:jc w:val="center"/>
      </w:pPr>
      <w:r>
        <w:rPr>
          <w:rFonts w:ascii="Times New Roman" w:hAnsi="Times New Roman"/>
          <w:b/>
          <w:i w:val="0"/>
          <w:color w:val="0B2E59"/>
          <w:sz w:val="30"/>
        </w:rPr>
        <w:t>DECLARATION</w:t>
      </w:r>
    </w:p>
    <w:p>
      <w:pPr>
        <w:spacing w:line="276" w:lineRule="auto" w:before="0" w:after="360"/>
        <w:jc w:val="both"/>
      </w:pPr>
      <w:r>
        <w:rPr>
          <w:rFonts w:ascii="Times New Roman" w:hAnsi="Times New Roman"/>
          <w:b w:val="0"/>
          <w:i w:val="0"/>
          <w:sz w:val="23"/>
        </w:rPr>
        <w:t>I declare that this written submission represents my ideas in my own words and where others' ideas or words have been included, I have adequately cited and referenced the original sources. I declare that I have adhered to all principles of academic honesty and integrity and have not misrepresented or fabricated or falsified any idea/data/fact/source in my submission.</w:t>
      </w:r>
    </w:p>
    <w:p>
      <w:pPr>
        <w:spacing w:line="276" w:lineRule="auto" w:before="0" w:after="720"/>
        <w:jc w:val="both"/>
      </w:pPr>
      <w:r>
        <w:rPr>
          <w:rFonts w:ascii="Times New Roman" w:hAnsi="Times New Roman"/>
          <w:b w:val="0"/>
          <w:i w:val="0"/>
          <w:sz w:val="23"/>
        </w:rPr>
        <w:t>I understand that any violation of the above will be cause for disciplinary action by the Institute and can also evoke penal action from the sources which have thus not been properly cited or from whom proper permission has not been taken when needed.</w:t>
      </w:r>
    </w:p>
    <w:p>
      <w:pPr>
        <w:spacing w:line="276" w:lineRule="auto" w:before="0" w:after="120"/>
        <w:jc w:val="right"/>
      </w:pPr>
      <w:r>
        <w:rPr>
          <w:rFonts w:ascii="Times New Roman" w:hAnsi="Times New Roman"/>
          <w:b/>
          <w:i w:val="0"/>
          <w:sz w:val="22"/>
        </w:rPr>
        <w:t>_________________________</w:t>
        <w:br/>
        <w:t>Saad Vakharia</w:t>
        <w:br/>
        <w:t>(Roll No: 155, BEIT-2)</w:t>
      </w:r>
    </w:p>
    <w:p>
      <w:r>
        <w:br w:type="page"/>
      </w:r>
    </w:p>
    <w:p>
      <w:pPr>
        <w:spacing w:line="276" w:lineRule="auto" w:before="200" w:after="240"/>
        <w:jc w:val="center"/>
      </w:pPr>
      <w:r>
        <w:rPr>
          <w:rFonts w:ascii="Times New Roman" w:hAnsi="Times New Roman"/>
          <w:b/>
          <w:i w:val="0"/>
          <w:color w:val="0B2E59"/>
          <w:sz w:val="30"/>
        </w:rPr>
        <w:t>ABSTRACT</w:t>
      </w:r>
    </w:p>
    <w:p>
      <w:pPr>
        <w:spacing w:line="276" w:lineRule="auto" w:before="0" w:after="200"/>
        <w:jc w:val="both"/>
      </w:pPr>
      <w:r>
        <w:rPr>
          <w:rFonts w:ascii="Times New Roman" w:hAnsi="Times New Roman"/>
          <w:b w:val="0"/>
          <w:i w:val="0"/>
          <w:sz w:val="22"/>
        </w:rPr>
        <w:t>Association football match forecasting is one of the most notoriously complex tasks in predictive sports analytics due to low event frequencies, high inherent match entropy, and the significant impact of tactical nuance. Conventional forecasting models typically frame the prediction task as either a discrete three-way classification problem (Home Win, Draw, Away Win) or an independent goal-scoring regression. Both paradigms exhibit acute failure modes: standard multi-class classifiers routinely underpredict draws (draw-suppression bias) due to class skew, whereas independent Poisson regressors fail to capture complex non-linear momentum, fixture congestion, and tactical resilience.</w:t>
      </w:r>
    </w:p>
    <w:p>
      <w:pPr>
        <w:spacing w:line="276" w:lineRule="auto" w:before="0" w:after="200"/>
        <w:jc w:val="both"/>
      </w:pPr>
      <w:r>
        <w:rPr>
          <w:rFonts w:ascii="Times New Roman" w:hAnsi="Times New Roman"/>
          <w:b w:val="0"/>
          <w:i w:val="0"/>
          <w:sz w:val="22"/>
        </w:rPr>
        <w:t>This project presents FootyPredict, an end-to-end engineered Dual-Stage Machine Learning Framework that mathematically unifies multi-class classification and bivariate Poisson expectancy into a singular inference pipeline. In Stage 1, a Gradient Boosted Decision Tree (GBDT) classifier estimates discrete outcome distributions over 15 pre-match engineered features, including dynamic Elo ratings, rolling 5-match form points, goal differentials, and rest congestion. In Stage 2, a bivariate Poisson regression model estimates dynamic team goal intensities (λ_home, λ_away) to synthesize a 6x6 scoreline probability distribution matrix P(X=x, Y=y). The outputs are blended via a convex combination parameter (α = 0.55), effectively calibrating the probability vector and eliminating draw-suppression.</w:t>
      </w:r>
    </w:p>
    <w:p>
      <w:pPr>
        <w:spacing w:line="276" w:lineRule="auto" w:before="0" w:after="280"/>
        <w:jc w:val="both"/>
      </w:pPr>
      <w:r>
        <w:rPr>
          <w:rFonts w:ascii="Times New Roman" w:hAnsi="Times New Roman"/>
          <w:b w:val="0"/>
          <w:i w:val="0"/>
          <w:sz w:val="22"/>
        </w:rPr>
        <w:t>Evaluated on 2,200 European league match fixtures across a 20% stratified hold-out split (440 fixtures), FootyPredict achieves a multi-class Accuracy of 50.45% and a Weighted F1-Score of 43.09%, delivering a statistically validated +1.52% F1 improvement over standalone GBDT and +2.81% over Neural Network baselines. To deliver actionable insights, the system is deployed via a high-signal, dark-obsidian sports analytics web dashboard providing real-time fair betting odds, expected goals (xG) duel gauges, and top 5 exact scorelines.</w:t>
      </w:r>
    </w:p>
    <w:p>
      <w:pPr>
        <w:spacing w:line="276" w:lineRule="auto" w:before="0" w:after="480"/>
        <w:jc w:val="both"/>
      </w:pPr>
      <w:r>
        <w:rPr>
          <w:rFonts w:ascii="Times New Roman" w:hAnsi="Times New Roman"/>
          <w:b w:val="0"/>
          <w:i/>
          <w:sz w:val="21"/>
        </w:rPr>
        <w:t>Keywords: Machine Learning, Bivariate Poisson Model, Gradient Boosted Trees, Sports Analytics, Expected Goals (xG), Elo Rating, F1-Score, Match Outcome Prediction.</w:t>
      </w:r>
    </w:p>
    <w:p>
      <w:pPr>
        <w:spacing w:line="276" w:lineRule="auto" w:before="200" w:after="200"/>
        <w:jc w:val="center"/>
      </w:pPr>
      <w:r>
        <w:rPr>
          <w:rFonts w:ascii="Times New Roman" w:hAnsi="Times New Roman"/>
          <w:b/>
          <w:i w:val="0"/>
          <w:color w:val="0B2E59"/>
          <w:sz w:val="26"/>
        </w:rPr>
        <w:t>ACKNOWLEDGMENTS</w:t>
      </w:r>
    </w:p>
    <w:p>
      <w:pPr>
        <w:spacing w:line="276" w:lineRule="auto" w:before="0" w:after="200"/>
        <w:jc w:val="both"/>
      </w:pPr>
      <w:r>
        <w:rPr>
          <w:rFonts w:ascii="Times New Roman" w:hAnsi="Times New Roman"/>
          <w:b w:val="0"/>
          <w:i w:val="0"/>
          <w:sz w:val="22"/>
        </w:rPr>
        <w:t>I express my profound gratitude to my project guide, Prof. Suvarna Panchal, for her constant guidance, technical critiques, and invaluable encouragement throughout the conceptualization and development of FootyPredict. I also extend my heartfelt thanks to Dr. Nileema Pathak, Head of the Information Technology Department, and Dr. Ramesh Kulkarni, Principal of Atharva College of Engineering, for providing the institutional infrastructure and academic environment that made this research possible.</w:t>
      </w:r>
    </w:p>
    <w:p>
      <w:r>
        <w:br w:type="page"/>
      </w:r>
    </w:p>
    <w:p>
      <w:pPr>
        <w:spacing w:line="276" w:lineRule="auto" w:before="200" w:after="280"/>
        <w:jc w:val="center"/>
      </w:pPr>
      <w:r>
        <w:rPr>
          <w:rFonts w:ascii="Times New Roman" w:hAnsi="Times New Roman"/>
          <w:b/>
          <w:i w:val="0"/>
          <w:color w:val="0B2E59"/>
          <w:sz w:val="30"/>
        </w:rPr>
        <w:t>TABLE OF CONTENTS</w:t>
      </w:r>
    </w:p>
    <w:tbl>
      <w:tblPr>
        <w:tblW w:type="auto" w:w="0"/>
        <w:jc w:val="center"/>
        <w:tblLook w:firstColumn="1" w:firstRow="1" w:lastColumn="0" w:lastRow="0" w:noHBand="0" w:noVBand="1" w:val="04A0"/>
      </w:tblPr>
      <w:tblGrid>
        <w:gridCol w:w="2890"/>
        <w:gridCol w:w="2890"/>
        <w:gridCol w:w="2890"/>
      </w:tblGrid>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Title Page</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b/>
                <w:sz w:val="20"/>
              </w:rPr>
              <w:t>i</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Certificate</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b/>
                <w:sz w:val="20"/>
              </w:rPr>
              <w:t>ii</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Project Approval Sheet &amp; Declaration</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b/>
                <w:sz w:val="20"/>
              </w:rPr>
              <w:t>iii</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Abstract &amp; Acknowledgments</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b/>
                <w:sz w:val="20"/>
              </w:rPr>
              <w:t>iv</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List of Figures &amp; List of Tables</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b/>
                <w:sz w:val="20"/>
              </w:rPr>
              <w:t>vi</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1</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INTRODUCTION</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b/>
                <w:sz w:val="20"/>
              </w:rPr>
              <w:t>1</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1.1</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Background and Motivation</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1</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1.2</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Problem Statement</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2</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1.3</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Project Objectives</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2</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1.4</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Scope and Limitations</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3</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2</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LITERATURE SURVEY</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b/>
                <w:sz w:val="20"/>
              </w:rPr>
              <w:t>4</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2.1</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Review of Classical Statistical Approaches</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4</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2.2</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Modern Machine Learning Formulations</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5</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2.3</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Comparative Literature Matrix</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6</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3</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REQUIREMENT ANALYSIS &amp; PROBLEM FORMULATION</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b/>
                <w:sz w:val="20"/>
              </w:rPr>
              <w:t>7</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3.1</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Functional and Non-Functional Requirements</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7</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3.2</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Hardware and Software Environment</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8</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4</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SYSTEM DESIGN &amp; MATHEMATICAL MODELING</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b/>
                <w:sz w:val="20"/>
              </w:rPr>
              <w:t>9</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4.1</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Dual-Stage Pipeline Architecture</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9</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4.2</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Mathematical Modeling &amp; Bivariate Formulation</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10</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4.3</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Dynamic Elo &amp; Momentum Form Formulations</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11</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5</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METHODOLOGY &amp; IMPLEMENTATION</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b/>
                <w:sz w:val="20"/>
              </w:rPr>
              <w:t>12</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5.1</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Data Acquisition &amp; Feature Preprocessing</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12</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5.2</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sz w:val="20"/>
              </w:rPr>
              <w:t>Model Training, Blending &amp; Web Application</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sz w:val="20"/>
              </w:rPr>
              <w:t>13</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6</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RESULTS, EVALUATION &amp; DISCUSSION</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b/>
                <w:sz w:val="20"/>
              </w:rPr>
              <w:t>15</w:t>
            </w:r>
          </w:p>
        </w:tc>
      </w:tr>
      <w:tr>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7</w:t>
            </w:r>
          </w:p>
        </w:tc>
        <w:tc>
          <w:tcPr>
            <w:tcW w:type="dxa" w:w="0"/>
            <w:tcBorders>
              <w:top w:val="single" w:sz="4" w:color="E2E8F0"/>
              <w:left w:val="single" w:sz="4" w:color="E2E8F0"/>
              <w:bottom w:val="single" w:sz="4" w:color="E2E8F0"/>
              <w:right w:val="single" w:sz="4" w:color="E2E8F0"/>
            </w:tcBorders>
          </w:tcPr>
          <w:p>
            <w:pPr>
              <w:spacing w:before="20" w:after="20"/>
            </w:pPr>
            <w:r>
              <w:rPr>
                <w:rFonts w:ascii="Times New Roman" w:hAnsi="Times New Roman"/>
                <w:b/>
                <w:sz w:val="20"/>
              </w:rPr>
              <w:t>PROJECT MANAGEMENT, CONCLUSION &amp; REFERENCES</w:t>
            </w:r>
          </w:p>
        </w:tc>
        <w:tc>
          <w:tcPr>
            <w:tcW w:type="dxa" w:w="0"/>
            <w:tcBorders>
              <w:top w:val="single" w:sz="4" w:color="E2E8F0"/>
              <w:left w:val="single" w:sz="4" w:color="E2E8F0"/>
              <w:bottom w:val="single" w:sz="4" w:color="E2E8F0"/>
              <w:right w:val="single" w:sz="4" w:color="E2E8F0"/>
            </w:tcBorders>
          </w:tcPr>
          <w:p>
            <w:pPr>
              <w:spacing w:before="20" w:after="20"/>
              <w:jc w:val="right"/>
            </w:pPr>
            <w:r>
              <w:rPr>
                <w:rFonts w:ascii="Times New Roman" w:hAnsi="Times New Roman"/>
                <w:b/>
                <w:sz w:val="20"/>
              </w:rPr>
              <w:t>19</w:t>
            </w:r>
          </w:p>
        </w:tc>
      </w:tr>
    </w:tbl>
    <w:p>
      <w:r>
        <w:br w:type="page"/>
      </w:r>
    </w:p>
    <w:p>
      <w:pPr>
        <w:spacing w:line="276" w:lineRule="auto" w:before="200" w:after="200"/>
        <w:jc w:val="center"/>
      </w:pPr>
      <w:r>
        <w:rPr>
          <w:rFonts w:ascii="Times New Roman" w:hAnsi="Times New Roman"/>
          <w:b/>
          <w:i w:val="0"/>
          <w:color w:val="0B2E59"/>
          <w:sz w:val="28"/>
        </w:rPr>
        <w:t>LIST OF FIGURES</w:t>
      </w:r>
    </w:p>
    <w:tbl>
      <w:tblPr>
        <w:tblW w:type="auto" w:w="0"/>
        <w:jc w:val="center"/>
        <w:tblLook w:firstColumn="1" w:firstRow="1" w:lastColumn="0" w:lastRow="0" w:noHBand="0" w:noVBand="1" w:val="04A0"/>
      </w:tblPr>
      <w:tblGrid>
        <w:gridCol w:w="2890"/>
        <w:gridCol w:w="2890"/>
        <w:gridCol w:w="2890"/>
      </w:tblGrid>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Figure 4.1</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FootyPredict Dual-Stage Machine Learning Architectural Pipeline</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9</w:t>
            </w:r>
          </w:p>
        </w:tc>
      </w:tr>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Figure 4.2</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Dynamic Bivariate Poisson Goal Expectancy Joint Grid</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11</w:t>
            </w:r>
          </w:p>
        </w:tc>
      </w:tr>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Figure 5.1</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Implementation Timeline &amp; Milestone Gantt Schedule</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14</w:t>
            </w:r>
          </w:p>
        </w:tc>
      </w:tr>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Figure 6.1</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Academic Multi-Model Benchmarking (Accuracy, F1-Macro, F1-Weighted)</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15</w:t>
            </w:r>
          </w:p>
        </w:tc>
      </w:tr>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Figure 6.2</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Normalized Multi-Class Confusion Matrix for FootyPredict</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16</w:t>
            </w:r>
          </w:p>
        </w:tc>
      </w:tr>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Figure 6.3</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Top 10 Feature Importances from GBDT Model</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17</w:t>
            </w:r>
          </w:p>
        </w:tc>
      </w:tr>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Figure 6.4</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High-Signal Web Dashboard Interface (Dual-Stage Live Inference)</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18</w:t>
            </w:r>
          </w:p>
        </w:tc>
      </w:tr>
    </w:tbl>
    <w:p>
      <w:pPr>
        <w:spacing w:line="276" w:lineRule="auto" w:before="280" w:after="0"/>
        <w:jc w:val="both"/>
      </w:pPr>
    </w:p>
    <w:p>
      <w:pPr>
        <w:spacing w:line="276" w:lineRule="auto" w:before="200" w:after="200"/>
        <w:jc w:val="center"/>
      </w:pPr>
      <w:r>
        <w:rPr>
          <w:rFonts w:ascii="Times New Roman" w:hAnsi="Times New Roman"/>
          <w:b/>
          <w:i w:val="0"/>
          <w:color w:val="0B2E59"/>
          <w:sz w:val="28"/>
        </w:rPr>
        <w:t>LIST OF TABLES</w:t>
      </w:r>
    </w:p>
    <w:tbl>
      <w:tblPr>
        <w:tblW w:type="auto" w:w="0"/>
        <w:jc w:val="center"/>
        <w:tblLook w:firstColumn="1" w:firstRow="1" w:lastColumn="0" w:lastRow="0" w:noHBand="0" w:noVBand="1" w:val="04A0"/>
      </w:tblPr>
      <w:tblGrid>
        <w:gridCol w:w="2890"/>
        <w:gridCol w:w="2890"/>
        <w:gridCol w:w="2890"/>
      </w:tblGrid>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Table 2.1</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Comparative Literature Survey Matrix in Football Forecasting</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6</w:t>
            </w:r>
          </w:p>
        </w:tc>
      </w:tr>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Table 3.1</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Software, Framework, and Library Specifications</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8</w:t>
            </w:r>
          </w:p>
        </w:tc>
      </w:tr>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Table 5.1</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Engineered Feature Schema and Mathematical Definitions</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13</w:t>
            </w:r>
          </w:p>
        </w:tc>
      </w:tr>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Table 6.1</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Multi-Model Performance Evaluation &amp; Assessment Metrics</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16</w:t>
            </w:r>
          </w:p>
        </w:tc>
      </w:tr>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Table 6.2</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Class-Wise Precision, Recall, and F1-Score Breakdown</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17</w:t>
            </w:r>
          </w:p>
        </w:tc>
      </w:tr>
      <w:tr>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Table 7.1</w:t>
            </w:r>
          </w:p>
        </w:tc>
        <w:tc>
          <w:tcPr>
            <w:tcW w:type="dxa" w:w="0"/>
            <w:tcBorders>
              <w:top w:val="single" w:sz="4" w:color="E2E8F0"/>
              <w:left w:val="single" w:sz="4" w:color="E2E8F0"/>
              <w:bottom w:val="single" w:sz="4" w:color="E2E8F0"/>
              <w:right w:val="single" w:sz="4" w:color="E2E8F0"/>
            </w:tcBorders>
          </w:tcPr>
          <w:p>
            <w:pPr>
              <w:spacing w:before="40" w:after="40"/>
            </w:pPr>
            <w:r>
              <w:rPr>
                <w:rFonts w:ascii="Times New Roman" w:hAnsi="Times New Roman"/>
                <w:sz w:val="20"/>
              </w:rPr>
              <w:t>12-Week Project Log Book Summary and Milestones</w:t>
            </w:r>
          </w:p>
        </w:tc>
        <w:tc>
          <w:tcPr>
            <w:tcW w:type="dxa" w:w="0"/>
            <w:tcBorders>
              <w:top w:val="single" w:sz="4" w:color="E2E8F0"/>
              <w:left w:val="single" w:sz="4" w:color="E2E8F0"/>
              <w:bottom w:val="single" w:sz="4" w:color="E2E8F0"/>
              <w:right w:val="single" w:sz="4" w:color="E2E8F0"/>
            </w:tcBorders>
          </w:tcPr>
          <w:p>
            <w:pPr>
              <w:spacing w:before="40" w:after="40"/>
              <w:jc w:val="right"/>
            </w:pPr>
            <w:r>
              <w:rPr>
                <w:rFonts w:ascii="Times New Roman" w:hAnsi="Times New Roman"/>
                <w:sz w:val="20"/>
              </w:rPr>
              <w:t>20</w:t>
            </w:r>
          </w:p>
        </w:tc>
      </w:tr>
    </w:tbl>
    <w:p>
      <w:r>
        <w:br w:type="page"/>
      </w:r>
    </w:p>
    <w:p>
      <w:pPr>
        <w:spacing w:before="280" w:after="40"/>
        <w:jc w:val="center"/>
      </w:pPr>
      <w:r>
        <w:rPr>
          <w:rFonts w:ascii="Times New Roman" w:hAnsi="Times New Roman"/>
          <w:b/>
          <w:sz w:val="28"/>
        </w:rPr>
        <w:t>Chapter 1</w:t>
      </w:r>
    </w:p>
    <w:p>
      <w:pPr>
        <w:spacing w:before="0" w:after="280"/>
        <w:jc w:val="center"/>
      </w:pPr>
      <w:r>
        <w:rPr>
          <w:rFonts w:ascii="Times New Roman" w:hAnsi="Times New Roman"/>
          <w:b/>
          <w:sz w:val="32"/>
        </w:rPr>
        <w:t>INTRODUCTION</w:t>
      </w:r>
    </w:p>
    <w:p>
      <w:pPr>
        <w:spacing w:before="200" w:after="80"/>
        <w:jc w:val="left"/>
      </w:pPr>
      <w:r>
        <w:rPr>
          <w:rFonts w:ascii="Times New Roman" w:hAnsi="Times New Roman"/>
          <w:b/>
          <w:color w:val="0B2E59"/>
          <w:sz w:val="26"/>
        </w:rPr>
        <w:t>1.1  Background and Motivation</w:t>
      </w:r>
    </w:p>
    <w:p>
      <w:pPr>
        <w:spacing w:line="276" w:lineRule="auto" w:before="0" w:after="160"/>
        <w:jc w:val="both"/>
      </w:pPr>
      <w:r>
        <w:rPr>
          <w:rFonts w:ascii="Times New Roman" w:hAnsi="Times New Roman"/>
          <w:b w:val="0"/>
          <w:i w:val="0"/>
          <w:sz w:val="24"/>
        </w:rPr>
        <w:t>Association football is universally recognized as the world's most popular sport, commanding an estimated global fanbase exceeding 4 billion individuals. Beyond its cultural pre-eminence, modern football has evolved into a multi-billion-dollar analytics ecosystem encompassing elite club scouting, squad valuation, high-performance physical conditioning, in-game tactical adjustments, and commercial betting markets. At the center of sports data science lies the challenge of match forecasting: quantitatively projecting the probable outcome and scoreline of a fixture given historical performances, relative team strengths, and contextual match factors.</w:t>
      </w:r>
    </w:p>
    <w:p>
      <w:pPr>
        <w:spacing w:line="276" w:lineRule="auto" w:before="0" w:after="160"/>
        <w:jc w:val="both"/>
      </w:pPr>
      <w:r>
        <w:rPr>
          <w:rFonts w:ascii="Times New Roman" w:hAnsi="Times New Roman"/>
          <w:b w:val="0"/>
          <w:i w:val="0"/>
          <w:sz w:val="24"/>
        </w:rPr>
        <w:t>Despite decades of academic and commercial inquiry, football match forecasting remains notoriously difficult. Unlike high-scoring team sports such as basketball (averaging ~100–110 possessions and 200+ total points per match) or American football, association football is characterized by extremely low goal frequency—averaging only 2.6 to 2.8 goals per 90-minute fixture across major European domestic competitions. Consequently, single stochastic events—a contentious refereeing decision, an uncharacteristic defensive slip, or a deflection—exert a disproportionate impact on the final outcome.</w:t>
      </w:r>
    </w:p>
    <w:p>
      <w:pPr>
        <w:spacing w:line="276" w:lineRule="auto" w:before="0" w:after="200"/>
        <w:jc w:val="both"/>
      </w:pPr>
      <w:r>
        <w:rPr>
          <w:rFonts w:ascii="Times New Roman" w:hAnsi="Times New Roman"/>
          <w:b w:val="0"/>
          <w:i w:val="0"/>
          <w:sz w:val="24"/>
        </w:rPr>
        <w:t>From a statistical learning perspective, football exhibits high inherent match entropy. Information-theoretic bounds established in sports analytics research indicate that the irreducible variance in a 3-way football outcome (Home Win, Draw, Away Win) caps the theoretical predictability around 50% to 55%. Most traditional modeling paradigms fail because they attempt to force disparate modeling goals into a single algorithm: either predicting the discrete 3-way result via classification or predicting team goals via independent regression. FootyPredict addresses this structural deficiency through a decoupled dual-stage architecture.</w:t>
      </w:r>
    </w:p>
    <w:p>
      <w:pPr>
        <w:spacing w:before="200" w:after="80"/>
        <w:jc w:val="left"/>
      </w:pPr>
      <w:r>
        <w:rPr>
          <w:rFonts w:ascii="Times New Roman" w:hAnsi="Times New Roman"/>
          <w:b/>
          <w:color w:val="0B2E59"/>
          <w:sz w:val="26"/>
        </w:rPr>
        <w:t>1.2  Problem Statement</w:t>
      </w:r>
    </w:p>
    <w:p>
      <w:pPr>
        <w:spacing w:line="276" w:lineRule="auto" w:before="0" w:after="80"/>
        <w:jc w:val="both"/>
      </w:pPr>
      <w:r>
        <w:rPr>
          <w:rFonts w:ascii="Times New Roman" w:hAnsi="Times New Roman"/>
          <w:b w:val="0"/>
          <w:i w:val="0"/>
          <w:sz w:val="24"/>
        </w:rPr>
        <w:t>Existing sports analytics systems suffer from two fundamental statistical failure modes:</w:t>
      </w:r>
    </w:p>
    <w:p>
      <w:pPr>
        <w:spacing w:line="276" w:lineRule="auto" w:before="0" w:after="80"/>
        <w:jc w:val="both"/>
      </w:pPr>
      <w:r>
        <w:rPr>
          <w:rFonts w:ascii="Times New Roman" w:hAnsi="Times New Roman"/>
          <w:b w:val="0"/>
          <w:i w:val="0"/>
          <w:sz w:val="24"/>
        </w:rPr>
        <w:t>1. Draw-Suppression Bias in Discrete Classifiers: Multi-class classification algorithms (such as Logistic Regression, Random Forests, and Multi-Layer Perceptrons) heavily suppress predictions for draws (which historically occur in ~24–26% of matches). Because draws represent an evenly matched equilibrium state rather than an active state of dominance, classifiers tend to assign highest probabilities to either Home Win or Away Win, leading to an artificially degraded Macro F1-score.</w:t>
      </w:r>
    </w:p>
    <w:p>
      <w:pPr>
        <w:spacing w:line="276" w:lineRule="auto" w:before="0" w:after="160"/>
        <w:jc w:val="both"/>
      </w:pPr>
      <w:r>
        <w:rPr>
          <w:rFonts w:ascii="Times New Roman" w:hAnsi="Times New Roman"/>
          <w:b w:val="0"/>
          <w:i w:val="0"/>
          <w:sz w:val="24"/>
        </w:rPr>
        <w:t>2. Contextual Independence in Scoreline Regressors: Standard goal-scoring models (such as independent Poisson regressors) assume that home and away goal events are independent random variables. This ignores the tactical feedback loop of game state: when a team falls behind, their tactical aggressiveness increases, altering the transition probability of subsequent goals. Furthermore, independent regressors cannot easily ingest complex tabular features such as rolling momentum and rest congestion.</w:t>
      </w:r>
    </w:p>
    <w:p>
      <w:pPr>
        <w:spacing w:line="276" w:lineRule="auto" w:before="0" w:after="200"/>
        <w:jc w:val="both"/>
      </w:pPr>
      <w:r>
        <w:rPr>
          <w:rFonts w:ascii="Times New Roman" w:hAnsi="Times New Roman"/>
          <w:b w:val="0"/>
          <w:i w:val="0"/>
          <w:sz w:val="24"/>
        </w:rPr>
        <w:t>Therefore, the problem is formulated as designing, benchmarking, and validating a Dual-Stage Machine Learning Framework that unites multi-class GBDT classification with bivariate Poisson expectancy, achieving state-of-the-art predictive calibration on multi-season European league fixtures.</w:t>
      </w:r>
    </w:p>
    <w:p>
      <w:pPr>
        <w:spacing w:before="200" w:after="80"/>
        <w:jc w:val="left"/>
      </w:pPr>
      <w:r>
        <w:rPr>
          <w:rFonts w:ascii="Times New Roman" w:hAnsi="Times New Roman"/>
          <w:b/>
          <w:color w:val="0B2E59"/>
          <w:sz w:val="26"/>
        </w:rPr>
        <w:t>1.3  Project Objectives</w:t>
      </w:r>
    </w:p>
    <w:p>
      <w:pPr>
        <w:spacing w:line="276" w:lineRule="auto" w:before="0" w:after="80"/>
        <w:jc w:val="both"/>
      </w:pPr>
      <w:r>
        <w:rPr>
          <w:rFonts w:ascii="Times New Roman" w:hAnsi="Times New Roman"/>
          <w:b w:val="0"/>
          <w:i w:val="0"/>
          <w:sz w:val="24"/>
        </w:rPr>
        <w:t>The primary technical and academic objectives of this project are as follows:</w:t>
      </w:r>
    </w:p>
    <w:p>
      <w:pPr>
        <w:spacing w:line="276" w:lineRule="auto" w:before="0" w:after="60"/>
        <w:jc w:val="both"/>
      </w:pPr>
      <w:r>
        <w:rPr>
          <w:rFonts w:ascii="Times New Roman" w:hAnsi="Times New Roman"/>
          <w:b w:val="0"/>
          <w:i w:val="0"/>
          <w:sz w:val="24"/>
        </w:rPr>
        <w:t>• Objective 1: Construct a robust, multi-season European football dataset encompassing 2,200 fixtures across major leagues (Premier League, La Liga, Serie A, Bundesliga) with engineered pre-match indicators.</w:t>
      </w:r>
    </w:p>
    <w:p>
      <w:pPr>
        <w:spacing w:line="276" w:lineRule="auto" w:before="0" w:after="60"/>
        <w:jc w:val="both"/>
      </w:pPr>
      <w:r>
        <w:rPr>
          <w:rFonts w:ascii="Times New Roman" w:hAnsi="Times New Roman"/>
          <w:b w:val="0"/>
          <w:i w:val="0"/>
          <w:sz w:val="24"/>
        </w:rPr>
        <w:t>• Objective 2: Formulate dynamic Elo rating tracking with continuous K-factor adjustments and rolling 5-match exponential momentum metrics.</w:t>
      </w:r>
    </w:p>
    <w:p>
      <w:pPr>
        <w:spacing w:line="276" w:lineRule="auto" w:before="0" w:after="60"/>
        <w:jc w:val="both"/>
      </w:pPr>
      <w:r>
        <w:rPr>
          <w:rFonts w:ascii="Times New Roman" w:hAnsi="Times New Roman"/>
          <w:b w:val="0"/>
          <w:i w:val="0"/>
          <w:sz w:val="24"/>
        </w:rPr>
        <w:t>• Objective 3: Implement and benchmark multiple Stage 1 discrete outcome classifiers against the faculty assessment criteria: Accuracy, Precision, Recall, and F1-score (Macro and Weighted).</w:t>
      </w:r>
    </w:p>
    <w:p>
      <w:pPr>
        <w:spacing w:line="276" w:lineRule="auto" w:before="0" w:after="60"/>
        <w:jc w:val="both"/>
      </w:pPr>
      <w:r>
        <w:rPr>
          <w:rFonts w:ascii="Times New Roman" w:hAnsi="Times New Roman"/>
          <w:b w:val="0"/>
          <w:i w:val="0"/>
          <w:sz w:val="24"/>
        </w:rPr>
        <w:t>• Objective 4: Formulate a Stage 2 Bivariate Poisson Goal Expectancy model that computes team expected goals (xG) and maps a complete 6x6 joint scoreline probability matrix.</w:t>
      </w:r>
    </w:p>
    <w:p>
      <w:pPr>
        <w:spacing w:line="276" w:lineRule="auto" w:before="0" w:after="60"/>
        <w:jc w:val="both"/>
      </w:pPr>
      <w:r>
        <w:rPr>
          <w:rFonts w:ascii="Times New Roman" w:hAnsi="Times New Roman"/>
          <w:b w:val="0"/>
          <w:i w:val="0"/>
          <w:sz w:val="24"/>
        </w:rPr>
        <w:t>• Objective 5: Engineer a convex blended inference engine that combines classification probabilities with marginal scoreline probabilities, achieving superior class calibration.</w:t>
      </w:r>
    </w:p>
    <w:p>
      <w:pPr>
        <w:spacing w:line="276" w:lineRule="auto" w:before="0" w:after="200"/>
        <w:jc w:val="both"/>
      </w:pPr>
      <w:r>
        <w:rPr>
          <w:rFonts w:ascii="Times New Roman" w:hAnsi="Times New Roman"/>
          <w:b w:val="0"/>
          <w:i w:val="0"/>
          <w:sz w:val="24"/>
        </w:rPr>
        <w:t>• Objective 6: Deploy the complete predictive architecture into a responsive, high-signal dark obsidian web dashboard adhering strictly to modern engineering aesthetics.</w:t>
      </w:r>
    </w:p>
    <w:p>
      <w:pPr>
        <w:spacing w:before="200" w:after="80"/>
        <w:jc w:val="left"/>
      </w:pPr>
      <w:r>
        <w:rPr>
          <w:rFonts w:ascii="Times New Roman" w:hAnsi="Times New Roman"/>
          <w:b/>
          <w:color w:val="0B2E59"/>
          <w:sz w:val="26"/>
        </w:rPr>
        <w:t>1.4  Scope and Limitations</w:t>
      </w:r>
    </w:p>
    <w:p>
      <w:pPr>
        <w:spacing w:line="276" w:lineRule="auto" w:before="0" w:after="240"/>
        <w:jc w:val="both"/>
      </w:pPr>
      <w:r>
        <w:rPr>
          <w:rFonts w:ascii="Times New Roman" w:hAnsi="Times New Roman"/>
          <w:b w:val="0"/>
          <w:i w:val="0"/>
          <w:sz w:val="24"/>
        </w:rPr>
        <w:t>The operational scope of FootyPredict covers pre-match forecasting for major domestic league fixtures. The system operates on historical tabular match data, team Elo differentials, rolling form points, and fixture rest intervals. Real-time in-play forecasting (dynamic odds updates during a match) and optical computer vision tracking of individual player coordinates are beyond the scope of this project due to proprietary API licensing constraints.</w:t>
      </w:r>
    </w:p>
    <w:p>
      <w:r>
        <w:br w:type="page"/>
      </w:r>
    </w:p>
    <w:p>
      <w:pPr>
        <w:spacing w:before="280" w:after="40"/>
        <w:jc w:val="center"/>
      </w:pPr>
      <w:r>
        <w:rPr>
          <w:rFonts w:ascii="Times New Roman" w:hAnsi="Times New Roman"/>
          <w:b/>
          <w:sz w:val="28"/>
        </w:rPr>
        <w:t>Chapter 2</w:t>
      </w:r>
    </w:p>
    <w:p>
      <w:pPr>
        <w:spacing w:before="0" w:after="280"/>
        <w:jc w:val="center"/>
      </w:pPr>
      <w:r>
        <w:rPr>
          <w:rFonts w:ascii="Times New Roman" w:hAnsi="Times New Roman"/>
          <w:b/>
          <w:sz w:val="32"/>
        </w:rPr>
        <w:t>LITERATURE SURVEY</w:t>
      </w:r>
    </w:p>
    <w:p>
      <w:pPr>
        <w:spacing w:before="200" w:after="80"/>
        <w:jc w:val="left"/>
      </w:pPr>
      <w:r>
        <w:rPr>
          <w:rFonts w:ascii="Times New Roman" w:hAnsi="Times New Roman"/>
          <w:b/>
          <w:color w:val="0B2E59"/>
          <w:sz w:val="26"/>
        </w:rPr>
        <w:t>2.1  Review of Classical Statistical Approaches</w:t>
      </w:r>
    </w:p>
    <w:p>
      <w:pPr>
        <w:spacing w:line="276" w:lineRule="auto" w:before="0" w:after="160"/>
        <w:jc w:val="both"/>
      </w:pPr>
      <w:r>
        <w:rPr>
          <w:rFonts w:ascii="Times New Roman" w:hAnsi="Times New Roman"/>
          <w:b w:val="0"/>
          <w:i w:val="0"/>
          <w:sz w:val="24"/>
        </w:rPr>
        <w:t>The quantitative study of association football outcomes originated with Maher (1982) [1], who proposed modeling home and away goal scoring as independent Poisson processes conditioned on team-specific attacking strengths and defensive vulnerabilities. Maher's model demonstrated that goal counts follow a discrete distribution with mean intensity λ. However, empirical testing revealed that the independent Poisson assumption systematically underestimated low-scoring draws (specifically 0-0 and 1-1 scorelines), because the scoring rate of one team is tactically dependent on the scoring rate of the opponent.</w:t>
      </w:r>
    </w:p>
    <w:p>
      <w:pPr>
        <w:spacing w:line="276" w:lineRule="auto" w:before="0" w:after="160"/>
        <w:jc w:val="both"/>
      </w:pPr>
      <w:r>
        <w:rPr>
          <w:rFonts w:ascii="Times New Roman" w:hAnsi="Times New Roman"/>
          <w:b w:val="0"/>
          <w:i w:val="0"/>
          <w:sz w:val="24"/>
        </w:rPr>
        <w:t>To overcome Maher's limitation, Dixon and Coles (1997) [2] introduced a landmark bivariate Poisson formulation incorporating a correlation parameter τ that explicitly adjusts the joint probabilities of scorelines {0-0, 1-0, 0-1, 1-1}. Furthermore, Dixon and Coles incorporated a time-decay weighting function, ensuring that recent matches contribute more heavily to attack/defense parameter estimation than historical fixtures. While highly influential in commercial bookmaking, the Dixon-Coles model relies on maximum likelihood estimation of static team parameters and cannot inherently incorporate multi-dimensional tabular features such as fixture congestion, rest intervals, or tactical style.</w:t>
      </w:r>
    </w:p>
    <w:p>
      <w:pPr>
        <w:spacing w:line="276" w:lineRule="auto" w:before="0" w:after="200"/>
        <w:jc w:val="both"/>
      </w:pPr>
      <w:r>
        <w:rPr>
          <w:rFonts w:ascii="Times New Roman" w:hAnsi="Times New Roman"/>
          <w:b w:val="0"/>
          <w:i w:val="0"/>
          <w:sz w:val="24"/>
        </w:rPr>
        <w:t>Constantinou, Fenton, and Neil (2012) [3] introduced pi-football, a Bayesian belief network framework designed to model subjective expertise, pitch conditions, and dynamic momentum. While Bayesian networks excel in modeling causal relationships under uncertainty, their high computational overhead and reliance on subjective probability elicitation limit automated scalability across hundreds of global leagues.</w:t>
      </w:r>
    </w:p>
    <w:p>
      <w:pPr>
        <w:spacing w:before="200" w:after="80"/>
        <w:jc w:val="left"/>
      </w:pPr>
      <w:r>
        <w:rPr>
          <w:rFonts w:ascii="Times New Roman" w:hAnsi="Times New Roman"/>
          <w:b/>
          <w:color w:val="0B2E59"/>
          <w:sz w:val="26"/>
        </w:rPr>
        <w:t>2.2  Modern Machine Learning Formulations</w:t>
      </w:r>
    </w:p>
    <w:p>
      <w:pPr>
        <w:spacing w:line="276" w:lineRule="auto" w:before="0" w:after="160"/>
        <w:jc w:val="both"/>
      </w:pPr>
      <w:r>
        <w:rPr>
          <w:rFonts w:ascii="Times New Roman" w:hAnsi="Times New Roman"/>
          <w:b w:val="0"/>
          <w:i w:val="0"/>
          <w:sz w:val="24"/>
        </w:rPr>
        <w:t>In recent years, the availability of large-scale sports databases has catalyzed the adoption of supervised machine learning algorithms. Bunker and Susnjak (2022) [4] conducted a comprehensive review of machine learning techniques in team sports, benchmarking Logistic Regression, Random Forests, Support Vector Machines (SVM), and Gradient Boosted Decision Trees (XGBoost / LightGBM). Their findings demonstrated that ensemble decision trees consistently outperform linear models and deep neural networks on tabular sports data, primarily due to their ability to model non-linear feature interactions and handle heterogeneous feature scales without requiring severe distributional assumptions.</w:t>
      </w:r>
    </w:p>
    <w:p>
      <w:pPr>
        <w:spacing w:line="276" w:lineRule="auto" w:before="0" w:after="200"/>
        <w:jc w:val="both"/>
      </w:pPr>
      <w:r>
        <w:rPr>
          <w:rFonts w:ascii="Times New Roman" w:hAnsi="Times New Roman"/>
          <w:b w:val="0"/>
          <w:i w:val="0"/>
          <w:sz w:val="24"/>
        </w:rPr>
        <w:t>However, Bunker and Susnjak noted that pure classification approaches treat match outcomes strictly as categorical classes (0, 1, 2), entirely discarding the rich topological information embedded in the scoreline. Conversely, pure regression models that predict goal differences lack calibrated probability estimates. This gap highlights the critical necessity for a unified dual-stage architecture like FootyPredict.</w:t>
      </w:r>
    </w:p>
    <w:p>
      <w:pPr>
        <w:spacing w:before="200" w:after="80"/>
        <w:jc w:val="left"/>
      </w:pPr>
      <w:r>
        <w:rPr>
          <w:rFonts w:ascii="Times New Roman" w:hAnsi="Times New Roman"/>
          <w:b/>
          <w:color w:val="0B2E59"/>
          <w:sz w:val="26"/>
        </w:rPr>
        <w:t>2.3  Comparative Literature Matrix</w:t>
      </w:r>
    </w:p>
    <w:p>
      <w:pPr>
        <w:spacing w:line="276" w:lineRule="auto" w:before="0" w:after="120"/>
        <w:jc w:val="both"/>
      </w:pPr>
      <w:r>
        <w:rPr>
          <w:rFonts w:ascii="Times New Roman" w:hAnsi="Times New Roman"/>
          <w:b w:val="0"/>
          <w:i w:val="0"/>
          <w:sz w:val="24"/>
        </w:rPr>
        <w:t>Table 2.1 provides a comparative synthesis of foundational literature and establishes FootyPredict's technical positioning.</w:t>
      </w:r>
    </w:p>
    <w:tbl>
      <w:tblPr>
        <w:tblW w:type="auto" w:w="0"/>
        <w:jc w:val="center"/>
        <w:tblLook w:firstColumn="1" w:firstRow="1" w:lastColumn="0" w:lastRow="0" w:noHBand="0" w:noVBand="1" w:val="04A0"/>
      </w:tblPr>
      <w:tblGrid>
        <w:gridCol w:w="1734"/>
        <w:gridCol w:w="1734"/>
        <w:gridCol w:w="1734"/>
        <w:gridCol w:w="1734"/>
        <w:gridCol w:w="1734"/>
      </w:tblGrid>
      <w:tr>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Study &amp; Author</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Core Model</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Key Strength</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Primary Limitation</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FootyPredict Edge</w:t>
            </w:r>
          </w:p>
        </w:tc>
      </w:tr>
      <w:tr>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Maher (1982) [1]</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Independent Poisson</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Simple closed-form goal modeling</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Severe draw underestimation</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Bivariate joint scoreline matrix</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Dixon &amp; Coles (1997) [2]</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Bivariate Poisson + τ</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Corrects low scoreline bias</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Static parameters; no tabular ML</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Integrates GBDT &amp; rolling tabular features</w:t>
            </w:r>
          </w:p>
        </w:tc>
      </w:tr>
      <w:tr>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Constantinou et al. (2012) [3]</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Bayesian Networks</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Handles causal uncertainty</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High computational complexity</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Sub-millisecond inference latency</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Bunker &amp; Susnjak (2022) [4]</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Ensemble Classifiers</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SOTA tabular accuracy</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No scorelines or xG output</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Provides dual outcome &amp; score expectancy</w:t>
            </w:r>
          </w:p>
        </w:tc>
      </w:tr>
      <w:tr>
        <w:tc>
          <w:tcPr>
            <w:tcW w:type="dxa" w:w="0"/>
            <w:tcBorders>
              <w:top w:val="single" w:sz="4" w:color="999999"/>
              <w:left w:val="single" w:sz="4" w:color="999999"/>
              <w:bottom w:val="single" w:sz="4" w:color="999999"/>
              <w:right w:val="single" w:sz="4" w:color="999999"/>
            </w:tcBorders>
            <w:shd w:val="clear" w:color="auto" w:fill="E0F2FE"/>
          </w:tcPr>
          <w:p>
            <w:pPr>
              <w:spacing w:line="252" w:lineRule="auto"/>
              <w:jc w:val="left"/>
            </w:pPr>
            <w:r>
              <w:rPr>
                <w:b/>
                <w:sz w:val="16"/>
              </w:rPr>
              <w:t>FootyPredict (Saad Vakharia)</w:t>
            </w:r>
          </w:p>
        </w:tc>
        <w:tc>
          <w:tcPr>
            <w:tcW w:type="dxa" w:w="0"/>
            <w:tcBorders>
              <w:top w:val="single" w:sz="4" w:color="999999"/>
              <w:left w:val="single" w:sz="4" w:color="999999"/>
              <w:bottom w:val="single" w:sz="4" w:color="999999"/>
              <w:right w:val="single" w:sz="4" w:color="999999"/>
            </w:tcBorders>
            <w:shd w:val="clear" w:color="auto" w:fill="E0F2FE"/>
          </w:tcPr>
          <w:p>
            <w:pPr>
              <w:spacing w:line="252" w:lineRule="auto"/>
              <w:jc w:val="left"/>
            </w:pPr>
            <w:r>
              <w:rPr>
                <w:b/>
                <w:sz w:val="16"/>
              </w:rPr>
              <w:t>Dual-Stage (GBDT + Poisson)</w:t>
            </w:r>
          </w:p>
        </w:tc>
        <w:tc>
          <w:tcPr>
            <w:tcW w:type="dxa" w:w="0"/>
            <w:tcBorders>
              <w:top w:val="single" w:sz="4" w:color="999999"/>
              <w:left w:val="single" w:sz="4" w:color="999999"/>
              <w:bottom w:val="single" w:sz="4" w:color="999999"/>
              <w:right w:val="single" w:sz="4" w:color="999999"/>
            </w:tcBorders>
            <w:shd w:val="clear" w:color="auto" w:fill="E0F2FE"/>
          </w:tcPr>
          <w:p>
            <w:pPr>
              <w:spacing w:line="252" w:lineRule="auto"/>
              <w:jc w:val="left"/>
            </w:pPr>
            <w:r>
              <w:rPr>
                <w:b/>
                <w:sz w:val="16"/>
              </w:rPr>
              <w:t>Blended odds &amp; exact scorelines</w:t>
            </w:r>
          </w:p>
        </w:tc>
        <w:tc>
          <w:tcPr>
            <w:tcW w:type="dxa" w:w="0"/>
            <w:tcBorders>
              <w:top w:val="single" w:sz="4" w:color="999999"/>
              <w:left w:val="single" w:sz="4" w:color="999999"/>
              <w:bottom w:val="single" w:sz="4" w:color="999999"/>
              <w:right w:val="single" w:sz="4" w:color="999999"/>
            </w:tcBorders>
            <w:shd w:val="clear" w:color="auto" w:fill="E0F2FE"/>
          </w:tcPr>
          <w:p>
            <w:pPr>
              <w:spacing w:line="252" w:lineRule="auto"/>
              <w:jc w:val="left"/>
            </w:pPr>
            <w:r>
              <w:rPr>
                <w:b/>
                <w:sz w:val="16"/>
              </w:rPr>
              <w:t>Pre-match scope (no live in-play)</w:t>
            </w:r>
          </w:p>
        </w:tc>
        <w:tc>
          <w:tcPr>
            <w:tcW w:type="dxa" w:w="0"/>
            <w:tcBorders>
              <w:top w:val="single" w:sz="4" w:color="999999"/>
              <w:left w:val="single" w:sz="4" w:color="999999"/>
              <w:bottom w:val="single" w:sz="4" w:color="999999"/>
              <w:right w:val="single" w:sz="4" w:color="999999"/>
            </w:tcBorders>
            <w:shd w:val="clear" w:color="auto" w:fill="E0F2FE"/>
          </w:tcPr>
          <w:p>
            <w:pPr>
              <w:spacing w:line="252" w:lineRule="auto"/>
              <w:jc w:val="left"/>
            </w:pPr>
            <w:r>
              <w:rPr>
                <w:b/>
                <w:sz w:val="16"/>
              </w:rPr>
              <w:t>Unified multi-objective framework</w:t>
            </w:r>
          </w:p>
        </w:tc>
      </w:tr>
    </w:tbl>
    <w:p>
      <w:pPr>
        <w:spacing w:line="276" w:lineRule="auto" w:before="80" w:after="240"/>
        <w:jc w:val="center"/>
      </w:pPr>
      <w:r>
        <w:rPr>
          <w:rFonts w:ascii="Times New Roman" w:hAnsi="Times New Roman"/>
          <w:b/>
          <w:i w:val="0"/>
          <w:sz w:val="19"/>
        </w:rPr>
        <w:t>Table 2.1: Comparative Analysis Matrix of Foundational Literature in Football Outcome Modeling</w:t>
      </w:r>
    </w:p>
    <w:p>
      <w:r>
        <w:br w:type="page"/>
      </w:r>
    </w:p>
    <w:p>
      <w:pPr>
        <w:spacing w:before="280" w:after="40"/>
        <w:jc w:val="center"/>
      </w:pPr>
      <w:r>
        <w:rPr>
          <w:rFonts w:ascii="Times New Roman" w:hAnsi="Times New Roman"/>
          <w:b/>
          <w:sz w:val="28"/>
        </w:rPr>
        <w:t>Chapter 3</w:t>
      </w:r>
    </w:p>
    <w:p>
      <w:pPr>
        <w:spacing w:before="0" w:after="280"/>
        <w:jc w:val="center"/>
      </w:pPr>
      <w:r>
        <w:rPr>
          <w:rFonts w:ascii="Times New Roman" w:hAnsi="Times New Roman"/>
          <w:b/>
          <w:sz w:val="32"/>
        </w:rPr>
        <w:t>REQUIREMENT ANALYSIS &amp; PROBLEM FORMULATION</w:t>
      </w:r>
    </w:p>
    <w:p>
      <w:pPr>
        <w:spacing w:before="200" w:after="80"/>
        <w:jc w:val="left"/>
      </w:pPr>
      <w:r>
        <w:rPr>
          <w:rFonts w:ascii="Times New Roman" w:hAnsi="Times New Roman"/>
          <w:b/>
          <w:color w:val="0B2E59"/>
          <w:sz w:val="26"/>
        </w:rPr>
        <w:t>3.1  Functional and Non-Functional Requirements</w:t>
      </w:r>
    </w:p>
    <w:p>
      <w:pPr>
        <w:spacing w:before="160" w:after="60"/>
        <w:jc w:val="left"/>
      </w:pPr>
      <w:r>
        <w:rPr>
          <w:rFonts w:ascii="Times New Roman" w:hAnsi="Times New Roman"/>
          <w:b/>
          <w:sz w:val="24"/>
        </w:rPr>
        <w:t>3.1.1  Functional Requirements</w:t>
      </w:r>
    </w:p>
    <w:p>
      <w:pPr>
        <w:spacing w:line="276" w:lineRule="auto" w:before="0" w:after="60"/>
        <w:jc w:val="both"/>
      </w:pPr>
      <w:r>
        <w:rPr>
          <w:rFonts w:ascii="Times New Roman" w:hAnsi="Times New Roman"/>
          <w:b w:val="0"/>
          <w:i w:val="0"/>
          <w:sz w:val="24"/>
        </w:rPr>
        <w:t>• FR-01: Multi-League Fixture Selection: The system must allow users to select domestic leagues (English Premier League, Spanish La Liga, German Bundesliga, Italian Serie A) and choose distinct home and away teams.</w:t>
      </w:r>
    </w:p>
    <w:p>
      <w:pPr>
        <w:spacing w:line="276" w:lineRule="auto" w:before="0" w:after="60"/>
        <w:jc w:val="both"/>
      </w:pPr>
      <w:r>
        <w:rPr>
          <w:rFonts w:ascii="Times New Roman" w:hAnsi="Times New Roman"/>
          <w:b w:val="0"/>
          <w:i w:val="0"/>
          <w:sz w:val="24"/>
        </w:rPr>
        <w:t>• FR-02: Stage 1 Discrete Outcome Inference: The engine must compute normalized multi-class probabilities for Home Win, Draw, and Away Win, accompanied by fair European decimal odds.</w:t>
      </w:r>
    </w:p>
    <w:p>
      <w:pPr>
        <w:spacing w:line="276" w:lineRule="auto" w:before="0" w:after="60"/>
        <w:jc w:val="both"/>
      </w:pPr>
      <w:r>
        <w:rPr>
          <w:rFonts w:ascii="Times New Roman" w:hAnsi="Times New Roman"/>
          <w:b w:val="0"/>
          <w:i w:val="0"/>
          <w:sz w:val="24"/>
        </w:rPr>
        <w:t>• FR-03: Stage 2 Poisson Expected Goals (xG): The system must calculate continuous expected goals for both clubs and generate a 6x6 scoreline probability matrix.</w:t>
      </w:r>
    </w:p>
    <w:p>
      <w:pPr>
        <w:spacing w:line="276" w:lineRule="auto" w:before="0" w:after="60"/>
        <w:jc w:val="both"/>
      </w:pPr>
      <w:r>
        <w:rPr>
          <w:rFonts w:ascii="Times New Roman" w:hAnsi="Times New Roman"/>
          <w:b w:val="0"/>
          <w:i w:val="0"/>
          <w:sz w:val="24"/>
        </w:rPr>
        <w:t>• FR-04: Top Scoreline Identification: The system must sort and display the top 5 most probable exact scorelines with graphical probability bars.</w:t>
      </w:r>
    </w:p>
    <w:p>
      <w:pPr>
        <w:spacing w:line="276" w:lineRule="auto" w:before="0" w:after="60"/>
        <w:jc w:val="both"/>
      </w:pPr>
      <w:r>
        <w:rPr>
          <w:rFonts w:ascii="Times New Roman" w:hAnsi="Times New Roman"/>
          <w:b w:val="0"/>
          <w:i w:val="0"/>
          <w:sz w:val="24"/>
        </w:rPr>
        <w:t>• FR-05: Team Form &amp; Momentum Diagnostics: The dashboard must render the dynamic Elo ratings, rolling 5-match form badges ([W] [D] [L]), goal differentials, and rest intervals.</w:t>
      </w:r>
    </w:p>
    <w:p>
      <w:pPr>
        <w:spacing w:line="276" w:lineRule="auto" w:before="0" w:after="120"/>
        <w:jc w:val="both"/>
      </w:pPr>
      <w:r>
        <w:rPr>
          <w:rFonts w:ascii="Times New Roman" w:hAnsi="Times New Roman"/>
          <w:b w:val="0"/>
          <w:i w:val="0"/>
          <w:sz w:val="24"/>
        </w:rPr>
        <w:t>• FR-06: Academic Evaluation Display: The interface must present the comparative metric evaluation table (Accuracy, Precision, Recall, Macro F1, Weighted F1) and confusion matrix.</w:t>
      </w:r>
    </w:p>
    <w:p>
      <w:pPr>
        <w:spacing w:before="160" w:after="60"/>
        <w:jc w:val="left"/>
      </w:pPr>
      <w:r>
        <w:rPr>
          <w:rFonts w:ascii="Times New Roman" w:hAnsi="Times New Roman"/>
          <w:b/>
          <w:sz w:val="24"/>
        </w:rPr>
        <w:t>3.1.2  Non-Functional Requirements</w:t>
      </w:r>
    </w:p>
    <w:p>
      <w:pPr>
        <w:spacing w:line="276" w:lineRule="auto" w:before="0" w:after="60"/>
        <w:jc w:val="both"/>
      </w:pPr>
      <w:r>
        <w:rPr>
          <w:rFonts w:ascii="Times New Roman" w:hAnsi="Times New Roman"/>
          <w:b w:val="0"/>
          <w:i w:val="0"/>
          <w:sz w:val="24"/>
        </w:rPr>
        <w:t>• NFR-01: Low Latency: Complete inference pipeline execution must execute in under 5 milliseconds on standard client hardware.</w:t>
      </w:r>
    </w:p>
    <w:p>
      <w:pPr>
        <w:spacing w:line="276" w:lineRule="auto" w:before="0" w:after="60"/>
        <w:jc w:val="both"/>
      </w:pPr>
      <w:r>
        <w:rPr>
          <w:rFonts w:ascii="Times New Roman" w:hAnsi="Times New Roman"/>
          <w:b w:val="0"/>
          <w:i w:val="0"/>
          <w:sz w:val="24"/>
        </w:rPr>
        <w:t>• NFR-02: Modern Non-AI-Slop Aesthetics: The UI must strictly follow modern developer tooling aesthetics—matte obsidian background, sharp 4–6px geometry, hairline borders, and zero blurry glows.</w:t>
      </w:r>
    </w:p>
    <w:p>
      <w:pPr>
        <w:spacing w:line="276" w:lineRule="auto" w:before="0" w:after="160"/>
        <w:jc w:val="both"/>
      </w:pPr>
      <w:r>
        <w:rPr>
          <w:rFonts w:ascii="Times New Roman" w:hAnsi="Times New Roman"/>
          <w:b w:val="0"/>
          <w:i w:val="0"/>
          <w:sz w:val="24"/>
        </w:rPr>
        <w:t>• NFR-03: Reproducibility: All data processing, model training, evaluation scripts, and notebooks must be fully reproducible with deterministic seeds.</w:t>
      </w:r>
    </w:p>
    <w:p>
      <w:pPr>
        <w:spacing w:before="200" w:after="80"/>
        <w:jc w:val="left"/>
      </w:pPr>
      <w:r>
        <w:rPr>
          <w:rFonts w:ascii="Times New Roman" w:hAnsi="Times New Roman"/>
          <w:b/>
          <w:color w:val="0B2E59"/>
          <w:sz w:val="26"/>
        </w:rPr>
        <w:t>3.2  Hardware and Software Environment</w:t>
      </w:r>
    </w:p>
    <w:p>
      <w:pPr>
        <w:spacing w:line="276" w:lineRule="auto" w:before="0" w:after="120"/>
        <w:jc w:val="both"/>
      </w:pPr>
      <w:r>
        <w:rPr>
          <w:rFonts w:ascii="Times New Roman" w:hAnsi="Times New Roman"/>
          <w:b w:val="0"/>
          <w:i w:val="0"/>
          <w:sz w:val="24"/>
        </w:rPr>
        <w:t>Table 3.1 details the operational software environment and hardware specifications utilized for training, evaluation, and deployment.</w:t>
      </w:r>
    </w:p>
    <w:tbl>
      <w:tblPr>
        <w:tblW w:type="auto" w:w="0"/>
        <w:jc w:val="center"/>
        <w:tblLook w:firstColumn="1" w:firstRow="1" w:lastColumn="0" w:lastRow="0" w:noHBand="0" w:noVBand="1" w:val="04A0"/>
      </w:tblPr>
      <w:tblGrid>
        <w:gridCol w:w="2890"/>
        <w:gridCol w:w="2890"/>
        <w:gridCol w:w="2890"/>
      </w:tblGrid>
      <w:tr>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Component</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Specification / Library</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Role &amp; Operational Significance</w:t>
            </w:r>
          </w:p>
        </w:tc>
      </w:tr>
      <w:tr>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Operating System</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Microsoft Windows 11 (64-bit)</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Primary development, training, and execution environment</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Base Interpreter</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Python 3.14.0</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Underlying runtime for all numerical pipelines</w:t>
            </w:r>
          </w:p>
        </w:tc>
      </w:tr>
      <w:tr>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Machine Learning</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Scikit-Learn 1.9.1</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GBDT, Random Forest, Logistic Regression, MLP, and metrics</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Scientific Computing</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SciPy 1.18.1 &amp; NumPy 2.5</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Bivariate Poisson calculations and matrix array operations</w:t>
            </w:r>
          </w:p>
        </w:tc>
      </w:tr>
      <w:tr>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Data Manipulation</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Pandas 3.0.6</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Dataframe ingestion, rolling window form, and feature scaling</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Visualization Suite</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Matplotlib 3.9 &amp; Seaborn</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Generation of publication-grade academic charts</w:t>
            </w:r>
          </w:p>
        </w:tc>
      </w:tr>
      <w:tr>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Web Client Interface</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HTML5 / Vanilla CSS / ES6 JS</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Client-side interactive analytics terminal (zero heavy frameworks)</w:t>
            </w:r>
          </w:p>
        </w:tc>
      </w:tr>
    </w:tbl>
    <w:p>
      <w:pPr>
        <w:spacing w:line="276" w:lineRule="auto" w:before="80" w:after="240"/>
        <w:jc w:val="center"/>
      </w:pPr>
      <w:r>
        <w:rPr>
          <w:rFonts w:ascii="Times New Roman" w:hAnsi="Times New Roman"/>
          <w:b/>
          <w:i w:val="0"/>
          <w:sz w:val="19"/>
        </w:rPr>
        <w:t>Table 3.1: Hardware, Operating System, and Open-Source Software Specifications</w:t>
      </w:r>
    </w:p>
    <w:p>
      <w:r>
        <w:br w:type="page"/>
      </w:r>
    </w:p>
    <w:p>
      <w:pPr>
        <w:spacing w:before="280" w:after="40"/>
        <w:jc w:val="center"/>
      </w:pPr>
      <w:r>
        <w:rPr>
          <w:rFonts w:ascii="Times New Roman" w:hAnsi="Times New Roman"/>
          <w:b/>
          <w:sz w:val="28"/>
        </w:rPr>
        <w:t>Chapter 4</w:t>
      </w:r>
    </w:p>
    <w:p>
      <w:pPr>
        <w:spacing w:before="0" w:after="280"/>
        <w:jc w:val="center"/>
      </w:pPr>
      <w:r>
        <w:rPr>
          <w:rFonts w:ascii="Times New Roman" w:hAnsi="Times New Roman"/>
          <w:b/>
          <w:sz w:val="32"/>
        </w:rPr>
        <w:t>SYSTEM DESIGN &amp; MATHEMATICAL MODELING</w:t>
      </w:r>
    </w:p>
    <w:p>
      <w:pPr>
        <w:spacing w:before="200" w:after="80"/>
        <w:jc w:val="left"/>
      </w:pPr>
      <w:r>
        <w:rPr>
          <w:rFonts w:ascii="Times New Roman" w:hAnsi="Times New Roman"/>
          <w:b/>
          <w:color w:val="0B2E59"/>
          <w:sz w:val="26"/>
        </w:rPr>
        <w:t>4.1  Dual-Stage Pipeline Architecture</w:t>
      </w:r>
    </w:p>
    <w:p>
      <w:pPr>
        <w:spacing w:line="276" w:lineRule="auto" w:before="0" w:after="120"/>
        <w:jc w:val="both"/>
      </w:pPr>
      <w:r>
        <w:rPr>
          <w:rFonts w:ascii="Times New Roman" w:hAnsi="Times New Roman"/>
          <w:b w:val="0"/>
          <w:i w:val="0"/>
          <w:sz w:val="24"/>
        </w:rPr>
        <w:t>FootyPredict is architected as a modular, decoupled data science pipeline. Figure 4.1 illustrates the flow of information from raw multi-season match ingestion through feature extraction, dual-stage modeling, convex probability blending, and dashboard delivery.</w:t>
      </w:r>
    </w:p>
    <w:p>
      <w:pPr>
        <w:spacing w:before="160" w:after="40"/>
        <w:jc w:val="center"/>
      </w:pPr>
      <w:r>
        <w:drawing>
          <wp:inline xmlns:a="http://schemas.openxmlformats.org/drawingml/2006/main" xmlns:pic="http://schemas.openxmlformats.org/drawingml/2006/picture">
            <wp:extent cx="5669280" cy="2802790"/>
            <wp:docPr id="3" name="Picture 3"/>
            <wp:cNvGraphicFramePr>
              <a:graphicFrameLocks noChangeAspect="1"/>
            </wp:cNvGraphicFramePr>
            <a:graphic>
              <a:graphicData uri="http://schemas.openxmlformats.org/drawingml/2006/picture">
                <pic:pic>
                  <pic:nvPicPr>
                    <pic:cNvPr id="0" name="footypredict_architecture.png"/>
                    <pic:cNvPicPr/>
                  </pic:nvPicPr>
                  <pic:blipFill>
                    <a:blip r:embed="rId10"/>
                    <a:stretch>
                      <a:fillRect/>
                    </a:stretch>
                  </pic:blipFill>
                  <pic:spPr>
                    <a:xfrm>
                      <a:off x="0" y="0"/>
                      <a:ext cx="5669280" cy="2802790"/>
                    </a:xfrm>
                    <a:prstGeom prst="rect"/>
                  </pic:spPr>
                </pic:pic>
              </a:graphicData>
            </a:graphic>
          </wp:inline>
        </w:drawing>
      </w:r>
    </w:p>
    <w:p>
      <w:pPr>
        <w:spacing w:before="40" w:after="240"/>
        <w:jc w:val="center"/>
      </w:pPr>
      <w:r>
        <w:rPr>
          <w:rFonts w:ascii="Times New Roman" w:hAnsi="Times New Roman"/>
          <w:b/>
          <w:sz w:val="20"/>
        </w:rPr>
        <w:t>Figure 4.1: FootyPredict Dual-Stage Machine Learning Architectural Pipeline</w:t>
      </w:r>
    </w:p>
    <w:p>
      <w:pPr>
        <w:spacing w:line="276" w:lineRule="auto" w:before="0" w:after="80"/>
        <w:jc w:val="both"/>
      </w:pPr>
      <w:r>
        <w:rPr>
          <w:rFonts w:ascii="Times New Roman" w:hAnsi="Times New Roman"/>
          <w:b w:val="0"/>
          <w:i w:val="0"/>
          <w:sz w:val="24"/>
        </w:rPr>
        <w:t>The pipeline operates across four discrete layers:</w:t>
      </w:r>
    </w:p>
    <w:p>
      <w:pPr>
        <w:spacing w:line="276" w:lineRule="auto" w:before="0" w:after="60"/>
        <w:jc w:val="both"/>
      </w:pPr>
      <w:r>
        <w:rPr>
          <w:rFonts w:ascii="Times New Roman" w:hAnsi="Times New Roman"/>
          <w:b w:val="0"/>
          <w:i w:val="0"/>
          <w:sz w:val="24"/>
        </w:rPr>
        <w:t>1. Ingestion &amp; Preprocessing: Extracts 2,200 multi-season European fixtures, isolating pre-match indicators while preventing future data leakage.</w:t>
      </w:r>
    </w:p>
    <w:p>
      <w:pPr>
        <w:spacing w:line="276" w:lineRule="auto" w:before="0" w:after="60"/>
        <w:jc w:val="both"/>
      </w:pPr>
      <w:r>
        <w:rPr>
          <w:rFonts w:ascii="Times New Roman" w:hAnsi="Times New Roman"/>
          <w:b w:val="0"/>
          <w:i w:val="0"/>
          <w:sz w:val="24"/>
        </w:rPr>
        <w:t>2. Feature Engineering: Continuously updates dynamic Elo ratings, computes rolling 5-match form points and goal differentials, and standardizes feature matrices.</w:t>
      </w:r>
    </w:p>
    <w:p>
      <w:pPr>
        <w:spacing w:line="276" w:lineRule="auto" w:before="0" w:after="60"/>
        <w:jc w:val="both"/>
      </w:pPr>
      <w:r>
        <w:rPr>
          <w:rFonts w:ascii="Times New Roman" w:hAnsi="Times New Roman"/>
          <w:b w:val="0"/>
          <w:i w:val="0"/>
          <w:sz w:val="24"/>
        </w:rPr>
        <w:t>3. Concurrent Modeling: Stage 1 executes multi-class gradient boosted classification; Stage 2 executes Poisson intensity regression.</w:t>
      </w:r>
    </w:p>
    <w:p>
      <w:pPr>
        <w:spacing w:line="276" w:lineRule="auto" w:before="0" w:after="200"/>
        <w:jc w:val="both"/>
      </w:pPr>
      <w:r>
        <w:rPr>
          <w:rFonts w:ascii="Times New Roman" w:hAnsi="Times New Roman"/>
          <w:b w:val="0"/>
          <w:i w:val="0"/>
          <w:sz w:val="24"/>
        </w:rPr>
        <w:t>4. Inference &amp; Presentation: Blends outputs via convex weighting, calculating fair odds and scoreline probability distributions.</w:t>
      </w:r>
    </w:p>
    <w:p>
      <w:pPr>
        <w:spacing w:before="200" w:after="80"/>
        <w:jc w:val="left"/>
      </w:pPr>
      <w:r>
        <w:rPr>
          <w:rFonts w:ascii="Times New Roman" w:hAnsi="Times New Roman"/>
          <w:b/>
          <w:color w:val="0B2E59"/>
          <w:sz w:val="26"/>
        </w:rPr>
        <w:t>4.2  Mathematical Modeling &amp; Formulations</w:t>
      </w:r>
    </w:p>
    <w:p>
      <w:pPr>
        <w:spacing w:before="160" w:after="60"/>
        <w:jc w:val="left"/>
      </w:pPr>
      <w:r>
        <w:rPr>
          <w:rFonts w:ascii="Times New Roman" w:hAnsi="Times New Roman"/>
          <w:b/>
          <w:sz w:val="24"/>
        </w:rPr>
        <w:t>4.2.1  Stage 1: Multi-Class Outcome Formulation</w:t>
      </w:r>
    </w:p>
    <w:p>
      <w:pPr>
        <w:spacing w:line="276" w:lineRule="auto" w:before="0" w:after="80"/>
        <w:jc w:val="both"/>
      </w:pPr>
      <w:r>
        <w:rPr>
          <w:rFonts w:ascii="Times New Roman" w:hAnsi="Times New Roman"/>
          <w:b w:val="0"/>
          <w:i w:val="0"/>
          <w:sz w:val="24"/>
        </w:rPr>
        <w:t>Let Y ∈ {0, 1, 2} denote the discrete match outcome, corresponding to Home Win (0), Draw (1), and Away Win (2). Given a feature vector x ∈ R^15, the classifier computes class probabilities via the multinomial softmax function:</w:t>
      </w:r>
    </w:p>
    <w:p>
      <w:pPr>
        <w:spacing w:line="276" w:lineRule="auto" w:before="0" w:after="80"/>
        <w:jc w:val="center"/>
      </w:pPr>
      <w:r>
        <w:rPr>
          <w:rFonts w:ascii="Times New Roman" w:hAnsi="Times New Roman"/>
          <w:b/>
          <w:i w:val="0"/>
          <w:sz w:val="22"/>
        </w:rPr>
        <w:t>P_clf(Y = k | x) = exp(f_k(x)) / ∑_{j=0}^2 exp(f_j(x))</w:t>
      </w:r>
    </w:p>
    <w:p>
      <w:pPr>
        <w:spacing w:line="276" w:lineRule="auto" w:before="0" w:after="80"/>
        <w:jc w:val="both"/>
      </w:pPr>
      <w:r>
        <w:rPr>
          <w:rFonts w:ascii="Times New Roman" w:hAnsi="Times New Roman"/>
          <w:b w:val="0"/>
          <w:i w:val="0"/>
          <w:sz w:val="24"/>
        </w:rPr>
        <w:t>where f_k(x) is an ensemble of M regression trees constructed via Gradient Boosted Decision Trees (GBDT). The objective minimizes multi-class cross-entropy log-loss:</w:t>
      </w:r>
    </w:p>
    <w:p>
      <w:pPr>
        <w:spacing w:line="276" w:lineRule="auto" w:before="0" w:after="160"/>
        <w:jc w:val="center"/>
      </w:pPr>
      <w:r>
        <w:rPr>
          <w:rFonts w:ascii="Times New Roman" w:hAnsi="Times New Roman"/>
          <w:b/>
          <w:i w:val="0"/>
          <w:sz w:val="22"/>
        </w:rPr>
        <w:t>L(y, p) = - ∑_{i=1}^N ∑_{k=0}^2 y_{ik} log(p_{ik}) + λ ∑_{m=1}^M Ω(f_m)</w:t>
      </w:r>
    </w:p>
    <w:p>
      <w:pPr>
        <w:spacing w:before="160" w:after="60"/>
        <w:jc w:val="left"/>
      </w:pPr>
      <w:r>
        <w:rPr>
          <w:rFonts w:ascii="Times New Roman" w:hAnsi="Times New Roman"/>
          <w:b/>
          <w:sz w:val="24"/>
        </w:rPr>
        <w:t>4.2.2  Stage 2: Bivariate Poisson Formulation</w:t>
      </w:r>
    </w:p>
    <w:p>
      <w:pPr>
        <w:spacing w:line="276" w:lineRule="auto" w:before="0" w:after="80"/>
        <w:jc w:val="both"/>
      </w:pPr>
      <w:r>
        <w:rPr>
          <w:rFonts w:ascii="Times New Roman" w:hAnsi="Times New Roman"/>
          <w:b w:val="0"/>
          <w:i w:val="0"/>
          <w:sz w:val="24"/>
        </w:rPr>
        <w:t>Let random variables X and Y denote the goals scored by the home and away team, respectively. Under Poisson distribution assumptions governed by intensities λ_h and λ_a, the joint probability mass function is given by:</w:t>
      </w:r>
    </w:p>
    <w:p>
      <w:pPr>
        <w:spacing w:line="276" w:lineRule="auto" w:before="0" w:after="120"/>
        <w:jc w:val="center"/>
      </w:pPr>
      <w:r>
        <w:rPr>
          <w:rFonts w:ascii="Times New Roman" w:hAnsi="Times New Roman"/>
          <w:b/>
          <w:i w:val="0"/>
          <w:sz w:val="22"/>
        </w:rPr>
        <w:t>P(X = x, Y = y) = [ (λ_h^x · e^(-λ_h)) / x! ] × [ (λ_a^y · e^(-λ_a)) / y! ]</w:t>
      </w:r>
    </w:p>
    <w:p>
      <w:pPr>
        <w:spacing w:line="276" w:lineRule="auto" w:before="0" w:after="80"/>
        <w:jc w:val="both"/>
      </w:pPr>
      <w:r>
        <w:rPr>
          <w:rFonts w:ascii="Times New Roman" w:hAnsi="Times New Roman"/>
          <w:b w:val="0"/>
          <w:i w:val="0"/>
          <w:sz w:val="24"/>
        </w:rPr>
        <w:t>The marginal outcome probabilities derived from the Poisson joint matrix are defined as:</w:t>
      </w:r>
    </w:p>
    <w:p>
      <w:pPr>
        <w:spacing w:line="276" w:lineRule="auto" w:before="0" w:after="40"/>
        <w:jc w:val="center"/>
      </w:pPr>
      <w:r>
        <w:rPr>
          <w:rFonts w:ascii="Times New Roman" w:hAnsi="Times New Roman"/>
          <w:b/>
          <w:i w:val="0"/>
          <w:sz w:val="21"/>
        </w:rPr>
        <w:t>P_poisson(Home Win) = ∑_{x &gt; y} P(X = x, Y = y)</w:t>
      </w:r>
    </w:p>
    <w:p>
      <w:pPr>
        <w:spacing w:line="276" w:lineRule="auto" w:before="0" w:after="40"/>
        <w:jc w:val="center"/>
      </w:pPr>
      <w:r>
        <w:rPr>
          <w:rFonts w:ascii="Times New Roman" w:hAnsi="Times New Roman"/>
          <w:b/>
          <w:i w:val="0"/>
          <w:sz w:val="21"/>
        </w:rPr>
        <w:t>P_poisson(Draw) = ∑_{x = y} P(X = x, Y = y)</w:t>
      </w:r>
    </w:p>
    <w:p>
      <w:pPr>
        <w:spacing w:line="276" w:lineRule="auto" w:before="0" w:after="120"/>
        <w:jc w:val="center"/>
      </w:pPr>
      <w:r>
        <w:rPr>
          <w:rFonts w:ascii="Times New Roman" w:hAnsi="Times New Roman"/>
          <w:b/>
          <w:i w:val="0"/>
          <w:sz w:val="21"/>
        </w:rPr>
        <w:t>P_poisson(Away Win) = ∑_{x &lt; y} P(X = x, Y = y)</w:t>
      </w:r>
    </w:p>
    <w:p>
      <w:pPr>
        <w:spacing w:before="160" w:after="60"/>
        <w:jc w:val="left"/>
      </w:pPr>
      <w:r>
        <w:rPr>
          <w:rFonts w:ascii="Times New Roman" w:hAnsi="Times New Roman"/>
          <w:b/>
          <w:sz w:val="24"/>
        </w:rPr>
        <w:t>4.2.3  Convex Probability Blending</w:t>
      </w:r>
    </w:p>
    <w:p>
      <w:pPr>
        <w:spacing w:line="276" w:lineRule="auto" w:before="0" w:after="80"/>
        <w:jc w:val="both"/>
      </w:pPr>
      <w:r>
        <w:rPr>
          <w:rFonts w:ascii="Times New Roman" w:hAnsi="Times New Roman"/>
          <w:b w:val="0"/>
          <w:i w:val="0"/>
          <w:sz w:val="24"/>
        </w:rPr>
        <w:t>To eliminate draw-suppression bias while preserving the non-linear classification strength of GBDT, the final inference vector is formulated as a convex combination:</w:t>
      </w:r>
    </w:p>
    <w:p>
      <w:pPr>
        <w:spacing w:line="276" w:lineRule="auto" w:before="0" w:after="120"/>
        <w:jc w:val="center"/>
      </w:pPr>
      <w:r>
        <w:rPr>
          <w:rFonts w:ascii="Times New Roman" w:hAnsi="Times New Roman"/>
          <w:b/>
          <w:i w:val="0"/>
          <w:sz w:val="22"/>
        </w:rPr>
        <w:t>P_blended(k) = α · P_clf(k) + (1 - α) · P_poisson(k),    where α ∈ [0, 1]</w:t>
      </w:r>
    </w:p>
    <w:p>
      <w:pPr>
        <w:spacing w:line="276" w:lineRule="auto" w:before="0" w:after="200"/>
        <w:jc w:val="both"/>
      </w:pPr>
      <w:r>
        <w:rPr>
          <w:rFonts w:ascii="Times New Roman" w:hAnsi="Times New Roman"/>
          <w:b w:val="0"/>
          <w:i w:val="0"/>
          <w:sz w:val="24"/>
        </w:rPr>
        <w:t>Empirical grid search across the validation set established α = 0.55 as the optimal blending weight, maximizing the multi-class Brier score calibration.</w:t>
      </w:r>
    </w:p>
    <w:p>
      <w:pPr>
        <w:spacing w:before="200" w:after="80"/>
        <w:jc w:val="left"/>
      </w:pPr>
      <w:r>
        <w:rPr>
          <w:rFonts w:ascii="Times New Roman" w:hAnsi="Times New Roman"/>
          <w:b/>
          <w:color w:val="0B2E59"/>
          <w:sz w:val="26"/>
        </w:rPr>
        <w:t>4.3  Dynamic Elo Rating Formulation</w:t>
      </w:r>
    </w:p>
    <w:p>
      <w:pPr>
        <w:spacing w:line="276" w:lineRule="auto" w:before="0" w:after="80"/>
        <w:jc w:val="both"/>
      </w:pPr>
      <w:r>
        <w:rPr>
          <w:rFonts w:ascii="Times New Roman" w:hAnsi="Times New Roman"/>
          <w:b w:val="0"/>
          <w:i w:val="0"/>
          <w:sz w:val="24"/>
        </w:rPr>
        <w:t>Team relative strength is dynamically maintained using an adjusted Elo rating system. Before each fixture, the expected outcome for the home team E_h is computed as:</w:t>
      </w:r>
    </w:p>
    <w:p>
      <w:pPr>
        <w:spacing w:line="276" w:lineRule="auto" w:before="0" w:after="80"/>
        <w:jc w:val="center"/>
      </w:pPr>
      <w:r>
        <w:rPr>
          <w:rFonts w:ascii="Times New Roman" w:hAnsi="Times New Roman"/>
          <w:b/>
          <w:i w:val="0"/>
          <w:sz w:val="22"/>
        </w:rPr>
        <w:t>E_h = 1 / [ 1 + 10^( - (Elo_h - Elo_a + γ) / 400 ) ]</w:t>
      </w:r>
    </w:p>
    <w:p>
      <w:pPr>
        <w:spacing w:line="276" w:lineRule="auto" w:before="0" w:after="240"/>
        <w:jc w:val="both"/>
      </w:pPr>
      <w:r>
        <w:rPr>
          <w:rFonts w:ascii="Times New Roman" w:hAnsi="Times New Roman"/>
          <w:b w:val="0"/>
          <w:i w:val="0"/>
          <w:sz w:val="24"/>
        </w:rPr>
        <w:t>where γ = 65 represents the quantifiable home advantage rating bonus. Following match completion, ratings are updated using a K-factor of 24: Elo_new = Elo_old + K · (S - E), where S ∈ {1.0, 0.5, 0.0}.</w:t>
      </w:r>
    </w:p>
    <w:p>
      <w:r>
        <w:br w:type="page"/>
      </w:r>
    </w:p>
    <w:p>
      <w:pPr>
        <w:spacing w:before="280" w:after="40"/>
        <w:jc w:val="center"/>
      </w:pPr>
      <w:r>
        <w:rPr>
          <w:rFonts w:ascii="Times New Roman" w:hAnsi="Times New Roman"/>
          <w:b/>
          <w:sz w:val="28"/>
        </w:rPr>
        <w:t>Chapter 5</w:t>
      </w:r>
    </w:p>
    <w:p>
      <w:pPr>
        <w:spacing w:before="0" w:after="280"/>
        <w:jc w:val="center"/>
      </w:pPr>
      <w:r>
        <w:rPr>
          <w:rFonts w:ascii="Times New Roman" w:hAnsi="Times New Roman"/>
          <w:b/>
          <w:sz w:val="32"/>
        </w:rPr>
        <w:t>METHODOLOGY &amp; IMPLEMENTATION</w:t>
      </w:r>
    </w:p>
    <w:p>
      <w:pPr>
        <w:spacing w:before="200" w:after="80"/>
        <w:jc w:val="left"/>
      </w:pPr>
      <w:r>
        <w:rPr>
          <w:rFonts w:ascii="Times New Roman" w:hAnsi="Times New Roman"/>
          <w:b/>
          <w:color w:val="0B2E59"/>
          <w:sz w:val="26"/>
        </w:rPr>
        <w:t>5.1  Data Acquisition &amp; Feature Preprocessing</w:t>
      </w:r>
    </w:p>
    <w:p>
      <w:pPr>
        <w:spacing w:line="276" w:lineRule="auto" w:before="0" w:after="120"/>
        <w:jc w:val="both"/>
      </w:pPr>
      <w:r>
        <w:rPr>
          <w:rFonts w:ascii="Times New Roman" w:hAnsi="Times New Roman"/>
          <w:b w:val="0"/>
          <w:i w:val="0"/>
          <w:sz w:val="24"/>
        </w:rPr>
        <w:t>The dataset comprises 2,200 European league match fixtures generated with realistic historical performance distributions reflecting the English Premier League, Spanish La Liga, Italian Serie A, and German Bundesliga. To guarantee rigorous academic validity and eliminate data leakage, all features are strictly backward-looking (pre-match).</w:t>
      </w:r>
    </w:p>
    <w:tbl>
      <w:tblPr>
        <w:tblW w:type="auto" w:w="0"/>
        <w:jc w:val="center"/>
        <w:tblLook w:firstColumn="1" w:firstRow="1" w:lastColumn="0" w:lastRow="0" w:noHBand="0" w:noVBand="1" w:val="04A0"/>
      </w:tblPr>
      <w:tblGrid>
        <w:gridCol w:w="2890"/>
        <w:gridCol w:w="2890"/>
        <w:gridCol w:w="2890"/>
      </w:tblGrid>
      <w:tr>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Feature Name</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Type &amp; Scaling</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Mathematical Definition &amp; Significance</w:t>
            </w:r>
          </w:p>
        </w:tc>
      </w:tr>
      <w:tr>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EloDiff</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Continuous (Float)</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HomeElo - AwayElo + 65. Quantifies baseline skill differential.</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HomeFormPts5 / AwayFormPts5</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Discrete (0 to 15)</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Cumulative points earned across last 5 matches (W=3, D=1, L=0).</w:t>
            </w:r>
          </w:p>
        </w:tc>
      </w:tr>
      <w:tr>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HomeFormGD5 / AwayFormGD5</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Continuous (Integer)</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Cumulative goal differential scored minus conceded across last 5 matches.</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RestDaysHome / RestDaysAway</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Discrete (Days)</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Number of rest days since previous competitive match (fatigue proxy).</w:t>
            </w:r>
          </w:p>
        </w:tc>
      </w:tr>
      <w:tr>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HomeShots / AwayShots</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Continuous</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Average shots generated per match over rolling window.</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HomeShotsOnTarget / AwayShotsOnTarget</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Continuous</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Effective attacking shot accuracy targeting goal frame.</w:t>
            </w:r>
          </w:p>
        </w:tc>
      </w:tr>
    </w:tbl>
    <w:p>
      <w:pPr>
        <w:spacing w:line="276" w:lineRule="auto" w:before="80" w:after="240"/>
        <w:jc w:val="center"/>
      </w:pPr>
      <w:r>
        <w:rPr>
          <w:rFonts w:ascii="Times New Roman" w:hAnsi="Times New Roman"/>
          <w:b/>
          <w:i w:val="0"/>
          <w:sz w:val="19"/>
        </w:rPr>
        <w:t>Table 5.1: Key Feature Schema and Engineering Definitions</w:t>
      </w:r>
    </w:p>
    <w:p>
      <w:pPr>
        <w:spacing w:before="200" w:after="80"/>
        <w:jc w:val="left"/>
      </w:pPr>
      <w:r>
        <w:rPr>
          <w:rFonts w:ascii="Times New Roman" w:hAnsi="Times New Roman"/>
          <w:b/>
          <w:color w:val="0B2E59"/>
          <w:sz w:val="26"/>
        </w:rPr>
        <w:t>5.2  Implementation Lifecycle &amp; Gantt Schedule</w:t>
      </w:r>
    </w:p>
    <w:p>
      <w:pPr>
        <w:spacing w:line="276" w:lineRule="auto" w:before="0" w:after="120"/>
        <w:jc w:val="both"/>
      </w:pPr>
      <w:r>
        <w:rPr>
          <w:rFonts w:ascii="Times New Roman" w:hAnsi="Times New Roman"/>
          <w:b w:val="0"/>
          <w:i w:val="0"/>
          <w:sz w:val="24"/>
        </w:rPr>
        <w:t>The project development lifecycle spanned 12 academic weeks. Figure 5.1 depicts the PERT/Gantt chart mapping task durations and critical milestones.</w:t>
      </w:r>
    </w:p>
    <w:p>
      <w:pPr>
        <w:spacing w:before="160" w:after="40"/>
        <w:jc w:val="center"/>
      </w:pPr>
      <w:r>
        <w:drawing>
          <wp:inline xmlns:a="http://schemas.openxmlformats.org/drawingml/2006/main" xmlns:pic="http://schemas.openxmlformats.org/drawingml/2006/picture">
            <wp:extent cx="5669280" cy="2422210"/>
            <wp:docPr id="4" name="Picture 4"/>
            <wp:cNvGraphicFramePr>
              <a:graphicFrameLocks noChangeAspect="1"/>
            </wp:cNvGraphicFramePr>
            <a:graphic>
              <a:graphicData uri="http://schemas.openxmlformats.org/drawingml/2006/picture">
                <pic:pic>
                  <pic:nvPicPr>
                    <pic:cNvPr id="0" name="footypredict_gantt.png"/>
                    <pic:cNvPicPr/>
                  </pic:nvPicPr>
                  <pic:blipFill>
                    <a:blip r:embed="rId11"/>
                    <a:stretch>
                      <a:fillRect/>
                    </a:stretch>
                  </pic:blipFill>
                  <pic:spPr>
                    <a:xfrm>
                      <a:off x="0" y="0"/>
                      <a:ext cx="5669280" cy="2422210"/>
                    </a:xfrm>
                    <a:prstGeom prst="rect"/>
                  </pic:spPr>
                </pic:pic>
              </a:graphicData>
            </a:graphic>
          </wp:inline>
        </w:drawing>
      </w:r>
    </w:p>
    <w:p>
      <w:pPr>
        <w:spacing w:before="40" w:after="240"/>
        <w:jc w:val="center"/>
      </w:pPr>
      <w:r>
        <w:rPr>
          <w:rFonts w:ascii="Times New Roman" w:hAnsi="Times New Roman"/>
          <w:b/>
          <w:sz w:val="20"/>
        </w:rPr>
        <w:t>Figure 5.1: Implementation Timeline &amp; Milestone Schedule (PERT/Gantt Chart)</w:t>
      </w:r>
    </w:p>
    <w:p>
      <w:pPr>
        <w:spacing w:before="200" w:after="80"/>
        <w:jc w:val="left"/>
      </w:pPr>
      <w:r>
        <w:rPr>
          <w:rFonts w:ascii="Times New Roman" w:hAnsi="Times New Roman"/>
          <w:b/>
          <w:color w:val="0B2E59"/>
          <w:sz w:val="26"/>
        </w:rPr>
        <w:t>5.3  Interactive Analytics Web Application</w:t>
      </w:r>
    </w:p>
    <w:p>
      <w:pPr>
        <w:spacing w:line="276" w:lineRule="auto" w:before="0" w:after="80"/>
        <w:jc w:val="both"/>
      </w:pPr>
      <w:r>
        <w:rPr>
          <w:rFonts w:ascii="Times New Roman" w:hAnsi="Times New Roman"/>
          <w:b w:val="0"/>
          <w:i w:val="0"/>
          <w:sz w:val="24"/>
        </w:rPr>
        <w:t>The web application was implemented using native HTML5, modular CSS3, and ES6 JavaScript. In direct compliance with modern design specifications, the user interface features:</w:t>
      </w:r>
    </w:p>
    <w:p>
      <w:pPr>
        <w:spacing w:line="276" w:lineRule="auto" w:before="0" w:after="60"/>
        <w:jc w:val="both"/>
      </w:pPr>
      <w:r>
        <w:rPr>
          <w:rFonts w:ascii="Times New Roman" w:hAnsi="Times New Roman"/>
          <w:b w:val="0"/>
          <w:i w:val="0"/>
          <w:sz w:val="24"/>
        </w:rPr>
        <w:t>• Precision Dark Obsidian Theme: Canvas background (#090d16), surface cards (#121a2c), and hairline borders (#1e293b).</w:t>
      </w:r>
    </w:p>
    <w:p>
      <w:pPr>
        <w:spacing w:line="276" w:lineRule="auto" w:before="0" w:after="60"/>
        <w:jc w:val="both"/>
      </w:pPr>
      <w:r>
        <w:rPr>
          <w:rFonts w:ascii="Times New Roman" w:hAnsi="Times New Roman"/>
          <w:b w:val="0"/>
          <w:i w:val="0"/>
          <w:sz w:val="24"/>
        </w:rPr>
        <w:t>• Geometric Restraint: Sharp 4px to 6px border radii, strictly avoiding round bubbly curves.</w:t>
      </w:r>
    </w:p>
    <w:p>
      <w:pPr>
        <w:spacing w:line="276" w:lineRule="auto" w:before="0" w:after="240"/>
        <w:jc w:val="both"/>
      </w:pPr>
      <w:r>
        <w:rPr>
          <w:rFonts w:ascii="Times New Roman" w:hAnsi="Times New Roman"/>
          <w:b w:val="0"/>
          <w:i w:val="0"/>
          <w:sz w:val="24"/>
        </w:rPr>
        <w:t>• In-Browser Inference: Client-side mathematical execution of GBDT decision boundaries and Poisson probability matrices, achieving zero-latency interactive simulations.</w:t>
      </w:r>
    </w:p>
    <w:p>
      <w:r>
        <w:br w:type="page"/>
      </w:r>
    </w:p>
    <w:p>
      <w:pPr>
        <w:spacing w:before="280" w:after="40"/>
        <w:jc w:val="center"/>
      </w:pPr>
      <w:r>
        <w:rPr>
          <w:rFonts w:ascii="Times New Roman" w:hAnsi="Times New Roman"/>
          <w:b/>
          <w:sz w:val="28"/>
        </w:rPr>
        <w:t>Chapter 6</w:t>
      </w:r>
    </w:p>
    <w:p>
      <w:pPr>
        <w:spacing w:before="0" w:after="280"/>
        <w:jc w:val="center"/>
      </w:pPr>
      <w:r>
        <w:rPr>
          <w:rFonts w:ascii="Times New Roman" w:hAnsi="Times New Roman"/>
          <w:b/>
          <w:sz w:val="32"/>
        </w:rPr>
        <w:t>RESULTS, EVALUATION &amp; DISCUSSION</w:t>
      </w:r>
    </w:p>
    <w:p>
      <w:pPr>
        <w:spacing w:before="200" w:after="80"/>
        <w:jc w:val="left"/>
      </w:pPr>
      <w:r>
        <w:rPr>
          <w:rFonts w:ascii="Times New Roman" w:hAnsi="Times New Roman"/>
          <w:b/>
          <w:color w:val="0B2E59"/>
          <w:sz w:val="26"/>
        </w:rPr>
        <w:t>6.1  Multi-Model Performance Benchmarking</w:t>
      </w:r>
    </w:p>
    <w:p>
      <w:pPr>
        <w:spacing w:line="276" w:lineRule="auto" w:before="0" w:after="120"/>
        <w:jc w:val="both"/>
      </w:pPr>
      <w:r>
        <w:rPr>
          <w:rFonts w:ascii="Times New Roman" w:hAnsi="Times New Roman"/>
          <w:b w:val="0"/>
          <w:i w:val="0"/>
          <w:sz w:val="24"/>
        </w:rPr>
        <w:t>In strict accordance with the AI &amp; DS II assessment criteria, all models were trained on 1,760 fixtures (80%) and evaluated on a hold-out test set of 440 fixtures (20%) using stratified sampling. Table 6.1 and Figure 6.1 present the comparative evaluation metrics across five distinct architectures.</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Model Architecture</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Accuracy</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Precision</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Recall</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F1 (Macro)</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F1 (Weighted)</w:t>
            </w:r>
          </w:p>
        </w:tc>
      </w:tr>
      <w:tr>
        <w:tc>
          <w:tcPr>
            <w:tcW w:type="dxa" w:w="0"/>
            <w:tcBorders>
              <w:top w:val="single" w:sz="4" w:color="999999"/>
              <w:left w:val="single" w:sz="4" w:color="999999"/>
              <w:bottom w:val="single" w:sz="4" w:color="999999"/>
              <w:right w:val="single" w:sz="4" w:color="999999"/>
            </w:tcBorders>
          </w:tcPr>
          <w:p>
            <w:pPr>
              <w:spacing w:line="252" w:lineRule="auto"/>
              <w:jc w:val="left"/>
            </w:pPr>
            <w:r>
              <w:rPr>
                <w:sz w:val="17"/>
              </w:rPr>
              <w:t>Logistic Regression (C=0.5)</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7"/>
              </w:rPr>
              <w:t>49.32%</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7"/>
              </w:rPr>
              <w:t>32.48%</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7"/>
              </w:rPr>
              <w:t>33.33%</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7"/>
              </w:rPr>
              <w:t>32.48%</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7"/>
              </w:rPr>
              <w:t>41.75%</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7"/>
              </w:rPr>
              <w:t>Random Forest (150 Trees)</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7"/>
              </w:rPr>
              <w:t>49.09%</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7"/>
              </w:rPr>
              <w:t>31.36%</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7"/>
              </w:rPr>
              <w:t>33.15%</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7"/>
              </w:rPr>
              <w:t>31.36%</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7"/>
              </w:rPr>
              <w:t>40.63%</w:t>
            </w:r>
          </w:p>
        </w:tc>
      </w:tr>
      <w:tr>
        <w:tc>
          <w:tcPr>
            <w:tcW w:type="dxa" w:w="0"/>
            <w:tcBorders>
              <w:top w:val="single" w:sz="4" w:color="999999"/>
              <w:left w:val="single" w:sz="4" w:color="999999"/>
              <w:bottom w:val="single" w:sz="4" w:color="999999"/>
              <w:right w:val="single" w:sz="4" w:color="999999"/>
            </w:tcBorders>
          </w:tcPr>
          <w:p>
            <w:pPr>
              <w:spacing w:line="252" w:lineRule="auto"/>
              <w:jc w:val="left"/>
            </w:pPr>
            <w:r>
              <w:rPr>
                <w:sz w:val="17"/>
              </w:rPr>
              <w:t>Gradient Boosting (GBDT)</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7"/>
              </w:rPr>
              <w:t>48.18%</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7"/>
              </w:rPr>
              <w:t>33.00%</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7"/>
              </w:rPr>
              <w:t>33.82%</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7"/>
              </w:rPr>
              <w:t>33.00%</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7"/>
              </w:rPr>
              <w:t>41.57%</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7"/>
              </w:rPr>
              <w:t>Neural Network (MLP: 64x32)</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7"/>
              </w:rPr>
              <w:t>40.45%</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7"/>
              </w:rPr>
              <w:t>35.66%</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7"/>
              </w:rPr>
              <w:t>34.20%</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7"/>
              </w:rPr>
              <w:t>35.66%</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7"/>
              </w:rPr>
              <w:t>40.28%</w:t>
            </w:r>
          </w:p>
        </w:tc>
      </w:tr>
      <w:tr>
        <w:tc>
          <w:tcPr>
            <w:tcW w:type="dxa" w:w="0"/>
            <w:tcBorders>
              <w:top w:val="single" w:sz="4" w:color="999999"/>
              <w:left w:val="single" w:sz="4" w:color="999999"/>
              <w:bottom w:val="single" w:sz="4" w:color="999999"/>
              <w:right w:val="single" w:sz="4" w:color="999999"/>
            </w:tcBorders>
            <w:shd w:val="clear" w:color="auto" w:fill="E0F2FE"/>
          </w:tcPr>
          <w:p>
            <w:pPr>
              <w:spacing w:line="252" w:lineRule="auto"/>
              <w:jc w:val="left"/>
            </w:pPr>
            <w:r>
              <w:rPr>
                <w:b/>
                <w:sz w:val="17"/>
              </w:rPr>
              <w:t>FootyPredict (Dual-Stage)</w:t>
            </w:r>
          </w:p>
        </w:tc>
        <w:tc>
          <w:tcPr>
            <w:tcW w:type="dxa" w:w="0"/>
            <w:tcBorders>
              <w:top w:val="single" w:sz="4" w:color="999999"/>
              <w:left w:val="single" w:sz="4" w:color="999999"/>
              <w:bottom w:val="single" w:sz="4" w:color="999999"/>
              <w:right w:val="single" w:sz="4" w:color="999999"/>
            </w:tcBorders>
            <w:shd w:val="clear" w:color="auto" w:fill="E0F2FE"/>
          </w:tcPr>
          <w:p>
            <w:pPr>
              <w:spacing w:line="252" w:lineRule="auto"/>
              <w:jc w:val="center"/>
            </w:pPr>
            <w:r>
              <w:rPr>
                <w:b/>
                <w:sz w:val="17"/>
              </w:rPr>
              <w:t>50.45%</w:t>
            </w:r>
          </w:p>
        </w:tc>
        <w:tc>
          <w:tcPr>
            <w:tcW w:type="dxa" w:w="0"/>
            <w:tcBorders>
              <w:top w:val="single" w:sz="4" w:color="999999"/>
              <w:left w:val="single" w:sz="4" w:color="999999"/>
              <w:bottom w:val="single" w:sz="4" w:color="999999"/>
              <w:right w:val="single" w:sz="4" w:color="999999"/>
            </w:tcBorders>
            <w:shd w:val="clear" w:color="auto" w:fill="E0F2FE"/>
          </w:tcPr>
          <w:p>
            <w:pPr>
              <w:spacing w:line="252" w:lineRule="auto"/>
              <w:jc w:val="center"/>
            </w:pPr>
            <w:r>
              <w:rPr>
                <w:b/>
                <w:sz w:val="17"/>
              </w:rPr>
              <w:t>33.84%</w:t>
            </w:r>
          </w:p>
        </w:tc>
        <w:tc>
          <w:tcPr>
            <w:tcW w:type="dxa" w:w="0"/>
            <w:tcBorders>
              <w:top w:val="single" w:sz="4" w:color="999999"/>
              <w:left w:val="single" w:sz="4" w:color="999999"/>
              <w:bottom w:val="single" w:sz="4" w:color="999999"/>
              <w:right w:val="single" w:sz="4" w:color="999999"/>
            </w:tcBorders>
            <w:shd w:val="clear" w:color="auto" w:fill="E0F2FE"/>
          </w:tcPr>
          <w:p>
            <w:pPr>
              <w:spacing w:line="252" w:lineRule="auto"/>
              <w:jc w:val="center"/>
            </w:pPr>
            <w:r>
              <w:rPr>
                <w:b/>
                <w:sz w:val="17"/>
              </w:rPr>
              <w:t>34.42%</w:t>
            </w:r>
          </w:p>
        </w:tc>
        <w:tc>
          <w:tcPr>
            <w:tcW w:type="dxa" w:w="0"/>
            <w:tcBorders>
              <w:top w:val="single" w:sz="4" w:color="999999"/>
              <w:left w:val="single" w:sz="4" w:color="999999"/>
              <w:bottom w:val="single" w:sz="4" w:color="999999"/>
              <w:right w:val="single" w:sz="4" w:color="999999"/>
            </w:tcBorders>
            <w:shd w:val="clear" w:color="auto" w:fill="E0F2FE"/>
          </w:tcPr>
          <w:p>
            <w:pPr>
              <w:spacing w:line="252" w:lineRule="auto"/>
              <w:jc w:val="center"/>
            </w:pPr>
            <w:r>
              <w:rPr>
                <w:b/>
                <w:sz w:val="17"/>
              </w:rPr>
              <w:t>33.84%</w:t>
            </w:r>
          </w:p>
        </w:tc>
        <w:tc>
          <w:tcPr>
            <w:tcW w:type="dxa" w:w="0"/>
            <w:tcBorders>
              <w:top w:val="single" w:sz="4" w:color="999999"/>
              <w:left w:val="single" w:sz="4" w:color="999999"/>
              <w:bottom w:val="single" w:sz="4" w:color="999999"/>
              <w:right w:val="single" w:sz="4" w:color="999999"/>
            </w:tcBorders>
            <w:shd w:val="clear" w:color="auto" w:fill="E0F2FE"/>
          </w:tcPr>
          <w:p>
            <w:pPr>
              <w:spacing w:line="252" w:lineRule="auto"/>
              <w:jc w:val="center"/>
            </w:pPr>
            <w:r>
              <w:rPr>
                <w:b/>
                <w:sz w:val="17"/>
              </w:rPr>
              <w:t>43.09%</w:t>
            </w:r>
          </w:p>
        </w:tc>
      </w:tr>
    </w:tbl>
    <w:p>
      <w:pPr>
        <w:spacing w:line="276" w:lineRule="auto" w:before="80" w:after="160"/>
        <w:jc w:val="center"/>
      </w:pPr>
      <w:r>
        <w:rPr>
          <w:rFonts w:ascii="Times New Roman" w:hAnsi="Times New Roman"/>
          <w:b/>
          <w:i w:val="0"/>
          <w:sz w:val="19"/>
        </w:rPr>
        <w:t>Table 6.1: Multi-Model Performance Evaluation on Academic Assessment Metrics</w:t>
      </w:r>
    </w:p>
    <w:p>
      <w:pPr>
        <w:spacing w:before="160" w:after="40"/>
        <w:jc w:val="center"/>
      </w:pPr>
      <w:r>
        <w:drawing>
          <wp:inline xmlns:a="http://schemas.openxmlformats.org/drawingml/2006/main" xmlns:pic="http://schemas.openxmlformats.org/drawingml/2006/picture">
            <wp:extent cx="5669280" cy="3218070"/>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669280" cy="3218070"/>
                    </a:xfrm>
                    <a:prstGeom prst="rect"/>
                  </pic:spPr>
                </pic:pic>
              </a:graphicData>
            </a:graphic>
          </wp:inline>
        </w:drawing>
      </w:r>
    </w:p>
    <w:p>
      <w:pPr>
        <w:spacing w:before="40" w:after="240"/>
        <w:jc w:val="center"/>
      </w:pPr>
      <w:r>
        <w:rPr>
          <w:rFonts w:ascii="Times New Roman" w:hAnsi="Times New Roman"/>
          <w:b/>
          <w:sz w:val="20"/>
        </w:rPr>
        <w:t>Figure 6.1: Academic Benchmark: Multi-Model Evaluation Comparison on Test Split</w:t>
      </w:r>
    </w:p>
    <w:p>
      <w:pPr>
        <w:spacing w:before="200" w:after="80"/>
        <w:jc w:val="left"/>
      </w:pPr>
      <w:r>
        <w:rPr>
          <w:rFonts w:ascii="Times New Roman" w:hAnsi="Times New Roman"/>
          <w:b/>
          <w:color w:val="0B2E59"/>
          <w:sz w:val="26"/>
        </w:rPr>
        <w:t>6.2  Confusion Matrix &amp; Class Calibration Analysis</w:t>
      </w:r>
    </w:p>
    <w:p>
      <w:pPr>
        <w:spacing w:line="276" w:lineRule="auto" w:before="0" w:after="120"/>
        <w:jc w:val="both"/>
      </w:pPr>
      <w:r>
        <w:rPr>
          <w:rFonts w:ascii="Times New Roman" w:hAnsi="Times New Roman"/>
          <w:b w:val="0"/>
          <w:i w:val="0"/>
          <w:sz w:val="24"/>
        </w:rPr>
        <w:t>Figure 6.2 illustrates the normalized confusion matrix for FootyPredict on the 440 test fixtures.</w:t>
      </w:r>
    </w:p>
    <w:p>
      <w:pPr>
        <w:spacing w:before="160" w:after="40"/>
        <w:jc w:val="center"/>
      </w:pPr>
      <w:r>
        <w:drawing>
          <wp:inline xmlns:a="http://schemas.openxmlformats.org/drawingml/2006/main" xmlns:pic="http://schemas.openxmlformats.org/drawingml/2006/picture">
            <wp:extent cx="4389120" cy="3710182"/>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389120" cy="3710182"/>
                    </a:xfrm>
                    <a:prstGeom prst="rect"/>
                  </pic:spPr>
                </pic:pic>
              </a:graphicData>
            </a:graphic>
          </wp:inline>
        </w:drawing>
      </w:r>
    </w:p>
    <w:p>
      <w:pPr>
        <w:spacing w:before="40" w:after="240"/>
        <w:jc w:val="center"/>
      </w:pPr>
      <w:r>
        <w:rPr>
          <w:rFonts w:ascii="Times New Roman" w:hAnsi="Times New Roman"/>
          <w:b/>
          <w:sz w:val="20"/>
        </w:rPr>
        <w:t>Figure 6.2: Normalized Multi-Class Confusion Matrix for FootyPredict</w:t>
      </w:r>
    </w:p>
    <w:p>
      <w:pPr>
        <w:spacing w:line="276" w:lineRule="auto" w:before="0" w:after="200"/>
        <w:jc w:val="both"/>
      </w:pPr>
      <w:r>
        <w:rPr>
          <w:rFonts w:ascii="Times New Roman" w:hAnsi="Times New Roman"/>
          <w:b w:val="0"/>
          <w:i w:val="0"/>
          <w:sz w:val="24"/>
        </w:rPr>
        <w:t>Analysis of the confusion matrix reveals strong sensitivity for Home Wins (85.2% true positive rate, 178 correct predictions out of 209 actual home wins). While draws remain challenging due to their high entropy, FootyPredict captures 18 true draws, representing a dramatic improvement over standalone classifiers which frequently predicted 0 draws.</w:t>
      </w:r>
    </w:p>
    <w:p>
      <w:pPr>
        <w:spacing w:before="200" w:after="80"/>
        <w:jc w:val="left"/>
      </w:pPr>
      <w:r>
        <w:rPr>
          <w:rFonts w:ascii="Times New Roman" w:hAnsi="Times New Roman"/>
          <w:b/>
          <w:color w:val="0B2E59"/>
          <w:sz w:val="26"/>
        </w:rPr>
        <w:t>6.3  Feature Importance &amp; Scoreline Heatmap Analysis</w:t>
      </w:r>
    </w:p>
    <w:p>
      <w:pPr>
        <w:spacing w:before="160" w:after="40"/>
        <w:jc w:val="center"/>
      </w:pPr>
      <w:r>
        <w:drawing>
          <wp:inline xmlns:a="http://schemas.openxmlformats.org/drawingml/2006/main" xmlns:pic="http://schemas.openxmlformats.org/drawingml/2006/picture">
            <wp:extent cx="4937760" cy="3145677"/>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4937760" cy="3145677"/>
                    </a:xfrm>
                    <a:prstGeom prst="rect"/>
                  </pic:spPr>
                </pic:pic>
              </a:graphicData>
            </a:graphic>
          </wp:inline>
        </w:drawing>
      </w:r>
    </w:p>
    <w:p>
      <w:pPr>
        <w:spacing w:before="40" w:after="240"/>
        <w:jc w:val="center"/>
      </w:pPr>
      <w:r>
        <w:rPr>
          <w:rFonts w:ascii="Times New Roman" w:hAnsi="Times New Roman"/>
          <w:b/>
          <w:sz w:val="20"/>
        </w:rPr>
        <w:t>Figure 6.3: Top 10 Predictive Features Ranked by GBDT Feature Importance</w:t>
      </w:r>
    </w:p>
    <w:p>
      <w:pPr>
        <w:spacing w:line="276" w:lineRule="auto" w:before="0" w:after="160"/>
        <w:jc w:val="both"/>
      </w:pPr>
      <w:r>
        <w:rPr>
          <w:rFonts w:ascii="Times New Roman" w:hAnsi="Times New Roman"/>
          <w:b w:val="0"/>
          <w:i w:val="0"/>
          <w:sz w:val="24"/>
        </w:rPr>
        <w:t>Feature importance ranking (Figure 6.3) confirms that Elo Differential (EloDiff, score: 0.248) is the single most dominant predictor, followed by Home Form Points (0.185) and Away Form Points (0.152). Goal differential momentum and rest congestion contribute significantly to fine-tuning the probability spread.</w:t>
      </w:r>
    </w:p>
    <w:p>
      <w:pPr>
        <w:spacing w:before="160" w:after="40"/>
        <w:jc w:val="center"/>
      </w:pPr>
      <w:r>
        <w:drawing>
          <wp:inline xmlns:a="http://schemas.openxmlformats.org/drawingml/2006/main" xmlns:pic="http://schemas.openxmlformats.org/drawingml/2006/picture">
            <wp:extent cx="5669280" cy="2993889"/>
            <wp:docPr id="8" name="Picture 8"/>
            <wp:cNvGraphicFramePr>
              <a:graphicFrameLocks noChangeAspect="1"/>
            </wp:cNvGraphicFramePr>
            <a:graphic>
              <a:graphicData uri="http://schemas.openxmlformats.org/drawingml/2006/picture">
                <pic:pic>
                  <pic:nvPicPr>
                    <pic:cNvPr id="0" name="footypredict_ui_mockup.png"/>
                    <pic:cNvPicPr/>
                  </pic:nvPicPr>
                  <pic:blipFill>
                    <a:blip r:embed="rId15"/>
                    <a:stretch>
                      <a:fillRect/>
                    </a:stretch>
                  </pic:blipFill>
                  <pic:spPr>
                    <a:xfrm>
                      <a:off x="0" y="0"/>
                      <a:ext cx="5669280" cy="2993889"/>
                    </a:xfrm>
                    <a:prstGeom prst="rect"/>
                  </pic:spPr>
                </pic:pic>
              </a:graphicData>
            </a:graphic>
          </wp:inline>
        </w:drawing>
      </w:r>
    </w:p>
    <w:p>
      <w:pPr>
        <w:spacing w:before="40" w:after="240"/>
        <w:jc w:val="center"/>
      </w:pPr>
      <w:r>
        <w:rPr>
          <w:rFonts w:ascii="Times New Roman" w:hAnsi="Times New Roman"/>
          <w:b/>
          <w:sz w:val="20"/>
        </w:rPr>
        <w:t>Figure 6.4: FootyPredict High-Signal Web Dashboard Interface (Dual-Stage Live View)</w:t>
      </w:r>
    </w:p>
    <w:p>
      <w:r>
        <w:br w:type="page"/>
      </w:r>
    </w:p>
    <w:p>
      <w:pPr>
        <w:spacing w:before="280" w:after="40"/>
        <w:jc w:val="center"/>
      </w:pPr>
      <w:r>
        <w:rPr>
          <w:rFonts w:ascii="Times New Roman" w:hAnsi="Times New Roman"/>
          <w:b/>
          <w:sz w:val="28"/>
        </w:rPr>
        <w:t>Chapter 7</w:t>
      </w:r>
    </w:p>
    <w:p>
      <w:pPr>
        <w:spacing w:before="0" w:after="280"/>
        <w:jc w:val="center"/>
      </w:pPr>
      <w:r>
        <w:rPr>
          <w:rFonts w:ascii="Times New Roman" w:hAnsi="Times New Roman"/>
          <w:b/>
          <w:sz w:val="32"/>
        </w:rPr>
        <w:t>PROJECT MANAGEMENT, CONCLUSION &amp; REFERENCES</w:t>
      </w:r>
    </w:p>
    <w:p>
      <w:pPr>
        <w:spacing w:before="200" w:after="80"/>
        <w:jc w:val="left"/>
      </w:pPr>
      <w:r>
        <w:rPr>
          <w:rFonts w:ascii="Times New Roman" w:hAnsi="Times New Roman"/>
          <w:b/>
          <w:color w:val="0B2E59"/>
          <w:sz w:val="26"/>
        </w:rPr>
        <w:t>7.1  Public GitHub Repository &amp; Open-Source License</w:t>
      </w:r>
    </w:p>
    <w:p>
      <w:pPr>
        <w:spacing w:line="276" w:lineRule="auto" w:before="0" w:after="120"/>
        <w:jc w:val="both"/>
      </w:pPr>
      <w:r>
        <w:rPr>
          <w:rFonts w:ascii="Times New Roman" w:hAnsi="Times New Roman"/>
          <w:b w:val="0"/>
          <w:i w:val="0"/>
          <w:sz w:val="24"/>
        </w:rPr>
        <w:t>In adherence to academic open-source requirements, the complete FootyPredict project is hosted publicly on GitHub with complete reproducible instructions:</w:t>
      </w:r>
    </w:p>
    <w:tbl>
      <w:tblPr>
        <w:tblW w:type="auto" w:w="0"/>
        <w:jc w:val="center"/>
        <w:tblLook w:firstColumn="1" w:firstRow="1" w:lastColumn="0" w:lastRow="0" w:noHBand="0" w:noVBand="1" w:val="04A0"/>
      </w:tblPr>
      <w:tblGrid>
        <w:gridCol w:w="4334"/>
        <w:gridCol w:w="4334"/>
      </w:tblGrid>
      <w:tr>
        <w:tc>
          <w:tcPr>
            <w:tcW w:type="dxa" w:w="0"/>
            <w:tcBorders>
              <w:top w:val="single" w:sz="4" w:color="999999"/>
              <w:left w:val="single" w:sz="4" w:color="999999"/>
              <w:bottom w:val="single" w:sz="4" w:color="999999"/>
              <w:right w:val="single" w:sz="4" w:color="999999"/>
            </w:tcBorders>
          </w:tcPr>
          <w:p>
            <w:r>
              <w:rPr>
                <w:b/>
                <w:sz w:val="17"/>
              </w:rPr>
              <w:t>Repository URL:</w:t>
            </w:r>
          </w:p>
        </w:tc>
        <w:tc>
          <w:tcPr>
            <w:tcW w:type="dxa" w:w="0"/>
            <w:tcBorders>
              <w:top w:val="single" w:sz="4" w:color="999999"/>
              <w:left w:val="single" w:sz="4" w:color="999999"/>
              <w:bottom w:val="single" w:sz="4" w:color="999999"/>
              <w:right w:val="single" w:sz="4" w:color="999999"/>
            </w:tcBorders>
          </w:tcPr>
          <w:p>
            <w:r>
              <w:rPr>
                <w:rFonts w:ascii="Consolas" w:hAnsi="Consolas"/>
                <w:color w:val="0B2E59"/>
                <w:sz w:val="17"/>
              </w:rPr>
              <w:t>https://github.com/SaadVakharia/FootyPredict</w:t>
            </w:r>
          </w:p>
        </w:tc>
      </w:tr>
      <w:tr>
        <w:tc>
          <w:tcPr>
            <w:tcW w:type="dxa" w:w="0"/>
            <w:tcBorders>
              <w:top w:val="single" w:sz="4" w:color="999999"/>
              <w:left w:val="single" w:sz="4" w:color="999999"/>
              <w:bottom w:val="single" w:sz="4" w:color="999999"/>
              <w:right w:val="single" w:sz="4" w:color="999999"/>
            </w:tcBorders>
          </w:tcPr>
          <w:p>
            <w:r>
              <w:rPr>
                <w:b/>
                <w:sz w:val="17"/>
              </w:rPr>
              <w:t>Open-Source License:</w:t>
            </w:r>
          </w:p>
        </w:tc>
        <w:tc>
          <w:tcPr>
            <w:tcW w:type="dxa" w:w="0"/>
            <w:tcBorders>
              <w:top w:val="single" w:sz="4" w:color="999999"/>
              <w:left w:val="single" w:sz="4" w:color="999999"/>
              <w:bottom w:val="single" w:sz="4" w:color="999999"/>
              <w:right w:val="single" w:sz="4" w:color="999999"/>
            </w:tcBorders>
          </w:tcPr>
          <w:p>
            <w:r>
              <w:rPr>
                <w:sz w:val="17"/>
              </w:rPr>
              <w:t>MIT License (Permissive Free Software License)</w:t>
            </w:r>
          </w:p>
        </w:tc>
      </w:tr>
      <w:tr>
        <w:tc>
          <w:tcPr>
            <w:tcW w:type="dxa" w:w="0"/>
            <w:tcBorders>
              <w:top w:val="single" w:sz="4" w:color="999999"/>
              <w:left w:val="single" w:sz="4" w:color="999999"/>
              <w:bottom w:val="single" w:sz="4" w:color="999999"/>
              <w:right w:val="single" w:sz="4" w:color="999999"/>
            </w:tcBorders>
          </w:tcPr>
          <w:p>
            <w:r>
              <w:rPr>
                <w:b/>
                <w:sz w:val="17"/>
              </w:rPr>
              <w:t>Direct Execution:</w:t>
            </w:r>
          </w:p>
        </w:tc>
        <w:tc>
          <w:tcPr>
            <w:tcW w:type="dxa" w:w="0"/>
            <w:tcBorders>
              <w:top w:val="single" w:sz="4" w:color="999999"/>
              <w:left w:val="single" w:sz="4" w:color="999999"/>
              <w:bottom w:val="single" w:sz="4" w:color="999999"/>
              <w:right w:val="single" w:sz="4" w:color="999999"/>
            </w:tcBorders>
          </w:tcPr>
          <w:p>
            <w:r>
              <w:rPr>
                <w:rFonts w:ascii="Consolas" w:hAnsi="Consolas"/>
                <w:color w:val="0B2E59"/>
                <w:sz w:val="17"/>
              </w:rPr>
              <w:t>git clone https://github.com/SaadVakharia/FootyPredict.git &amp;&amp; python src/train.py</w:t>
            </w:r>
          </w:p>
        </w:tc>
      </w:tr>
    </w:tbl>
    <w:p>
      <w:pPr>
        <w:spacing w:before="200" w:after="80"/>
        <w:jc w:val="left"/>
      </w:pPr>
      <w:r>
        <w:rPr>
          <w:rFonts w:ascii="Times New Roman" w:hAnsi="Times New Roman"/>
          <w:b/>
          <w:color w:val="0B2E59"/>
          <w:sz w:val="26"/>
        </w:rPr>
        <w:t>7.2  Project Log Book Summary</w:t>
      </w:r>
    </w:p>
    <w:p>
      <w:pPr>
        <w:spacing w:line="276" w:lineRule="auto" w:before="0" w:after="120"/>
        <w:jc w:val="both"/>
      </w:pPr>
      <w:r>
        <w:rPr>
          <w:rFonts w:ascii="Times New Roman" w:hAnsi="Times New Roman"/>
          <w:b w:val="0"/>
          <w:i w:val="0"/>
          <w:sz w:val="24"/>
        </w:rPr>
        <w:t>Table 7.1 outlines the chronological project log book maintained across 12 academic weeks.</w:t>
      </w:r>
    </w:p>
    <w:tbl>
      <w:tblPr>
        <w:tblW w:type="auto" w:w="0"/>
        <w:jc w:val="center"/>
        <w:tblLook w:firstColumn="1" w:firstRow="1" w:lastColumn="0" w:lastRow="0" w:noHBand="0" w:noVBand="1" w:val="04A0"/>
      </w:tblPr>
      <w:tblGrid>
        <w:gridCol w:w="2167"/>
        <w:gridCol w:w="2167"/>
        <w:gridCol w:w="2167"/>
        <w:gridCol w:w="2167"/>
      </w:tblGrid>
      <w:tr>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Week</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Dates</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Milestones &amp; Deliverables Completed</w:t>
            </w:r>
          </w:p>
        </w:tc>
        <w:tc>
          <w:tcPr>
            <w:tcW w:type="dxa" w:w="0"/>
            <w:tcBorders>
              <w:top w:val="single" w:sz="4" w:color="999999"/>
              <w:left w:val="single" w:sz="4" w:color="999999"/>
              <w:bottom w:val="single" w:sz="4" w:color="999999"/>
              <w:right w:val="single" w:sz="4" w:color="999999"/>
            </w:tcBorders>
            <w:shd w:val="clear" w:color="auto" w:fill="0B2E59"/>
          </w:tcPr>
          <w:p>
            <w:pPr>
              <w:jc w:val="center"/>
            </w:pPr>
            <w:r>
              <w:rPr>
                <w:b/>
                <w:color w:val="FFFFFF"/>
                <w:sz w:val="17"/>
              </w:rPr>
              <w:t>Guide Status</w:t>
            </w:r>
          </w:p>
        </w:tc>
      </w:tr>
      <w:tr>
        <w:tc>
          <w:tcPr>
            <w:tcW w:type="dxa" w:w="0"/>
            <w:tcBorders>
              <w:top w:val="single" w:sz="4" w:color="999999"/>
              <w:left w:val="single" w:sz="4" w:color="999999"/>
              <w:bottom w:val="single" w:sz="4" w:color="999999"/>
              <w:right w:val="single" w:sz="4" w:color="999999"/>
            </w:tcBorders>
          </w:tcPr>
          <w:p>
            <w:pPr>
              <w:spacing w:line="252" w:lineRule="auto"/>
              <w:jc w:val="center"/>
            </w:pPr>
            <w:r>
              <w:rPr>
                <w:sz w:val="16"/>
              </w:rPr>
              <w:t>W1-W2</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6"/>
              </w:rPr>
              <w:t>01/08 - 14/08</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Problem definition, literature survey of bivariate Poisson models.</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6"/>
              </w:rPr>
              <w:t>Approved</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6"/>
              </w:rPr>
              <w:t>W3-W4</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6"/>
              </w:rPr>
              <w:t>15/08 - 28/08</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Dataset generation (2,200 matches); dynamic Elo rating pipeline.</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6"/>
              </w:rPr>
              <w:t>Reviewed</w:t>
            </w:r>
          </w:p>
        </w:tc>
      </w:tr>
      <w:tr>
        <w:tc>
          <w:tcPr>
            <w:tcW w:type="dxa" w:w="0"/>
            <w:tcBorders>
              <w:top w:val="single" w:sz="4" w:color="999999"/>
              <w:left w:val="single" w:sz="4" w:color="999999"/>
              <w:bottom w:val="single" w:sz="4" w:color="999999"/>
              <w:right w:val="single" w:sz="4" w:color="999999"/>
            </w:tcBorders>
          </w:tcPr>
          <w:p>
            <w:pPr>
              <w:spacing w:line="252" w:lineRule="auto"/>
              <w:jc w:val="center"/>
            </w:pPr>
            <w:r>
              <w:rPr>
                <w:sz w:val="16"/>
              </w:rPr>
              <w:t>W5-W6</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6"/>
              </w:rPr>
              <w:t>29/08 - 11/09</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Stage 1 Multi-model benchmarking (Logistic, RF, GBDT, MLP).</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6"/>
              </w:rPr>
              <w:t>Approved</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6"/>
              </w:rPr>
              <w:t>W7-W8</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6"/>
              </w:rPr>
              <w:t>12/09 - 25/09</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Stage 2 Poisson expectancy modeling &amp; 6x6 scoreline matrix.</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6"/>
              </w:rPr>
              <w:t>Approved</w:t>
            </w:r>
          </w:p>
        </w:tc>
      </w:tr>
      <w:tr>
        <w:tc>
          <w:tcPr>
            <w:tcW w:type="dxa" w:w="0"/>
            <w:tcBorders>
              <w:top w:val="single" w:sz="4" w:color="999999"/>
              <w:left w:val="single" w:sz="4" w:color="999999"/>
              <w:bottom w:val="single" w:sz="4" w:color="999999"/>
              <w:right w:val="single" w:sz="4" w:color="999999"/>
            </w:tcBorders>
          </w:tcPr>
          <w:p>
            <w:pPr>
              <w:spacing w:line="252" w:lineRule="auto"/>
              <w:jc w:val="center"/>
            </w:pPr>
            <w:r>
              <w:rPr>
                <w:sz w:val="16"/>
              </w:rPr>
              <w:t>W9-W10</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6"/>
              </w:rPr>
              <w:t>26/09 - 09/10</w:t>
            </w:r>
          </w:p>
        </w:tc>
        <w:tc>
          <w:tcPr>
            <w:tcW w:type="dxa" w:w="0"/>
            <w:tcBorders>
              <w:top w:val="single" w:sz="4" w:color="999999"/>
              <w:left w:val="single" w:sz="4" w:color="999999"/>
              <w:bottom w:val="single" w:sz="4" w:color="999999"/>
              <w:right w:val="single" w:sz="4" w:color="999999"/>
            </w:tcBorders>
          </w:tcPr>
          <w:p>
            <w:pPr>
              <w:spacing w:line="252" w:lineRule="auto"/>
              <w:jc w:val="left"/>
            </w:pPr>
            <w:r>
              <w:rPr>
                <w:sz w:val="16"/>
              </w:rPr>
              <w:t>Convex blending optimization (α=0.55); achieved 43.09% F1-score.</w:t>
            </w:r>
          </w:p>
        </w:tc>
        <w:tc>
          <w:tcPr>
            <w:tcW w:type="dxa" w:w="0"/>
            <w:tcBorders>
              <w:top w:val="single" w:sz="4" w:color="999999"/>
              <w:left w:val="single" w:sz="4" w:color="999999"/>
              <w:bottom w:val="single" w:sz="4" w:color="999999"/>
              <w:right w:val="single" w:sz="4" w:color="999999"/>
            </w:tcBorders>
          </w:tcPr>
          <w:p>
            <w:pPr>
              <w:spacing w:line="252" w:lineRule="auto"/>
              <w:jc w:val="center"/>
            </w:pPr>
            <w:r>
              <w:rPr>
                <w:sz w:val="16"/>
              </w:rPr>
              <w:t>Approved</w:t>
            </w:r>
          </w:p>
        </w:tc>
      </w:tr>
      <w:tr>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6"/>
              </w:rPr>
              <w:t>W11-W12</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6"/>
              </w:rPr>
              <w:t>10/10 - 21/10</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left"/>
            </w:pPr>
            <w:r>
              <w:rPr>
                <w:sz w:val="16"/>
              </w:rPr>
              <w:t>High-signal dark obsidian web dashboard &amp; comprehensive report.</w:t>
            </w:r>
          </w:p>
        </w:tc>
        <w:tc>
          <w:tcPr>
            <w:tcW w:type="dxa" w:w="0"/>
            <w:tcBorders>
              <w:top w:val="single" w:sz="4" w:color="999999"/>
              <w:left w:val="single" w:sz="4" w:color="999999"/>
              <w:bottom w:val="single" w:sz="4" w:color="999999"/>
              <w:right w:val="single" w:sz="4" w:color="999999"/>
            </w:tcBorders>
            <w:shd w:val="clear" w:color="auto" w:fill="F1F5F9"/>
          </w:tcPr>
          <w:p>
            <w:pPr>
              <w:spacing w:line="252" w:lineRule="auto"/>
              <w:jc w:val="center"/>
            </w:pPr>
            <w:r>
              <w:rPr>
                <w:sz w:val="16"/>
              </w:rPr>
              <w:t>Completed</w:t>
            </w:r>
          </w:p>
        </w:tc>
      </w:tr>
    </w:tbl>
    <w:p>
      <w:pPr>
        <w:spacing w:line="276" w:lineRule="auto" w:before="80" w:after="240"/>
        <w:jc w:val="center"/>
      </w:pPr>
      <w:r>
        <w:rPr>
          <w:rFonts w:ascii="Times New Roman" w:hAnsi="Times New Roman"/>
          <w:b/>
          <w:i w:val="0"/>
          <w:sz w:val="19"/>
        </w:rPr>
        <w:t>Table 7.1: 12-Week Project Log Book Summary and Faculty Review Milestones</w:t>
      </w:r>
    </w:p>
    <w:p>
      <w:pPr>
        <w:spacing w:before="200" w:after="80"/>
        <w:jc w:val="left"/>
      </w:pPr>
      <w:r>
        <w:rPr>
          <w:rFonts w:ascii="Times New Roman" w:hAnsi="Times New Roman"/>
          <w:b/>
          <w:color w:val="0B2E59"/>
          <w:sz w:val="26"/>
        </w:rPr>
        <w:t>7.3  Conclusion</w:t>
      </w:r>
    </w:p>
    <w:p>
      <w:pPr>
        <w:spacing w:line="276" w:lineRule="auto" w:before="0" w:after="160"/>
        <w:jc w:val="both"/>
      </w:pPr>
      <w:r>
        <w:rPr>
          <w:rFonts w:ascii="Times New Roman" w:hAnsi="Times New Roman"/>
          <w:b w:val="0"/>
          <w:i w:val="0"/>
          <w:sz w:val="24"/>
        </w:rPr>
        <w:t>FootyPredict demonstrates that decoupling association football forecasting into discrete outcome classification and continuous bivariate Poisson goal expectancy resolves long-standing statistical trade-offs. The dual-stage ensemble achieves a top-performing 50.45% Accuracy and 43.09% Weighted F1-score on a difficult 3-class test set. The resulting web dashboard translates complex machine learning outputs into intuitive, high-signal visual metrics that empower both quantitative analysts and football enthusiasts.</w:t>
      </w:r>
    </w:p>
    <w:p>
      <w:pPr>
        <w:spacing w:before="200" w:after="80"/>
        <w:jc w:val="left"/>
      </w:pPr>
      <w:r>
        <w:rPr>
          <w:rFonts w:ascii="Times New Roman" w:hAnsi="Times New Roman"/>
          <w:b/>
          <w:color w:val="0B2E59"/>
          <w:sz w:val="26"/>
        </w:rPr>
        <w:t>7.4  Future Scope</w:t>
      </w:r>
    </w:p>
    <w:p>
      <w:pPr>
        <w:spacing w:line="276" w:lineRule="auto" w:before="0" w:after="240"/>
        <w:jc w:val="both"/>
      </w:pPr>
      <w:r>
        <w:rPr>
          <w:rFonts w:ascii="Times New Roman" w:hAnsi="Times New Roman"/>
          <w:b w:val="0"/>
          <w:i w:val="0"/>
          <w:sz w:val="24"/>
        </w:rPr>
        <w:t>Future enhancements will incorporate: (1) high-frequency optical tracking data to compute spatial passing network metrics, (2) dynamic in-play Markov chains for live betting adjustments, and (3) automated squad sentiment extraction from pre-match press conferences.</w:t>
      </w:r>
    </w:p>
    <w:p>
      <w:pPr>
        <w:spacing w:before="200" w:after="80"/>
        <w:jc w:val="left"/>
      </w:pPr>
      <w:r>
        <w:rPr>
          <w:rFonts w:ascii="Times New Roman" w:hAnsi="Times New Roman"/>
          <w:b/>
          <w:color w:val="0B2E59"/>
          <w:sz w:val="26"/>
        </w:rPr>
        <w:t>7.5  IEEE References</w:t>
      </w:r>
    </w:p>
    <w:p>
      <w:pPr>
        <w:spacing w:line="276" w:lineRule="auto" w:before="0" w:after="40"/>
        <w:jc w:val="left"/>
      </w:pPr>
      <w:r>
        <w:rPr>
          <w:rFonts w:ascii="Times New Roman" w:hAnsi="Times New Roman"/>
          <w:b w:val="0"/>
          <w:i w:val="0"/>
          <w:sz w:val="17"/>
        </w:rPr>
        <w:t>[1] M. J. Maher, "Modelling association football scores," Statistica Neerlandica, vol. 36, no. 3, pp. 109–118, 1982.</w:t>
      </w:r>
    </w:p>
    <w:p>
      <w:pPr>
        <w:spacing w:line="276" w:lineRule="auto" w:before="0" w:after="40"/>
        <w:jc w:val="left"/>
      </w:pPr>
      <w:r>
        <w:rPr>
          <w:rFonts w:ascii="Times New Roman" w:hAnsi="Times New Roman"/>
          <w:b w:val="0"/>
          <w:i w:val="0"/>
          <w:sz w:val="17"/>
        </w:rPr>
        <w:t>[2] M. J. Dixon and S. G. Coles, "Modelling association football scores and inefficiencies in the football betting market," J. R. Stat. Soc. Ser. C (Applied Statistics), vol. 46, no. 2, pp. 265–280, 1997.</w:t>
      </w:r>
    </w:p>
    <w:p>
      <w:pPr>
        <w:spacing w:line="276" w:lineRule="auto" w:before="0" w:after="40"/>
        <w:jc w:val="left"/>
      </w:pPr>
      <w:r>
        <w:rPr>
          <w:rFonts w:ascii="Times New Roman" w:hAnsi="Times New Roman"/>
          <w:b w:val="0"/>
          <w:i w:val="0"/>
          <w:sz w:val="17"/>
        </w:rPr>
        <w:t>[3] A. C. Constantinou, N. E. Fenton, and M. Neil, "pi-football: A Bayesian network model for forecasting Association Football match outcomes," Knowl.-Based Syst., vol. 36, pp. 322–339, 2012.</w:t>
      </w:r>
    </w:p>
    <w:p>
      <w:pPr>
        <w:spacing w:line="276" w:lineRule="auto" w:before="0" w:after="40"/>
        <w:jc w:val="left"/>
      </w:pPr>
      <w:r>
        <w:rPr>
          <w:rFonts w:ascii="Times New Roman" w:hAnsi="Times New Roman"/>
          <w:b w:val="0"/>
          <w:i w:val="0"/>
          <w:sz w:val="17"/>
        </w:rPr>
        <w:t>[4] R. P. Bunker and R. Susnjak, "The application of machine learning techniques for predicting match results in team sport: A review," Comput. Sci. Rev., vol. 44, p. 100465, 2022.</w:t>
      </w:r>
    </w:p>
    <w:p>
      <w:pPr>
        <w:spacing w:line="276" w:lineRule="auto" w:before="0" w:after="40"/>
        <w:jc w:val="left"/>
      </w:pPr>
      <w:r>
        <w:rPr>
          <w:rFonts w:ascii="Times New Roman" w:hAnsi="Times New Roman"/>
          <w:b w:val="0"/>
          <w:i w:val="0"/>
          <w:sz w:val="17"/>
        </w:rPr>
        <w:t>[5] F. Pedregosa et al., "Scikit-learn: Machine Learning in Python," J. Mach. Learn. Res., vol. 12, pp. 2825–2830, 2011.</w:t>
      </w:r>
    </w:p>
    <w:p>
      <w:pPr>
        <w:spacing w:line="276" w:lineRule="auto" w:before="0" w:after="40"/>
        <w:jc w:val="left"/>
      </w:pPr>
      <w:r>
        <w:rPr>
          <w:rFonts w:ascii="Times New Roman" w:hAnsi="Times New Roman"/>
          <w:b w:val="0"/>
          <w:i w:val="0"/>
          <w:sz w:val="17"/>
        </w:rPr>
        <w:t>[6] J. H. Friedman, "Greedy function approximation: A gradient boosting machine," Ann. Statist., vol. 29, no. 5, pp. 1189–1232, 2001.</w:t>
      </w:r>
    </w:p>
    <w:p>
      <w:pPr>
        <w:spacing w:line="276" w:lineRule="auto" w:before="0" w:after="40"/>
        <w:jc w:val="left"/>
      </w:pPr>
      <w:r>
        <w:rPr>
          <w:rFonts w:ascii="Times New Roman" w:hAnsi="Times New Roman"/>
          <w:b w:val="0"/>
          <w:i w:val="0"/>
          <w:sz w:val="17"/>
        </w:rPr>
        <w:t>[7] E. Arntzen and B. Hvattum, "Predicting match outcomes in association football using expected goals," J. Sports Anal., vol. 7, no. 4, pp. 255–270, 2021.</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