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836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3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Naveed st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102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February 08,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February 27,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Jane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- Patient reports a 2-day history of fever, headache, sore throat, and fatigue. Reports a mild cough but denies difficulty breathing. Patient has been self-medicating with paracetamol with temporary relief of fever.</w:t>
        <w:br/>
        <w:t>- Patient reports a one-week history of stomach pain described as a burning sensation, primarily occurring after meals. Associated symptoms include bloating and mild nausea. Denies vomiting, hematochezia, or unintentional weight loss.</w:t>
        <w:br/>
        <w:t>- Patient reports headache, slight fever, and sore throat for the past two days. Also reports a mild cough and body aches, particularly at night. Over-the-counter pain relievers have provided minimal relief.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- panadol</w:t>
      </w:r>
    </w:p>
    <w:p>
      <w:pPr>
        <w:pStyle w:val="Heading2"/>
      </w:pPr>
      <w:r>
        <w:rPr>
          <w:color w:val="1A5490"/>
        </w:rPr>
        <w:t>ALLERGIES</w:t>
      </w:r>
    </w:p>
    <w:p>
      <w:r>
        <w:t>skin allergy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- Physical examination reveals a mild throat infection and a low-grade fever.</w:t>
        <w:br/>
        <w:t>- Abdominal examination reveals mild tenderness in the upper abdomen (epigastric region). No palpable masses or swelling noted.</w:t>
        <w:br/>
        <w:t>- Not documented</w:t>
      </w:r>
    </w:p>
    <w:p>
      <w:pPr>
        <w:pStyle w:val="Heading2"/>
      </w:pPr>
      <w:r>
        <w:rPr>
          <w:color w:val="1A5490"/>
        </w:rPr>
        <w:t>VITAL SIGNS</w:t>
      </w:r>
    </w:p>
    <w:p>
      <w:r>
        <w:t>BP: 120/80, HR: 90 bpm, RR: 11 /min, Temp: 35.0°F, O2 Sat: 98%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- Viral infection, likely viral pharyngitis.</w:t>
        <w:br/>
        <w:t>- Gastritis</w:t>
        <w:br/>
        <w:t>- Common viral illness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>- cjheck</w:t>
        <w:br/>
        <w:t>- annual</w:t>
        <w:br/>
        <w:t>- for headache</w:t>
        <w:br/>
        <w:t>- consultation</w:t>
        <w:br/>
        <w:t>- folllowup</w:t>
        <w:br/>
        <w:t>- checkup</w:t>
        <w:br/>
        <w:t>- headache checkup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A050 - Foodborne staphylococcal intoxication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A050 - Foodborne staphylococcal intoxication, G932 - Benign intracranial hypertension, G932 - Benign intracranial hypertension, G44001 - Cluster headache syndrome, unspecified, intractable, A663 - Hyperkeratosis of yaws, A663 - Hyperkeratosis of yaws, T45AX1A - Poisoning by immune checkpoint inhibitors and immunostimulant drugs, accidental (unintentional), initial, T45AX1A - Poisoning by immune checkpoint inhibitors and immunostimulant drugs, accidental (unintentional), initial, G43C0 - Periodic headache syndromes in child or adult, not intractable, G43C0 - Periodic headache syndromes in child or adult, not intractable, G43C0 - Periodic headache syndromes in child or adult, not intractable, G43C0 - Periodic headache syndromes in child or adult, not intractable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- lisinopril 10 mg once daily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- Prescribed medications for fever and throat pain. Recommended rest and increased fluid intake. Patient advised to follow up if fever persists or symptoms worsen. Expected recovery within 3-5 days.</w:t>
        <w:br/>
        <w:t>- Initiate acid-reducing medication. Patient advised to adhere to dietary modifications, specifically avoiding spicy and oily foods. Follow-up appointment scheduled in two weeks. Instructed to return sooner if symptoms exacerbate.</w:t>
        <w:br/>
        <w:t>- Prescribe medication for fever and aches. Advised rest and increased fluid intake. Patient should feel better in a couple of days. Instructed to return for re-evaluation if symptoms persist or worsen after one week.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7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Jane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February 27, 2026</w:t>
            </w:r>
          </w:p>
        </w:tc>
      </w:tr>
    </w:tbl>
    <w:p/>
    <w:p>
      <w:pPr>
        <w:pStyle w:val="Heading2"/>
      </w:pPr>
      <w:r>
        <w:t>Electronic Signatures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6_ed8084e166414ea5addf5b2739b9966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Jane Doe (Hospital Admin)</w:t>
      </w:r>
    </w:p>
    <w:p>
      <w:r>
        <w:t>Signed: March 02, 2026 at 12:22 PM</w:t>
      </w:r>
    </w:p>
    <w:p/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