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8366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xg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836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color w:val="1A5490"/>
        </w:rPr>
        <w:t>DISCHARGE SUMMARY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Hospital:</w:t>
            </w:r>
          </w:p>
        </w:tc>
        <w:tc>
          <w:tcPr>
            <w:tcW w:type="dxa" w:w="5040"/>
          </w:tcPr>
          <w:p>
            <w:r>
              <w:t>Gental City Hospital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5040"/>
          </w:tcPr>
          <w:p>
            <w:r>
              <w:t>Naveed st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Patient ID:</w:t>
            </w:r>
          </w:p>
        </w:tc>
        <w:tc>
          <w:tcPr>
            <w:tcW w:type="dxa" w:w="5040"/>
          </w:tcPr>
          <w:p>
            <w:r>
              <w:t>102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5040"/>
          </w:tcPr>
          <w:p>
            <w:r>
              <w:t>N/A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Admission Date:</w:t>
            </w:r>
          </w:p>
        </w:tc>
        <w:tc>
          <w:tcPr>
            <w:tcW w:type="dxa" w:w="5040"/>
          </w:tcPr>
          <w:p>
            <w:r>
              <w:t>February 08, 2026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Discharge Date:</w:t>
            </w:r>
          </w:p>
        </w:tc>
        <w:tc>
          <w:tcPr>
            <w:tcW w:type="dxa" w:w="5040"/>
          </w:tcPr>
          <w:p>
            <w:r>
              <w:t>February 27, 2026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Attending Physician:</w:t>
            </w:r>
          </w:p>
        </w:tc>
        <w:tc>
          <w:tcPr>
            <w:tcW w:type="dxa" w:w="5040"/>
          </w:tcPr>
          <w:p>
            <w:r>
              <w:t>Dr. Jane Doe</w:t>
            </w:r>
          </w:p>
        </w:tc>
      </w:tr>
    </w:tbl>
    <w:p/>
    <w:p>
      <w:pPr>
        <w:pStyle w:val="Heading2"/>
      </w:pPr>
      <w:r>
        <w:rPr>
          <w:color w:val="1A5490"/>
        </w:rPr>
        <w:t>CHIEF COMPLAINT</w:t>
      </w:r>
    </w:p>
    <w:p>
      <w:r>
        <w:t>Not documented</w:t>
      </w:r>
    </w:p>
    <w:p>
      <w:pPr>
        <w:pStyle w:val="Heading2"/>
      </w:pPr>
      <w:r>
        <w:rPr>
          <w:color w:val="1A5490"/>
        </w:rPr>
        <w:t>HISTORY OF PRESENT ILLNESS</w:t>
      </w:r>
    </w:p>
    <w:p>
      <w:r>
        <w:t>- Patient reports a 2-day history of fever, headache, sore throat, and fatigue. Reports a mild cough but denies difficulty breathing. Patient has been self-medicating with paracetamol with temporary relief of fever.</w:t>
        <w:br/>
        <w:t>- Patient reports a one-week history of stomach pain described as a burning sensation, primarily occurring after meals. Associated symptoms include bloating and mild nausea. Denies vomiting, hematochezia, or unintentional weight loss.</w:t>
        <w:br/>
        <w:t>- Patient reports headache, slight fever, and sore throat for the past two days. Also reports a mild cough and body aches, particularly at night. Over-the-counter pain relievers have provided minimal relief.</w:t>
      </w:r>
    </w:p>
    <w:p>
      <w:pPr>
        <w:pStyle w:val="Heading2"/>
      </w:pPr>
      <w:r>
        <w:rPr>
          <w:color w:val="1A5490"/>
        </w:rPr>
        <w:t>PAST MEDICAL HISTORY</w:t>
      </w:r>
    </w:p>
    <w:p>
      <w:r>
        <w:t>Not documented</w:t>
      </w:r>
    </w:p>
    <w:p>
      <w:pPr>
        <w:pStyle w:val="Heading2"/>
      </w:pPr>
      <w:r>
        <w:rPr>
          <w:color w:val="1A5490"/>
        </w:rPr>
        <w:t>MEDICATIONS ON ADMISSION</w:t>
      </w:r>
    </w:p>
    <w:p>
      <w:r>
        <w:t>- panadol</w:t>
      </w:r>
    </w:p>
    <w:p>
      <w:pPr>
        <w:pStyle w:val="Heading2"/>
      </w:pPr>
      <w:r>
        <w:rPr>
          <w:color w:val="1A5490"/>
        </w:rPr>
        <w:t>ALLERGIES</w:t>
      </w:r>
    </w:p>
    <w:p>
      <w:r>
        <w:t>skin allergy</w:t>
      </w:r>
    </w:p>
    <w:p>
      <w:pPr>
        <w:pStyle w:val="Heading2"/>
      </w:pPr>
      <w:r>
        <w:rPr>
          <w:color w:val="1A5490"/>
        </w:rPr>
        <w:t>PHYSICAL EXAMINATION</w:t>
      </w:r>
    </w:p>
    <w:p>
      <w:r>
        <w:t>- Physical examination reveals a mild throat infection and a low-grade fever.</w:t>
        <w:br/>
        <w:t>- Abdominal examination reveals mild tenderness in the upper abdomen (epigastric region). No palpable masses or swelling noted.</w:t>
        <w:br/>
        <w:t>- Not documented</w:t>
      </w:r>
    </w:p>
    <w:p>
      <w:pPr>
        <w:pStyle w:val="Heading2"/>
      </w:pPr>
      <w:r>
        <w:rPr>
          <w:color w:val="1A5490"/>
        </w:rPr>
        <w:t>VITAL SIGNS</w:t>
      </w:r>
    </w:p>
    <w:p>
      <w:r>
        <w:t>BP: 120/80, HR: 90 bpm, RR: 11 /min, Temp: 35.0°F, O2 Sat: 98%</w:t>
      </w:r>
    </w:p>
    <w:p>
      <w:pPr>
        <w:pStyle w:val="Heading2"/>
      </w:pPr>
      <w:r>
        <w:rPr>
          <w:color w:val="1A5490"/>
        </w:rPr>
        <w:t>HOSPITAL COURSE</w:t>
      </w:r>
    </w:p>
    <w:p>
      <w:r>
        <w:t>- Viral infection, likely viral pharyngitis.</w:t>
        <w:br/>
        <w:t>- Gastritis</w:t>
        <w:br/>
        <w:t>- Common viral illness</w:t>
      </w:r>
    </w:p>
    <w:p>
      <w:pPr>
        <w:pStyle w:val="Heading2"/>
      </w:pPr>
      <w:r>
        <w:rPr>
          <w:color w:val="1A5490"/>
        </w:rPr>
        <w:t>PROCEDURES PERFORMED</w:t>
      </w:r>
    </w:p>
    <w:p>
      <w:r>
        <w:t>- cjheck</w:t>
        <w:br/>
        <w:t>- annual</w:t>
        <w:br/>
        <w:t>- for headache</w:t>
        <w:br/>
        <w:t>- consultation</w:t>
        <w:br/>
        <w:t>- folllowup</w:t>
        <w:br/>
        <w:t>- checkup</w:t>
        <w:br/>
        <w:t>- headache checkup</w:t>
      </w:r>
    </w:p>
    <w:p>
      <w:pPr>
        <w:pStyle w:val="Heading2"/>
      </w:pPr>
      <w:r>
        <w:rPr>
          <w:color w:val="1A5490"/>
        </w:rPr>
        <w:t>LABORATORY RESULTS</w:t>
      </w:r>
    </w:p>
    <w:p>
      <w:r>
        <w:t>No lab results available</w:t>
      </w:r>
    </w:p>
    <w:p>
      <w:pPr>
        <w:pStyle w:val="Heading2"/>
      </w:pPr>
      <w:r>
        <w:rPr>
          <w:color w:val="1A5490"/>
        </w:rPr>
        <w:t>PRIMARY DIAGNOSIS</w:t>
      </w:r>
    </w:p>
    <w:p>
      <w:r>
        <w:t>A050 - Foodborne staphylococcal intoxication</w:t>
      </w:r>
    </w:p>
    <w:p>
      <w:pPr>
        <w:pStyle w:val="Heading2"/>
      </w:pPr>
      <w:r>
        <w:rPr>
          <w:color w:val="1A5490"/>
        </w:rPr>
        <w:t>SECONDARY DIAGNOSIS</w:t>
      </w:r>
    </w:p>
    <w:p>
      <w:r>
        <w:t>A050 - Foodborne staphylococcal intoxication, G932 - Benign intracranial hypertension, G932 - Benign intracranial hypertension, G44001 - Cluster headache syndrome, unspecified, intractable, A663 - Hyperkeratosis of yaws, A663 - Hyperkeratosis of yaws, T45AX1A - Poisoning by immune checkpoint inhibitors and immunostimulant drugs, accidental (unintentional), initial, T45AX1A - Poisoning by immune checkpoint inhibitors and immunostimulant drugs, accidental (unintentional), initial, G43C0 - Periodic headache syndromes in child or adult, not intractable, G43C0 - Periodic headache syndromes in child or adult, not intractable, G43C0 - Periodic headache syndromes in child or adult, not intractable, G43C0 - Periodic headache syndromes in child or adult, not intractable</w:t>
      </w:r>
    </w:p>
    <w:p>
      <w:pPr>
        <w:pStyle w:val="Heading2"/>
      </w:pPr>
      <w:r>
        <w:rPr>
          <w:color w:val="1A5490"/>
        </w:rPr>
        <w:t>CONDITION ON DISCHARGE</w:t>
      </w:r>
    </w:p>
    <w:p>
      <w:r>
        <w:t>Stable</w:t>
      </w:r>
    </w:p>
    <w:p>
      <w:pPr>
        <w:pStyle w:val="Heading2"/>
      </w:pPr>
      <w:r>
        <w:rPr>
          <w:color w:val="1A5490"/>
        </w:rPr>
        <w:t>DISCHARGE MEDICATIONS</w:t>
      </w:r>
    </w:p>
    <w:p>
      <w:r>
        <w:t>- lisinopril 10 mg once daily</w:t>
      </w:r>
    </w:p>
    <w:p>
      <w:pPr>
        <w:pStyle w:val="Heading2"/>
      </w:pPr>
      <w:r>
        <w:rPr>
          <w:color w:val="1A5490"/>
        </w:rPr>
        <w:t>DISCHARGE INSTRUCTIONS</w:t>
      </w:r>
    </w:p>
    <w:p>
      <w:r>
        <w:t>- Prescribed medications for fever and throat pain. Recommended rest and increased fluid intake. Patient advised to follow up if fever persists or symptoms worsen. Expected recovery within 3-5 days.</w:t>
        <w:br/>
        <w:t>- Initiate acid-reducing medication. Patient advised to adhere to dietary modifications, specifically avoiding spicy and oily foods. Follow-up appointment scheduled in two weeks. Instructed to return sooner if symptoms exacerbate.</w:t>
        <w:br/>
        <w:t>- Prescribe medication for fever and aches. Advised rest and increased fluid intake. Patient should feel better in a couple of days. Instructed to return for re-evaluation if symptoms persist or worsen after one week.</w:t>
      </w:r>
    </w:p>
    <w:p>
      <w:pPr>
        <w:pStyle w:val="Heading2"/>
      </w:pPr>
      <w:r>
        <w:rPr>
          <w:color w:val="1A5490"/>
        </w:rPr>
        <w:t>FOLLOW-UP INSTRUCTIONS</w:t>
      </w:r>
    </w:p>
    <w:p>
      <w:r>
        <w:t>Follow up with primary care physician in 1-2 weeks or as directed</w:t>
      </w:r>
    </w:p>
    <w:p>
      <w:pPr>
        <w:pStyle w:val="Heading2"/>
      </w:pPr>
      <w:r>
        <w:rPr>
          <w:color w:val="1A5490"/>
        </w:rPr>
        <w:t>DIET INSTRUCTIONS</w:t>
      </w:r>
    </w:p>
    <w:p>
      <w:r>
        <w:t>Regular diet as tolerated</w:t>
      </w:r>
    </w:p>
    <w:p>
      <w:pPr>
        <w:pStyle w:val="Heading2"/>
      </w:pPr>
      <w:r>
        <w:rPr>
          <w:color w:val="1A5490"/>
        </w:rPr>
        <w:t>ACTIVITY RESTRICTIONS</w:t>
      </w:r>
    </w:p>
    <w:p>
      <w:r>
        <w:t>Resume normal activities as tolerated</w:t>
      </w:r>
    </w:p>
    <w:p>
      <w:pPr>
        <w:pStyle w:val="Heading2"/>
      </w:pPr>
      <w:r>
        <w:rPr>
          <w:color w:val="1A5490"/>
        </w:rPr>
        <w:t>COMPLICATIONS</w:t>
      </w:r>
    </w:p>
    <w:p>
      <w:r>
        <w:t>None documented</w:t>
      </w:r>
    </w:p>
    <w:p>
      <w:pPr>
        <w:pStyle w:val="Heading2"/>
      </w:pPr>
      <w:r>
        <w:rPr>
          <w:color w:val="1A5490"/>
        </w:rPr>
        <w:t>CONSULTATIONS</w:t>
      </w:r>
    </w:p>
    <w:p>
      <w:r>
        <w:t>None documented</w:t>
      </w:r>
    </w:p>
    <w:p>
      <w:pPr>
        <w:pStyle w:val="Heading2"/>
      </w:pPr>
      <w:r>
        <w:rPr>
          <w:color w:val="1A5490"/>
        </w:rPr>
        <w:t>ADDITIONAL NOTES</w:t>
      </w:r>
    </w:p>
    <w:p>
      <w:r>
        <w:t>Total appointments during admission: 7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jc w:val="center"/>
            </w:pPr>
            <w:r>
              <w:t>________________________________________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________________________________________</w:t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t>Dr. Jane Doe</w:t>
              <w:br/>
              <w:t>Attending Physician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Date: February 27, 2026</w:t>
            </w:r>
          </w:p>
        </w:tc>
      </w:tr>
    </w:tbl>
    <w:sectPr w:rsidR="00FC693F" w:rsidRPr="0006063C" w:rsidSect="00034616">
      <w:pgSz w:w="12240" w:h="15840"/>
      <w:pgMar w:top="144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