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490"/>
        </w:rPr>
        <w:t>DISCHARGE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Hospital:</w:t>
            </w:r>
          </w:p>
        </w:tc>
        <w:tc>
          <w:tcPr>
            <w:tcW w:type="dxa" w:w="5040"/>
          </w:tcPr>
          <w:p>
            <w:r>
              <w:t>Gental City Hospital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5040"/>
          </w:tcPr>
          <w:p>
            <w:r>
              <w:t>Marcus Client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Patient ID:</w:t>
            </w:r>
          </w:p>
        </w:tc>
        <w:tc>
          <w:tcPr>
            <w:tcW w:type="dxa" w:w="5040"/>
          </w:tcPr>
          <w:p>
            <w:r>
              <w:t>14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5040"/>
          </w:tcPr>
          <w:p>
            <w:r>
              <w:t>N/A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Admission Date:</w:t>
            </w:r>
          </w:p>
        </w:tc>
        <w:tc>
          <w:tcPr>
            <w:tcW w:type="dxa" w:w="5040"/>
          </w:tcPr>
          <w:p>
            <w:r>
              <w:t>August 20,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Discharge Date:</w:t>
            </w:r>
          </w:p>
        </w:tc>
        <w:tc>
          <w:tcPr>
            <w:tcW w:type="dxa" w:w="5040"/>
          </w:tcPr>
          <w:p>
            <w:r>
              <w:t>October 16, 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Attending Physician:</w:t>
            </w:r>
          </w:p>
        </w:tc>
        <w:tc>
          <w:tcPr>
            <w:tcW w:type="dxa" w:w="5040"/>
          </w:tcPr>
          <w:p>
            <w:r>
              <w:t>Dr. John Doe</w:t>
            </w:r>
          </w:p>
        </w:tc>
      </w:tr>
    </w:tbl>
    <w:p/>
    <w:p>
      <w:pPr>
        <w:pStyle w:val="Heading2"/>
      </w:pPr>
      <w:r>
        <w:rPr>
          <w:color w:val="1A5490"/>
        </w:rPr>
        <w:t>CHIEF COMPLAINT</w:t>
      </w:r>
    </w:p>
    <w:p>
      <w:r>
        <w:t>Not documented</w:t>
      </w:r>
    </w:p>
    <w:p>
      <w:pPr>
        <w:pStyle w:val="Heading2"/>
      </w:pPr>
      <w:r>
        <w:rPr>
          <w:color w:val="1A5490"/>
        </w:rPr>
        <w:t>HISTORY OF PRESENT ILLNESS</w:t>
      </w:r>
    </w:p>
    <w:p>
      <w:r>
        <w:t>- Patient reports stomach pain for one week, described as a burning sensation, mostly after meals. Patient also reports bloating and mild nausea. Denies vomiting, blood in stool, or weight loss.</w:t>
        <w:br/>
        <w:t>- Patient reports stomach pain for one week, described as a burning sensation after meals, accompanied by bloating and mild nausea. Denies vomiting, blood in stool, or weight loss.</w:t>
        <w:br/>
        <w:t>- Patient reports stomach pain for the past week, described as a burning sensation, mostly after meals. Also reports bloating and mild nausea. Denies vomiting, blood in stool, and weight loss.</w:t>
        <w:br/>
        <w:t>- Patient reports stomach pain for one week, described as a burning sensation, mostly after meals. Also reports bloating and mild nausea. Denies vomiting, blood in stool, or weight loss.</w:t>
      </w:r>
    </w:p>
    <w:p>
      <w:pPr>
        <w:pStyle w:val="Heading2"/>
      </w:pPr>
      <w:r>
        <w:rPr>
          <w:color w:val="1A5490"/>
        </w:rPr>
        <w:t>PAST MEDICAL HISTORY</w:t>
      </w:r>
    </w:p>
    <w:p>
      <w:r>
        <w:t>Cholecystectomy (gallbladder removal, 2012), Childhood Asthma</w:t>
      </w:r>
    </w:p>
    <w:p>
      <w:pPr>
        <w:pStyle w:val="Heading2"/>
      </w:pPr>
      <w:r>
        <w:rPr>
          <w:color w:val="1A5490"/>
        </w:rPr>
        <w:t>MEDICATIONS ON ADMISSION</w:t>
      </w:r>
    </w:p>
    <w:p>
      <w:r>
        <w:t>- sadness</w:t>
        <w:br/>
        <w:t>- sick</w:t>
      </w:r>
    </w:p>
    <w:p>
      <w:pPr>
        <w:pStyle w:val="Heading2"/>
      </w:pPr>
      <w:r>
        <w:rPr>
          <w:color w:val="1A5490"/>
        </w:rPr>
        <w:t>ALLERGIES</w:t>
      </w:r>
    </w:p>
    <w:p>
      <w:r>
        <w:t>Penicillin, Aspirin, Seasonal Pollen</w:t>
      </w:r>
    </w:p>
    <w:p>
      <w:pPr>
        <w:pStyle w:val="Heading2"/>
      </w:pPr>
      <w:r>
        <w:rPr>
          <w:color w:val="1A5490"/>
        </w:rPr>
        <w:t>PHYSICAL EXAMINATION</w:t>
      </w:r>
    </w:p>
    <w:p>
      <w:r>
        <w:t>- Abdominal exam reveals mild tenderness in the upper abdomen, no swelling or masses noted.</w:t>
        <w:br/>
        <w:t>- Abdominal exam reveals mild tenderness in the upper abdomen. No swelling or masses detected.</w:t>
        <w:br/>
        <w:t>- Abdominal exam reveals mild tenderness in the upper abdomen. No swelling or masses palpated.</w:t>
        <w:br/>
        <w:t>- Abdominal exam reveals mild tenderness in the upper abdomen; no swelling or masses noted.</w:t>
      </w:r>
    </w:p>
    <w:p>
      <w:pPr>
        <w:pStyle w:val="Heading2"/>
      </w:pPr>
      <w:r>
        <w:rPr>
          <w:color w:val="1A5490"/>
        </w:rPr>
        <w:t>VITAL SIGNS</w:t>
      </w:r>
    </w:p>
    <w:p>
      <w:r>
        <w:t>BP: 122/78, HR: 68 bpm, RR: 16 /min, Temp: 98.2°F, O2 Sat: 99%</w:t>
      </w:r>
    </w:p>
    <w:p>
      <w:pPr>
        <w:pStyle w:val="Heading2"/>
      </w:pPr>
      <w:r>
        <w:rPr>
          <w:color w:val="1A5490"/>
        </w:rPr>
        <w:t>HOSPITAL COURSE</w:t>
      </w:r>
    </w:p>
    <w:p>
      <w:r>
        <w:t>- Gastritis</w:t>
        <w:br/>
        <w:t>- Gastritis</w:t>
        <w:br/>
        <w:t>- Gastritis</w:t>
        <w:br/>
        <w:t>- Gastritis</w:t>
      </w:r>
    </w:p>
    <w:p>
      <w:pPr>
        <w:pStyle w:val="Heading2"/>
      </w:pPr>
      <w:r>
        <w:rPr>
          <w:color w:val="1A5490"/>
        </w:rPr>
        <w:t>PROCEDURES PERFORMED</w:t>
      </w:r>
    </w:p>
    <w:p>
      <w:r>
        <w:t xml:space="preserve">- illness </w:t>
        <w:br/>
        <w:t>- sadness, depression, gaming pc</w:t>
        <w:br/>
        <w:t>- main reason is reason</w:t>
        <w:br/>
        <w:t>- main reason is this</w:t>
        <w:br/>
        <w:t>- i am bad</w:t>
        <w:br/>
        <w:t>- i need to talk to you about the next friday.</w:t>
        <w:br/>
        <w:t>- eye infection</w:t>
        <w:br/>
        <w:t>- d</w:t>
        <w:br/>
        <w:t>- i have eye sight issue</w:t>
        <w:br/>
        <w:t>- i have eye sight issue</w:t>
        <w:br/>
        <w:t>- i have eye sight issue</w:t>
        <w:br/>
        <w:t>- i have eye sight issue</w:t>
        <w:br/>
        <w:t>- i have eye sight issue</w:t>
        <w:br/>
        <w:t>- fasdasdasdasd</w:t>
        <w:br/>
        <w:t>- i want to to die</w:t>
      </w:r>
    </w:p>
    <w:p>
      <w:pPr>
        <w:pStyle w:val="Heading2"/>
      </w:pPr>
      <w:r>
        <w:rPr>
          <w:color w:val="1A5490"/>
        </w:rPr>
        <w:t>LABORATORY RESULTS</w:t>
      </w:r>
    </w:p>
    <w:p>
      <w:r>
        <w:t>No lab results available</w:t>
      </w:r>
    </w:p>
    <w:p>
      <w:pPr>
        <w:pStyle w:val="Heading2"/>
      </w:pPr>
      <w:r>
        <w:rPr>
          <w:color w:val="1A5490"/>
        </w:rPr>
        <w:t>PRIMARY DIAGNOSIS</w:t>
      </w:r>
    </w:p>
    <w:p>
      <w:r>
        <w:t>A021 - Salmonella sepsis</w:t>
      </w:r>
    </w:p>
    <w:p>
      <w:pPr>
        <w:pStyle w:val="Heading2"/>
      </w:pPr>
      <w:r>
        <w:rPr>
          <w:color w:val="1A5490"/>
        </w:rPr>
        <w:t>SECONDARY DIAGNOSIS</w:t>
      </w:r>
    </w:p>
    <w:p>
      <w:r>
        <w:t>None</w:t>
      </w:r>
    </w:p>
    <w:p>
      <w:pPr>
        <w:pStyle w:val="Heading2"/>
      </w:pPr>
      <w:r>
        <w:rPr>
          <w:color w:val="1A5490"/>
        </w:rPr>
        <w:t>CONDITION ON DISCHARGE</w:t>
      </w:r>
    </w:p>
    <w:p>
      <w:r>
        <w:t>Stable</w:t>
      </w:r>
    </w:p>
    <w:p>
      <w:pPr>
        <w:pStyle w:val="Heading2"/>
      </w:pPr>
      <w:r>
        <w:rPr>
          <w:color w:val="1A5490"/>
        </w:rPr>
        <w:t>DISCHARGE MEDICATIONS</w:t>
      </w:r>
    </w:p>
    <w:p>
      <w:r>
        <w:t>No medications prescribed</w:t>
      </w:r>
    </w:p>
    <w:p>
      <w:pPr>
        <w:pStyle w:val="Heading2"/>
      </w:pPr>
      <w:r>
        <w:rPr>
          <w:color w:val="1A5490"/>
        </w:rPr>
        <w:t>DISCHARGE INSTRUCTIONS</w:t>
      </w:r>
    </w:p>
    <w:p>
      <w:r>
        <w:t>- Start patient on acid-reducing medication. Advise patient to avoid spicy and oily food. Review in two weeks, or sooner if symptoms worsen.</w:t>
        <w:br/>
        <w:t>- Start acid-reducing medication. Advise patient to avoid spicy and oily foods. Review in two weeks; return earlier if symptoms worsen.</w:t>
        <w:br/>
        <w:t>- Start acid-reducing medication. Advise patient to avoid spicy and oily foods. Follow-up in two weeks. Advise patient to return earlier if symptoms worsen.</w:t>
        <w:br/>
        <w:t>- Start patient on acid-reducing medication. Advise patient to avoid spicy and oily foods. Follow-up in two weeks. Instruct patient to return earlier if symptoms worsen.</w:t>
      </w:r>
    </w:p>
    <w:p>
      <w:pPr>
        <w:pStyle w:val="Heading2"/>
      </w:pPr>
      <w:r>
        <w:rPr>
          <w:color w:val="1A5490"/>
        </w:rPr>
        <w:t>FOLLOW-UP INSTRUCTIONS</w:t>
      </w:r>
    </w:p>
    <w:p>
      <w:r>
        <w:t>Follow up with primary care physician in 1-2 weeks or as directed</w:t>
      </w:r>
    </w:p>
    <w:p>
      <w:pPr>
        <w:pStyle w:val="Heading2"/>
      </w:pPr>
      <w:r>
        <w:rPr>
          <w:color w:val="1A5490"/>
        </w:rPr>
        <w:t>DIET INSTRUCTIONS</w:t>
      </w:r>
    </w:p>
    <w:p>
      <w:r>
        <w:t>Regular diet as tolerated</w:t>
      </w:r>
    </w:p>
    <w:p>
      <w:pPr>
        <w:pStyle w:val="Heading2"/>
      </w:pPr>
      <w:r>
        <w:rPr>
          <w:color w:val="1A5490"/>
        </w:rPr>
        <w:t>ACTIVITY RESTRICTIONS</w:t>
      </w:r>
    </w:p>
    <w:p>
      <w:r>
        <w:t>Resume normal activities as tolerated</w:t>
      </w:r>
    </w:p>
    <w:p>
      <w:pPr>
        <w:pStyle w:val="Heading2"/>
      </w:pPr>
      <w:r>
        <w:rPr>
          <w:color w:val="1A5490"/>
        </w:rPr>
        <w:t>COMPLICATIONS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CONSULTATIONS</w:t>
      </w:r>
    </w:p>
    <w:p>
      <w:r>
        <w:t>None documented</w:t>
      </w:r>
    </w:p>
    <w:p>
      <w:pPr>
        <w:pStyle w:val="Heading2"/>
      </w:pPr>
      <w:r>
        <w:rPr>
          <w:color w:val="1A5490"/>
        </w:rPr>
        <w:t>ADDITIONAL NOTES</w:t>
      </w:r>
    </w:p>
    <w:p>
      <w:r>
        <w:t>Total appointments during admission: 15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t>Dr. John Doe</w:t>
              <w:br/>
              <w:t>Attending Physician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Date: October 16, 2025</w:t>
            </w:r>
          </w:p>
        </w:tc>
      </w:tr>
    </w:tbl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