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drawing>
          <wp:inline distT="0" distB="0" distL="0" distR="0">
            <wp:extent cx="24765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742950"/>
                    </a:xfrm>
                    <a:prstGeom prst="rect">
                      <a:avLst/>
                    </a:prstGeom>
                  </pic:spPr>
                </pic:pic>
              </a:graphicData>
            </a:graphic>
          </wp:inline>
        </w:drawing>
      </w:r>
    </w:p>
    <w:p>
      <w:pPr>
        <w:spacing w:after="700" w:before="400"/>
        <w:jc w:val="center"/>
      </w:pPr>
      <w:r>
        <w:rPr>
          <w:rFonts w:ascii="Calibri" w:cs="Calibri" w:eastAsia="Calibri" w:hAnsi="Calibri"/>
          <w:b/>
          <w:bCs/>
          <w:color w:val="1F2937"/>
          <w:sz w:val="32"/>
          <w:szCs w:val="32"/>
        </w:rPr>
        <w:t xml:space="preserve">AQI Forecast MLOps Documentation &amp; Implementation</w:t>
      </w:r>
    </w:p>
    <w:p>
      <w:pPr>
        <w:spacing w:after="60"/>
        <w:jc w:val="center"/>
      </w:pPr>
      <w:r>
        <w:rPr>
          <w:rFonts w:ascii="Calibri" w:cs="Calibri" w:eastAsia="Calibri" w:hAnsi="Calibri"/>
          <w:color w:val="555555"/>
          <w:sz w:val="21"/>
          <w:szCs w:val="21"/>
        </w:rPr>
        <w:t xml:space="preserve">Submitted By</w:t>
      </w:r>
    </w:p>
    <w:p>
      <w:pPr>
        <w:spacing w:after="900"/>
        <w:jc w:val="center"/>
      </w:pPr>
      <w:r>
        <w:rPr>
          <w:rFonts w:ascii="Calibri" w:cs="Calibri" w:eastAsia="Calibri" w:hAnsi="Calibri"/>
          <w:b/>
          <w:bCs/>
          <w:sz w:val="23"/>
          <w:szCs w:val="23"/>
        </w:rPr>
        <w:t xml:space="preserve">Name: Naveed Jokhio</w:t>
      </w:r>
    </w:p>
    <w:p>
      <w:pPr>
        <w:spacing w:after="900"/>
        <w:jc w:val="center"/>
      </w:pPr>
      <w:r>
        <w:rPr>
          <w:rFonts w:ascii="Calibri" w:cs="Calibri" w:eastAsia="Calibri" w:hAnsi="Calibri"/>
          <w:color w:val="555555"/>
          <w:sz w:val="20"/>
          <w:szCs w:val="20"/>
        </w:rPr>
        <w:t xml:space="preserve">Live Dashboard:  </w:t>
      </w:r>
      <w:r>
        <w:rPr>
          <w:rFonts w:ascii="Calibri" w:cs="Calibri" w:eastAsia="Calibri" w:hAnsi="Calibri"/>
          <w:color w:val="2563EB"/>
          <w:sz w:val="20"/>
          <w:szCs w:val="20"/>
          <w:u w:val="single"/>
        </w:rPr>
        <w:t xml:space="preserve">aqi-predictor-dashboard-444682761540.asia-south1.run.app</w:t>
      </w:r>
    </w:p>
    <w:p>
      <w:pPr>
        <w:spacing w:after="40" w:before="1200"/>
        <w:jc w:val="right"/>
      </w:pPr>
      <w:r>
        <w:rPr>
          <w:rFonts w:ascii="Calibri" w:cs="Calibri" w:eastAsia="Calibri" w:hAnsi="Calibri"/>
          <w:color w:val="555555"/>
          <w:sz w:val="19"/>
          <w:szCs w:val="19"/>
        </w:rPr>
        <w:t xml:space="preserve">Submission Date: 02/09/2026</w:t>
      </w:r>
    </w:p>
    <w:p>
      <w:pPr>
        <w:jc w:val="right"/>
      </w:pPr>
      <w:r>
        <w:rPr>
          <w:rFonts w:ascii="Calibri" w:cs="Calibri" w:eastAsia="Calibri" w:hAnsi="Calibri"/>
          <w:color w:val="555555"/>
          <w:sz w:val="19"/>
          <w:szCs w:val="19"/>
        </w:rPr>
        <w:t xml:space="preserve">Academic Session: 6th</w:t>
      </w:r>
    </w:p>
    <w:p>
      <w:pPr>
        <w:sectPr>
          <w:pgSz w:w="12240" w:h="15840" w:orient="portrait"/>
          <w:pgMar w:top="1080" w:right="1080" w:bottom="1080" w:left="1080" w:header="708" w:footer="708" w:gutter="0"/>
          <w:pgNumType/>
          <w:docGrid w:linePitch="360"/>
        </w:sectPr>
      </w:pPr>
    </w:p>
    <w:p>
      <w:pPr>
        <w:pStyle w:val="Heading1"/>
        <w:pBdr>
          <w:bottom w:val="single" w:color="1F2937" w:sz="8" w:space="4"/>
        </w:pBdr>
        <w:spacing w:after="200" w:before="400"/>
      </w:pPr>
      <w:r>
        <w:rPr>
          <w:rFonts w:ascii="Calibri" w:cs="Calibri" w:eastAsia="Calibri" w:hAnsi="Calibri"/>
          <w:b/>
          <w:bCs/>
          <w:color w:val="2563EB"/>
          <w:sz w:val="30"/>
          <w:szCs w:val="30"/>
        </w:rPr>
        <w:t xml:space="preserve"/>
      </w:r>
      <w:r>
        <w:rPr>
          <w:rFonts w:ascii="Calibri" w:cs="Calibri" w:eastAsia="Calibri" w:hAnsi="Calibri"/>
          <w:b/>
          <w:bCs/>
          <w:color w:val="1F2937"/>
          <w:sz w:val="30"/>
          <w:szCs w:val="30"/>
        </w:rPr>
        <w:t xml:space="preserve">Table of Contents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8680"/>
        <w:gridCol w:w="700"/>
      </w:tblGrid>
      <w:tr>
        <w:tc>
          <w:tcPr>
            <w:tcW w:type="dxa" w:w="700"/>
            <w:tcMar>
              <w:top w:type="dxa" w:w="40"/>
              <w:left w:type="dxa" w:w="0"/>
              <w:bottom w:type="dxa" w:w="40"/>
              <w:right w:type="dxa" w:w="0"/>
            </w:tcMar>
          </w:tcPr>
          <w:p>
            <w:r>
              <w:rPr>
                <w:rFonts w:ascii="Calibri" w:cs="Calibri" w:eastAsia="Calibri" w:hAnsi="Calibri"/>
                <w:b/>
                <w:bCs/>
                <w:color w:val="1F2937"/>
                <w:sz w:val="21"/>
                <w:szCs w:val="21"/>
              </w:rPr>
              <w:t xml:space="preserve">0.0</w:t>
            </w:r>
          </w:p>
        </w:tc>
        <w:tc>
          <w:tcPr>
            <w:tcW w:type="dxa" w:w="8680"/>
            <w:tcMar>
              <w:top w:type="dxa" w:w="40"/>
              <w:left w:type="dxa" w:w="0"/>
              <w:bottom w:type="dxa" w:w="40"/>
              <w:right w:type="dxa" w:w="0"/>
            </w:tcMar>
          </w:tcPr>
          <w:p>
            <w:pPr>
              <w:tabs>
                <w:tab w:val="right" w:pos="8660" w:leader="dot"/>
              </w:tabs>
            </w:pPr>
            <w:r>
              <w:rPr>
                <w:rFonts w:ascii="Calibri" w:cs="Calibri" w:eastAsia="Calibri" w:hAnsi="Calibri"/>
                <w:sz w:val="21"/>
                <w:szCs w:val="21"/>
              </w:rPr>
              <w:t xml:space="preserve">Executive Summary	</w:t>
            </w:r>
          </w:p>
        </w:tc>
        <w:tc>
          <w:tcPr>
            <w:tcW w:type="dxa" w:w="700"/>
            <w:tcMar>
              <w:top w:type="dxa" w:w="40"/>
              <w:left w:type="dxa" w:w="0"/>
              <w:bottom w:type="dxa" w:w="40"/>
              <w:right w:type="dxa" w:w="0"/>
            </w:tcMar>
          </w:tcPr>
          <w:p>
            <w:pPr>
              <w:jc w:val="right"/>
            </w:pPr>
            <w:r>
              <w:rPr>
                <w:rFonts w:ascii="Calibri" w:cs="Calibri" w:eastAsia="Calibri" w:hAnsi="Calibri"/>
                <w:sz w:val="21"/>
                <w:szCs w:val="21"/>
              </w:rPr>
              <w:t xml:space="preserve">03</w:t>
            </w:r>
          </w:p>
        </w:tc>
      </w:tr>
    </w:tbl>
    <w:p>
      <w:pPr>
        <w:spacing w:after="1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8680"/>
        <w:gridCol w:w="700"/>
      </w:tblGrid>
      <w:tr>
        <w:tc>
          <w:tcPr>
            <w:tcW w:type="dxa" w:w="700"/>
            <w:tcMar>
              <w:top w:type="dxa" w:w="40"/>
              <w:left w:type="dxa" w:w="0"/>
              <w:bottom w:type="dxa" w:w="40"/>
              <w:right w:type="dxa" w:w="0"/>
            </w:tcMar>
          </w:tcPr>
          <w:p>
            <w:r>
              <w:rPr>
                <w:rFonts w:ascii="Calibri" w:cs="Calibri" w:eastAsia="Calibri" w:hAnsi="Calibri"/>
                <w:b/>
                <w:bCs/>
                <w:color w:val="1F2937"/>
                <w:sz w:val="21"/>
                <w:szCs w:val="21"/>
              </w:rPr>
              <w:t xml:space="preserve">1.0</w:t>
            </w:r>
          </w:p>
        </w:tc>
        <w:tc>
          <w:tcPr>
            <w:tcW w:type="dxa" w:w="8680"/>
            <w:tcMar>
              <w:top w:type="dxa" w:w="40"/>
              <w:left w:type="dxa" w:w="0"/>
              <w:bottom w:type="dxa" w:w="40"/>
              <w:right w:type="dxa" w:w="0"/>
            </w:tcMar>
          </w:tcPr>
          <w:p>
            <w:pPr>
              <w:tabs>
                <w:tab w:val="right" w:pos="8660" w:leader="dot"/>
              </w:tabs>
            </w:pPr>
            <w:r>
              <w:rPr>
                <w:rFonts w:ascii="Calibri" w:cs="Calibri" w:eastAsia="Calibri" w:hAnsi="Calibri"/>
                <w:sz w:val="21"/>
                <w:szCs w:val="21"/>
              </w:rPr>
              <w:t xml:space="preserve">Problem &amp; Solution Engineering	</w:t>
            </w:r>
          </w:p>
        </w:tc>
        <w:tc>
          <w:tcPr>
            <w:tcW w:type="dxa" w:w="700"/>
            <w:tcMar>
              <w:top w:type="dxa" w:w="40"/>
              <w:left w:type="dxa" w:w="0"/>
              <w:bottom w:type="dxa" w:w="40"/>
              <w:right w:type="dxa" w:w="0"/>
            </w:tcMar>
          </w:tcPr>
          <w:p>
            <w:pPr>
              <w:jc w:val="right"/>
            </w:pPr>
            <w:r>
              <w:rPr>
                <w:rFonts w:ascii="Calibri" w:cs="Calibri" w:eastAsia="Calibri" w:hAnsi="Calibri"/>
                <w:sz w:val="21"/>
                <w:szCs w:val="21"/>
              </w:rPr>
              <w:t xml:space="preserve">03</w:t>
            </w:r>
          </w:p>
        </w:tc>
      </w:tr>
    </w:tbl>
    <w:p>
      <w:pPr>
        <w:spacing w:after="1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8680"/>
        <w:gridCol w:w="700"/>
      </w:tblGrid>
      <w:tr>
        <w:tc>
          <w:tcPr>
            <w:tcW w:type="dxa" w:w="700"/>
            <w:tcMar>
              <w:top w:type="dxa" w:w="40"/>
              <w:left w:type="dxa" w:w="0"/>
              <w:bottom w:type="dxa" w:w="40"/>
              <w:right w:type="dxa" w:w="0"/>
            </w:tcMar>
          </w:tcPr>
          <w:p>
            <w:r>
              <w:rPr>
                <w:rFonts w:ascii="Calibri" w:cs="Calibri" w:eastAsia="Calibri" w:hAnsi="Calibri"/>
                <w:b/>
                <w:bCs/>
                <w:color w:val="1F2937"/>
                <w:sz w:val="21"/>
                <w:szCs w:val="21"/>
              </w:rPr>
              <w:t xml:space="preserve">2.0</w:t>
            </w:r>
          </w:p>
        </w:tc>
        <w:tc>
          <w:tcPr>
            <w:tcW w:type="dxa" w:w="8680"/>
            <w:tcMar>
              <w:top w:type="dxa" w:w="40"/>
              <w:left w:type="dxa" w:w="0"/>
              <w:bottom w:type="dxa" w:w="40"/>
              <w:right w:type="dxa" w:w="0"/>
            </w:tcMar>
          </w:tcPr>
          <w:p>
            <w:pPr>
              <w:tabs>
                <w:tab w:val="right" w:pos="8660" w:leader="dot"/>
              </w:tabs>
            </w:pPr>
            <w:r>
              <w:rPr>
                <w:rFonts w:ascii="Calibri" w:cs="Calibri" w:eastAsia="Calibri" w:hAnsi="Calibri"/>
                <w:sz w:val="21"/>
                <w:szCs w:val="21"/>
              </w:rPr>
              <w:t xml:space="preserve">Data Layer Architecture	</w:t>
            </w:r>
          </w:p>
        </w:tc>
        <w:tc>
          <w:tcPr>
            <w:tcW w:type="dxa" w:w="700"/>
            <w:tcMar>
              <w:top w:type="dxa" w:w="40"/>
              <w:left w:type="dxa" w:w="0"/>
              <w:bottom w:type="dxa" w:w="40"/>
              <w:right w:type="dxa" w:w="0"/>
            </w:tcMar>
          </w:tcPr>
          <w:p>
            <w:pPr>
              <w:jc w:val="right"/>
            </w:pPr>
            <w:r>
              <w:rPr>
                <w:rFonts w:ascii="Calibri" w:cs="Calibri" w:eastAsia="Calibri" w:hAnsi="Calibri"/>
                <w:sz w:val="21"/>
                <w:szCs w:val="21"/>
              </w:rPr>
              <w:t xml:space="preserve">04</w:t>
            </w:r>
          </w:p>
        </w:tc>
      </w:tr>
    </w:tbl>
    <w:p>
      <w:pPr>
        <w:spacing w:after="1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8680"/>
        <w:gridCol w:w="700"/>
      </w:tblGrid>
      <w:tr>
        <w:tc>
          <w:tcPr>
            <w:tcW w:type="dxa" w:w="700"/>
            <w:tcMar>
              <w:top w:type="dxa" w:w="40"/>
              <w:left w:type="dxa" w:w="0"/>
              <w:bottom w:type="dxa" w:w="40"/>
              <w:right w:type="dxa" w:w="0"/>
            </w:tcMar>
          </w:tcPr>
          <w:p>
            <w:r>
              <w:rPr>
                <w:rFonts w:ascii="Calibri" w:cs="Calibri" w:eastAsia="Calibri" w:hAnsi="Calibri"/>
                <w:b/>
                <w:bCs/>
                <w:color w:val="1F2937"/>
                <w:sz w:val="21"/>
                <w:szCs w:val="21"/>
              </w:rPr>
              <w:t xml:space="preserve">3.0</w:t>
            </w:r>
          </w:p>
        </w:tc>
        <w:tc>
          <w:tcPr>
            <w:tcW w:type="dxa" w:w="8680"/>
            <w:tcMar>
              <w:top w:type="dxa" w:w="40"/>
              <w:left w:type="dxa" w:w="0"/>
              <w:bottom w:type="dxa" w:w="40"/>
              <w:right w:type="dxa" w:w="0"/>
            </w:tcMar>
          </w:tcPr>
          <w:p>
            <w:pPr>
              <w:tabs>
                <w:tab w:val="right" w:pos="8660" w:leader="dot"/>
              </w:tabs>
            </w:pPr>
            <w:r>
              <w:rPr>
                <w:rFonts w:ascii="Calibri" w:cs="Calibri" w:eastAsia="Calibri" w:hAnsi="Calibri"/>
                <w:sz w:val="21"/>
                <w:szCs w:val="21"/>
              </w:rPr>
              <w:t xml:space="preserve">Model &amp; Experimentation	</w:t>
            </w:r>
          </w:p>
        </w:tc>
        <w:tc>
          <w:tcPr>
            <w:tcW w:type="dxa" w:w="700"/>
            <w:tcMar>
              <w:top w:type="dxa" w:w="40"/>
              <w:left w:type="dxa" w:w="0"/>
              <w:bottom w:type="dxa" w:w="40"/>
              <w:right w:type="dxa" w:w="0"/>
            </w:tcMar>
          </w:tcPr>
          <w:p>
            <w:pPr>
              <w:jc w:val="right"/>
            </w:pPr>
            <w:r>
              <w:rPr>
                <w:rFonts w:ascii="Calibri" w:cs="Calibri" w:eastAsia="Calibri" w:hAnsi="Calibri"/>
                <w:sz w:val="21"/>
                <w:szCs w:val="21"/>
              </w:rPr>
              <w:t xml:space="preserve">04</w:t>
            </w:r>
          </w:p>
        </w:tc>
      </w:tr>
    </w:tbl>
    <w:p>
      <w:pPr>
        <w:spacing w:after="1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8680"/>
        <w:gridCol w:w="700"/>
      </w:tblGrid>
      <w:tr>
        <w:tc>
          <w:tcPr>
            <w:tcW w:type="dxa" w:w="700"/>
            <w:tcMar>
              <w:top w:type="dxa" w:w="40"/>
              <w:left w:type="dxa" w:w="0"/>
              <w:bottom w:type="dxa" w:w="40"/>
              <w:right w:type="dxa" w:w="0"/>
            </w:tcMar>
          </w:tcPr>
          <w:p>
            <w:r>
              <w:rPr>
                <w:rFonts w:ascii="Calibri" w:cs="Calibri" w:eastAsia="Calibri" w:hAnsi="Calibri"/>
                <w:b/>
                <w:bCs/>
                <w:color w:val="1F2937"/>
                <w:sz w:val="21"/>
                <w:szCs w:val="21"/>
              </w:rPr>
              <w:t xml:space="preserve">4.0</w:t>
            </w:r>
          </w:p>
        </w:tc>
        <w:tc>
          <w:tcPr>
            <w:tcW w:type="dxa" w:w="8680"/>
            <w:tcMar>
              <w:top w:type="dxa" w:w="40"/>
              <w:left w:type="dxa" w:w="0"/>
              <w:bottom w:type="dxa" w:w="40"/>
              <w:right w:type="dxa" w:w="0"/>
            </w:tcMar>
          </w:tcPr>
          <w:p>
            <w:pPr>
              <w:tabs>
                <w:tab w:val="right" w:pos="8660" w:leader="dot"/>
              </w:tabs>
            </w:pPr>
            <w:r>
              <w:rPr>
                <w:rFonts w:ascii="Calibri" w:cs="Calibri" w:eastAsia="Calibri" w:hAnsi="Calibri"/>
                <w:sz w:val="21"/>
                <w:szCs w:val="21"/>
              </w:rPr>
              <w:t xml:space="preserve">Production Operations	</w:t>
            </w:r>
          </w:p>
        </w:tc>
        <w:tc>
          <w:tcPr>
            <w:tcW w:type="dxa" w:w="700"/>
            <w:tcMar>
              <w:top w:type="dxa" w:w="40"/>
              <w:left w:type="dxa" w:w="0"/>
              <w:bottom w:type="dxa" w:w="40"/>
              <w:right w:type="dxa" w:w="0"/>
            </w:tcMar>
          </w:tcPr>
          <w:p>
            <w:pPr>
              <w:jc w:val="right"/>
            </w:pPr>
            <w:r>
              <w:rPr>
                <w:rFonts w:ascii="Calibri" w:cs="Calibri" w:eastAsia="Calibri" w:hAnsi="Calibri"/>
                <w:sz w:val="21"/>
                <w:szCs w:val="21"/>
              </w:rPr>
              <w:t xml:space="preserve">05</w:t>
            </w:r>
          </w:p>
        </w:tc>
      </w:tr>
    </w:tbl>
    <w:p>
      <w:pPr>
        <w:spacing w:after="1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8680"/>
        <w:gridCol w:w="700"/>
      </w:tblGrid>
      <w:tr>
        <w:tc>
          <w:tcPr>
            <w:tcW w:type="dxa" w:w="700"/>
            <w:tcMar>
              <w:top w:type="dxa" w:w="40"/>
              <w:left w:type="dxa" w:w="0"/>
              <w:bottom w:type="dxa" w:w="40"/>
              <w:right w:type="dxa" w:w="0"/>
            </w:tcMar>
          </w:tcPr>
          <w:p>
            <w:r>
              <w:rPr>
                <w:rFonts w:ascii="Calibri" w:cs="Calibri" w:eastAsia="Calibri" w:hAnsi="Calibri"/>
                <w:b/>
                <w:bCs/>
                <w:color w:val="1F2937"/>
                <w:sz w:val="21"/>
                <w:szCs w:val="21"/>
              </w:rPr>
              <w:t xml:space="preserve">5.0</w:t>
            </w:r>
          </w:p>
        </w:tc>
        <w:tc>
          <w:tcPr>
            <w:tcW w:type="dxa" w:w="8680"/>
            <w:tcMar>
              <w:top w:type="dxa" w:w="40"/>
              <w:left w:type="dxa" w:w="0"/>
              <w:bottom w:type="dxa" w:w="40"/>
              <w:right w:type="dxa" w:w="0"/>
            </w:tcMar>
          </w:tcPr>
          <w:p>
            <w:pPr>
              <w:tabs>
                <w:tab w:val="right" w:pos="8660" w:leader="dot"/>
              </w:tabs>
            </w:pPr>
            <w:r>
              <w:rPr>
                <w:rFonts w:ascii="Calibri" w:cs="Calibri" w:eastAsia="Calibri" w:hAnsi="Calibri"/>
                <w:sz w:val="21"/>
                <w:szCs w:val="21"/>
              </w:rPr>
              <w:t xml:space="preserve">Monitoring, Explainability &amp; Governance	</w:t>
            </w:r>
          </w:p>
        </w:tc>
        <w:tc>
          <w:tcPr>
            <w:tcW w:type="dxa" w:w="700"/>
            <w:tcMar>
              <w:top w:type="dxa" w:w="40"/>
              <w:left w:type="dxa" w:w="0"/>
              <w:bottom w:type="dxa" w:w="40"/>
              <w:right w:type="dxa" w:w="0"/>
            </w:tcMar>
          </w:tcPr>
          <w:p>
            <w:pPr>
              <w:jc w:val="right"/>
            </w:pPr>
            <w:r>
              <w:rPr>
                <w:rFonts w:ascii="Calibri" w:cs="Calibri" w:eastAsia="Calibri" w:hAnsi="Calibri"/>
                <w:sz w:val="21"/>
                <w:szCs w:val="21"/>
              </w:rPr>
              <w:t xml:space="preserve">05</w:t>
            </w:r>
          </w:p>
        </w:tc>
      </w:tr>
    </w:tbl>
    <w:p>
      <w:pPr>
        <w:spacing w:after="1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8680"/>
        <w:gridCol w:w="700"/>
      </w:tblGrid>
      <w:tr>
        <w:tc>
          <w:tcPr>
            <w:tcW w:type="dxa" w:w="700"/>
            <w:tcMar>
              <w:top w:type="dxa" w:w="40"/>
              <w:left w:type="dxa" w:w="0"/>
              <w:bottom w:type="dxa" w:w="40"/>
              <w:right w:type="dxa" w:w="0"/>
            </w:tcMar>
          </w:tcPr>
          <w:p>
            <w:r>
              <w:rPr>
                <w:rFonts w:ascii="Calibri" w:cs="Calibri" w:eastAsia="Calibri" w:hAnsi="Calibri"/>
                <w:b/>
                <w:bCs/>
                <w:color w:val="1F2937"/>
                <w:sz w:val="21"/>
                <w:szCs w:val="21"/>
              </w:rPr>
              <w:t xml:space="preserve">6.0</w:t>
            </w:r>
          </w:p>
        </w:tc>
        <w:tc>
          <w:tcPr>
            <w:tcW w:type="dxa" w:w="8680"/>
            <w:tcMar>
              <w:top w:type="dxa" w:w="40"/>
              <w:left w:type="dxa" w:w="0"/>
              <w:bottom w:type="dxa" w:w="40"/>
              <w:right w:type="dxa" w:w="0"/>
            </w:tcMar>
          </w:tcPr>
          <w:p>
            <w:pPr>
              <w:tabs>
                <w:tab w:val="right" w:pos="8660" w:leader="dot"/>
              </w:tabs>
            </w:pPr>
            <w:r>
              <w:rPr>
                <w:rFonts w:ascii="Calibri" w:cs="Calibri" w:eastAsia="Calibri" w:hAnsi="Calibri"/>
                <w:sz w:val="21"/>
                <w:szCs w:val="21"/>
              </w:rPr>
              <w:t xml:space="preserve">Security &amp; Compliance	</w:t>
            </w:r>
          </w:p>
        </w:tc>
        <w:tc>
          <w:tcPr>
            <w:tcW w:type="dxa" w:w="700"/>
            <w:tcMar>
              <w:top w:type="dxa" w:w="40"/>
              <w:left w:type="dxa" w:w="0"/>
              <w:bottom w:type="dxa" w:w="40"/>
              <w:right w:type="dxa" w:w="0"/>
            </w:tcMar>
          </w:tcPr>
          <w:p>
            <w:pPr>
              <w:jc w:val="right"/>
            </w:pPr>
            <w:r>
              <w:rPr>
                <w:rFonts w:ascii="Calibri" w:cs="Calibri" w:eastAsia="Calibri" w:hAnsi="Calibri"/>
                <w:sz w:val="21"/>
                <w:szCs w:val="21"/>
              </w:rPr>
              <w:t xml:space="preserve">06</w:t>
            </w:r>
          </w:p>
        </w:tc>
      </w:tr>
    </w:tbl>
    <w:p>
      <w:pPr>
        <w:spacing w:after="1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8680"/>
        <w:gridCol w:w="700"/>
      </w:tblGrid>
      <w:tr>
        <w:tc>
          <w:tcPr>
            <w:tcW w:type="dxa" w:w="700"/>
            <w:tcMar>
              <w:top w:type="dxa" w:w="40"/>
              <w:left w:type="dxa" w:w="0"/>
              <w:bottom w:type="dxa" w:w="40"/>
              <w:right w:type="dxa" w:w="0"/>
            </w:tcMar>
          </w:tcPr>
          <w:p>
            <w:r>
              <w:rPr>
                <w:rFonts w:ascii="Calibri" w:cs="Calibri" w:eastAsia="Calibri" w:hAnsi="Calibri"/>
                <w:b/>
                <w:bCs/>
                <w:color w:val="1F2937"/>
                <w:sz w:val="21"/>
                <w:szCs w:val="21"/>
              </w:rPr>
              <w:t xml:space="preserve">7.0</w:t>
            </w:r>
          </w:p>
        </w:tc>
        <w:tc>
          <w:tcPr>
            <w:tcW w:type="dxa" w:w="8680"/>
            <w:tcMar>
              <w:top w:type="dxa" w:w="40"/>
              <w:left w:type="dxa" w:w="0"/>
              <w:bottom w:type="dxa" w:w="40"/>
              <w:right w:type="dxa" w:w="0"/>
            </w:tcMar>
          </w:tcPr>
          <w:p>
            <w:pPr>
              <w:tabs>
                <w:tab w:val="right" w:pos="8660" w:leader="dot"/>
              </w:tabs>
            </w:pPr>
            <w:r>
              <w:rPr>
                <w:rFonts w:ascii="Calibri" w:cs="Calibri" w:eastAsia="Calibri" w:hAnsi="Calibri"/>
                <w:sz w:val="21"/>
                <w:szCs w:val="21"/>
              </w:rPr>
              <w:t xml:space="preserve">Live Deployment &amp; Results	</w:t>
            </w:r>
          </w:p>
        </w:tc>
        <w:tc>
          <w:tcPr>
            <w:tcW w:type="dxa" w:w="700"/>
            <w:tcMar>
              <w:top w:type="dxa" w:w="40"/>
              <w:left w:type="dxa" w:w="0"/>
              <w:bottom w:type="dxa" w:w="40"/>
              <w:right w:type="dxa" w:w="0"/>
            </w:tcMar>
          </w:tcPr>
          <w:p>
            <w:pPr>
              <w:jc w:val="right"/>
            </w:pPr>
            <w:r>
              <w:rPr>
                <w:rFonts w:ascii="Calibri" w:cs="Calibri" w:eastAsia="Calibri" w:hAnsi="Calibri"/>
                <w:sz w:val="21"/>
                <w:szCs w:val="21"/>
              </w:rPr>
              <w:t xml:space="preserve">06</w:t>
            </w:r>
          </w:p>
        </w:tc>
      </w:tr>
    </w:tbl>
    <w:p>
      <w:pPr>
        <w:spacing w:after="1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8680"/>
        <w:gridCol w:w="700"/>
      </w:tblGrid>
      <w:tr>
        <w:tc>
          <w:tcPr>
            <w:tcW w:type="dxa" w:w="700"/>
            <w:tcMar>
              <w:top w:type="dxa" w:w="40"/>
              <w:left w:type="dxa" w:w="0"/>
              <w:bottom w:type="dxa" w:w="40"/>
              <w:right w:type="dxa" w:w="0"/>
            </w:tcMar>
          </w:tcPr>
          <w:p>
            <w:r>
              <w:rPr>
                <w:rFonts w:ascii="Calibri" w:cs="Calibri" w:eastAsia="Calibri" w:hAnsi="Calibri"/>
                <w:b/>
                <w:bCs/>
                <w:color w:val="1F2937"/>
                <w:sz w:val="21"/>
                <w:szCs w:val="21"/>
              </w:rPr>
              <w:t xml:space="preserve">8.0</w:t>
            </w:r>
          </w:p>
        </w:tc>
        <w:tc>
          <w:tcPr>
            <w:tcW w:type="dxa" w:w="8680"/>
            <w:tcMar>
              <w:top w:type="dxa" w:w="40"/>
              <w:left w:type="dxa" w:w="0"/>
              <w:bottom w:type="dxa" w:w="40"/>
              <w:right w:type="dxa" w:w="0"/>
            </w:tcMar>
          </w:tcPr>
          <w:p>
            <w:pPr>
              <w:tabs>
                <w:tab w:val="right" w:pos="8660" w:leader="dot"/>
              </w:tabs>
            </w:pPr>
            <w:r>
              <w:rPr>
                <w:rFonts w:ascii="Calibri" w:cs="Calibri" w:eastAsia="Calibri" w:hAnsi="Calibri"/>
                <w:sz w:val="21"/>
                <w:szCs w:val="21"/>
              </w:rPr>
              <w:t xml:space="preserve">Engineering Decisions  -  Lessons Learned	</w:t>
            </w:r>
          </w:p>
        </w:tc>
        <w:tc>
          <w:tcPr>
            <w:tcW w:type="dxa" w:w="700"/>
            <w:tcMar>
              <w:top w:type="dxa" w:w="40"/>
              <w:left w:type="dxa" w:w="0"/>
              <w:bottom w:type="dxa" w:w="40"/>
              <w:right w:type="dxa" w:w="0"/>
            </w:tcMar>
          </w:tcPr>
          <w:p>
            <w:pPr>
              <w:jc w:val="right"/>
            </w:pPr>
            <w:r>
              <w:rPr>
                <w:rFonts w:ascii="Calibri" w:cs="Calibri" w:eastAsia="Calibri" w:hAnsi="Calibri"/>
                <w:sz w:val="21"/>
                <w:szCs w:val="21"/>
              </w:rPr>
              <w:t xml:space="preserve">06</w:t>
            </w:r>
          </w:p>
        </w:tc>
      </w:tr>
    </w:tbl>
    <w:p>
      <w:pPr>
        <w:spacing w:after="300"/>
      </w:pPr>
    </w:p>
    <w:p>
      <w:pPr>
        <w:pStyle w:val="Heading2"/>
        <w:spacing w:after="120" w:before="260"/>
      </w:pPr>
      <w:r>
        <w:rPr>
          <w:rFonts w:ascii="Calibri" w:cs="Calibri" w:eastAsia="Calibri" w:hAnsi="Calibri"/>
          <w:b/>
          <w:bCs/>
          <w:color w:val="1F2937"/>
          <w:sz w:val="24"/>
          <w:szCs w:val="24"/>
        </w:rPr>
        <w:t xml:space="preserve">Artifact &amp; Deployment Catalog</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60"/>
      </w:tblGrid>
      <w:tr>
        <w:trPr>
          <w:tblHeader/>
        </w:trPr>
        <w:tc>
          <w:tcPr>
            <w:tcW w:type="dxa" w:w="32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Artifact / Service</w:t>
            </w:r>
          </w:p>
        </w:tc>
        <w:tc>
          <w:tcPr>
            <w:tcW w:type="dxa" w:w="22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Platform</w:t>
            </w:r>
          </w:p>
        </w:tc>
        <w:tc>
          <w:tcPr>
            <w:tcW w:type="dxa" w:w="426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Location / URI</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Feature Store</w:t>
            </w:r>
          </w:p>
        </w:tc>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BigQuery</w:t>
            </w:r>
          </w:p>
        </w:tc>
        <w:tc>
          <w:tcPr>
            <w:tcW w:type="dxa" w:w="426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Feature tables per city, refreshed hourly</w:t>
            </w:r>
          </w:p>
        </w:tc>
      </w:tr>
      <w:tr>
        <w:tc>
          <w:tcPr>
            <w:tcW w:type="dxa" w:w="3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Model Registry</w:t>
            </w:r>
          </w:p>
        </w:tc>
        <w:tc>
          <w:tcPr>
            <w:tcW w:type="dxa" w:w="2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Vertex AI</w:t>
            </w:r>
          </w:p>
        </w:tc>
        <w:tc>
          <w:tcPr>
            <w:tcW w:type="dxa" w:w="42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One registry entry per city, versioned</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Dashboard Service</w:t>
            </w:r>
          </w:p>
        </w:tc>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Cloud Run</w:t>
            </w:r>
          </w:p>
        </w:tc>
        <w:tc>
          <w:tcPr>
            <w:tcW w:type="dxa" w:w="426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aqi-predictor-dashboard-444682761540.asia-south1.run.app</w:t>
            </w:r>
          </w:p>
        </w:tc>
      </w:tr>
      <w:tr>
        <w:tc>
          <w:tcPr>
            <w:tcW w:type="dxa" w:w="3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REST API Service</w:t>
            </w:r>
          </w:p>
        </w:tc>
        <w:tc>
          <w:tcPr>
            <w:tcW w:type="dxa" w:w="2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Cloud Run</w:t>
            </w:r>
          </w:p>
        </w:tc>
        <w:tc>
          <w:tcPr>
            <w:tcW w:type="dxa" w:w="42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aqi-predictor-api-444682761540.asia-south1.run.app</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CI/CD Pipelines</w:t>
            </w:r>
          </w:p>
        </w:tc>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GitHub Actions</w:t>
            </w:r>
          </w:p>
        </w:tc>
        <w:tc>
          <w:tcPr>
            <w:tcW w:type="dxa" w:w="426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.github/workflows/ (hourly features, daily retrain)</w:t>
            </w:r>
          </w:p>
        </w:tc>
      </w:tr>
      <w:tr>
        <w:tc>
          <w:tcPr>
            <w:tcW w:type="dxa" w:w="3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Source Code</w:t>
            </w:r>
          </w:p>
        </w:tc>
        <w:tc>
          <w:tcPr>
            <w:tcW w:type="dxa" w:w="22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GitHub</w:t>
            </w:r>
          </w:p>
        </w:tc>
        <w:tc>
          <w:tcPr>
            <w:tcW w:type="dxa" w:w="426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github.com/Naveedjokhio/10Pearls_aqi-predictor</w:t>
            </w:r>
          </w:p>
        </w:tc>
      </w:tr>
    </w:tbl>
    <w:p>
      <w:pPr>
        <w:spacing w:before="200"/>
      </w:pPr>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Bdr>
          <w:bottom w:val="single" w:color="1F2937" w:sz="8" w:space="4"/>
        </w:pBdr>
        <w:spacing w:after="200" w:before="400"/>
      </w:pPr>
      <w:r>
        <w:rPr>
          <w:rFonts w:ascii="Calibri" w:cs="Calibri" w:eastAsia="Calibri" w:hAnsi="Calibri"/>
          <w:b/>
          <w:bCs/>
          <w:color w:val="2563EB"/>
          <w:sz w:val="30"/>
          <w:szCs w:val="30"/>
        </w:rPr>
        <w:t xml:space="preserve">0.0  </w:t>
      </w:r>
      <w:r>
        <w:rPr>
          <w:rFonts w:ascii="Calibri" w:cs="Calibri" w:eastAsia="Calibri" w:hAnsi="Calibri"/>
          <w:b/>
          <w:bCs/>
          <w:color w:val="1F2937"/>
          <w:sz w:val="30"/>
          <w:szCs w:val="30"/>
        </w:rPr>
        <w:t xml:space="preserve">Executive Summary</w:t>
      </w:r>
    </w:p>
    <w:p>
      <w:pPr>
        <w:spacing w:after="160" w:line="276"/>
      </w:pPr>
      <w:r>
        <w:rPr>
          <w:rFonts w:ascii="Calibri" w:cs="Calibri" w:eastAsia="Calibri" w:hAnsi="Calibri"/>
          <w:sz w:val="21"/>
          <w:szCs w:val="21"/>
        </w:rPr>
        <w:t xml:space="preserve">The 10Pearls AQI Predictor is a 100% serverless, end-to-end MLOps pipeline built during a Data Sciences Internship at 10Pearls Pakistan. The brief called for a 3-day Air Quality Index forecast for Karachi; the implementation was extended to cover six major Pakistani cities, turning a single-city notebook exercise into a scalable, production-grade forecasting service.</w:t>
      </w:r>
    </w:p>
    <w:p>
      <w:pPr>
        <w:spacing w:after="160" w:line="276"/>
      </w:pPr>
      <w:r>
        <w:rPr>
          <w:rFonts w:ascii="Calibri" w:cs="Calibri" w:eastAsia="Calibri" w:hAnsi="Calibri"/>
          <w:sz w:val="21"/>
          <w:szCs w:val="21"/>
        </w:rPr>
        <w:t xml:space="preserve">The system automates the full lifecycle  -  data collection, feature engineering, model training, evaluation, deployment and retraining  -  with no manual intervention required once deployed.</w:t>
      </w:r>
    </w:p>
    <w:p>
      <w:pPr>
        <w:pStyle w:val="Heading2"/>
        <w:spacing w:after="120" w:before="260"/>
      </w:pPr>
      <w:r>
        <w:rPr>
          <w:rFonts w:ascii="Calibri" w:cs="Calibri" w:eastAsia="Calibri" w:hAnsi="Calibri"/>
          <w:b/>
          <w:bCs/>
          <w:color w:val="1F2937"/>
          <w:sz w:val="24"/>
          <w:szCs w:val="24"/>
        </w:rPr>
        <w:t xml:space="preserve">Business Alignment</w:t>
      </w:r>
    </w:p>
    <w:p>
      <w:pPr>
        <w:pStyle w:val="ListParagraph"/>
        <w:numPr>
          <w:ilvl w:val="0"/>
          <w:numId w:val="2"/>
        </w:numPr>
        <w:spacing w:after="90" w:line="268"/>
      </w:pPr>
      <w:r>
        <w:rPr>
          <w:rFonts w:ascii="Calibri" w:cs="Calibri" w:eastAsia="Calibri" w:hAnsi="Calibri"/>
          <w:b/>
          <w:bCs/>
          <w:sz w:val="21"/>
          <w:szCs w:val="21"/>
        </w:rPr>
        <w:t xml:space="preserve">Goal: </w:t>
      </w:r>
      <w:r>
        <w:rPr>
          <w:rFonts w:ascii="Calibri" w:cs="Calibri" w:eastAsia="Calibri" w:hAnsi="Calibri"/>
          <w:sz w:val="21"/>
          <w:szCs w:val="21"/>
        </w:rPr>
        <w:t xml:space="preserve">Deliver actionable AQI forecasts up to 3 days ahead for six Pakistani cities.</w:t>
      </w:r>
    </w:p>
    <w:p>
      <w:pPr>
        <w:pStyle w:val="ListParagraph"/>
        <w:numPr>
          <w:ilvl w:val="0"/>
          <w:numId w:val="2"/>
        </w:numPr>
        <w:spacing w:after="90" w:line="268"/>
      </w:pPr>
      <w:r>
        <w:rPr>
          <w:rFonts w:ascii="Calibri" w:cs="Calibri" w:eastAsia="Calibri" w:hAnsi="Calibri"/>
          <w:b/>
          <w:bCs/>
          <w:sz w:val="21"/>
          <w:szCs w:val="21"/>
        </w:rPr>
        <w:t xml:space="preserve">Model quality bar: </w:t>
      </w:r>
      <w:r>
        <w:rPr>
          <w:rFonts w:ascii="Calibri" w:cs="Calibri" w:eastAsia="Calibri" w:hAnsi="Calibri"/>
          <w:sz w:val="21"/>
          <w:szCs w:val="21"/>
        </w:rPr>
        <w:t xml:space="preserve">Each city/horizon model is evaluated on RMSE, MAE and R²; the final forecast is the median of three independently trained model families, which limits the impact of any single model's outliers.</w:t>
      </w:r>
    </w:p>
    <w:p>
      <w:pPr>
        <w:pStyle w:val="ListParagraph"/>
        <w:numPr>
          <w:ilvl w:val="0"/>
          <w:numId w:val="2"/>
        </w:numPr>
        <w:spacing w:after="90" w:line="268"/>
      </w:pPr>
      <w:r>
        <w:rPr>
          <w:rFonts w:ascii="Calibri" w:cs="Calibri" w:eastAsia="Calibri" w:hAnsi="Calibri"/>
          <w:b/>
          <w:bCs/>
          <w:sz w:val="21"/>
          <w:szCs w:val="21"/>
        </w:rPr>
        <w:t xml:space="preserve">Operational bar: </w:t>
      </w:r>
      <w:r>
        <w:rPr>
          <w:rFonts w:ascii="Calibri" w:cs="Calibri" w:eastAsia="Calibri" w:hAnsi="Calibri"/>
          <w:sz w:val="21"/>
          <w:szCs w:val="21"/>
        </w:rPr>
        <w:t xml:space="preserve">Fully automated hourly feature refresh and daily retraining via GitHub Actions, with both the dashboard and API deployed as independent, always-available Cloud Run services.</w:t>
      </w:r>
    </w:p>
    <w:p>
      <w:pPr>
        <w:pStyle w:val="ListParagraph"/>
        <w:numPr>
          <w:ilvl w:val="0"/>
          <w:numId w:val="2"/>
        </w:numPr>
        <w:spacing w:after="90" w:line="268"/>
      </w:pPr>
      <w:r>
        <w:rPr>
          <w:rFonts w:ascii="Calibri" w:cs="Calibri" w:eastAsia="Calibri" w:hAnsi="Calibri"/>
          <w:b/>
          <w:bCs/>
          <w:sz w:val="21"/>
          <w:szCs w:val="21"/>
        </w:rPr>
        <w:t xml:space="preserve">Cost bar: </w:t>
      </w:r>
      <w:r>
        <w:rPr>
          <w:rFonts w:ascii="Calibri" w:cs="Calibri" w:eastAsia="Calibri" w:hAnsi="Calibri"/>
          <w:sz w:val="21"/>
          <w:szCs w:val="21"/>
        </w:rPr>
        <w:t xml:space="preserve">Every layer of the stack  -  feature store, model registry, compute  -  is serverless and scales to zero when idle.</w:t>
      </w:r>
    </w:p>
    <w:p>
      <w:pPr>
        <w:pStyle w:val="Heading1"/>
        <w:pBdr>
          <w:bottom w:val="single" w:color="1F2937" w:sz="8" w:space="4"/>
        </w:pBdr>
        <w:spacing w:after="200" w:before="400"/>
      </w:pPr>
      <w:r>
        <w:rPr>
          <w:rFonts w:ascii="Calibri" w:cs="Calibri" w:eastAsia="Calibri" w:hAnsi="Calibri"/>
          <w:b/>
          <w:bCs/>
          <w:color w:val="2563EB"/>
          <w:sz w:val="30"/>
          <w:szCs w:val="30"/>
        </w:rPr>
        <w:t xml:space="preserve">1.0  </w:t>
      </w:r>
      <w:r>
        <w:rPr>
          <w:rFonts w:ascii="Calibri" w:cs="Calibri" w:eastAsia="Calibri" w:hAnsi="Calibri"/>
          <w:b/>
          <w:bCs/>
          <w:color w:val="1F2937"/>
          <w:sz w:val="30"/>
          <w:szCs w:val="30"/>
        </w:rPr>
        <w:t xml:space="preserve">Problem &amp; Solution Engineering</w:t>
      </w:r>
    </w:p>
    <w:p>
      <w:pPr>
        <w:spacing w:after="160" w:line="276"/>
      </w:pPr>
      <w:r>
        <w:rPr>
          <w:rFonts w:ascii="Calibri" w:cs="Calibri" w:eastAsia="Calibri" w:hAnsi="Calibri"/>
          <w:sz w:val="21"/>
          <w:szCs w:val="21"/>
        </w:rPr>
        <w:t xml:space="preserve">Three roadblocks surfaced while moving from a research notebook to a production pipeline. Each was investigated, evidenced, and resolved using an approach already permitted by the project brief  -  rather than a workaround.</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00"/>
        <w:gridCol w:w="4180"/>
        <w:gridCol w:w="4980"/>
      </w:tblGrid>
      <w:tr>
        <w:trPr>
          <w:tblHeader/>
        </w:trPr>
        <w:tc>
          <w:tcPr>
            <w:tcW w:type="dxa" w:w="5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t>
            </w:r>
          </w:p>
        </w:tc>
        <w:tc>
          <w:tcPr>
            <w:tcW w:type="dxa" w:w="418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Problem</w:t>
            </w:r>
          </w:p>
        </w:tc>
        <w:tc>
          <w:tcPr>
            <w:tcW w:type="dxa" w:w="498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Solution</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1</w:t>
            </w:r>
          </w:p>
        </w:tc>
        <w:tc>
          <w:tcPr>
            <w:tcW w:type="dxa" w:w="418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No live ground-station data for Karachi/Sindh  -  AQICN's own station-search and map APIs confirmed no active station covering the region.</w:t>
            </w:r>
          </w:p>
        </w:tc>
        <w:tc>
          <w:tcPr>
            <w:tcW w:type="dxa" w:w="498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Switched to OpenWeather's satellite-based Air Pollution API, which gave reliable, current coverage for all six target cities plus real hourly historical data for training.</w:t>
            </w:r>
          </w:p>
        </w:tc>
      </w:tr>
      <w:tr>
        <w:tc>
          <w:tcPr>
            <w:tcW w:type="dxa" w:w="5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2</w:t>
            </w:r>
          </w:p>
        </w:tc>
        <w:tc>
          <w:tcPr>
            <w:tcW w:type="dxa" w:w="418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The originally planned feature store, Hopsworks, was reporting an active platform outage affecting data ingestion at the time of setup.</w:t>
            </w:r>
          </w:p>
        </w:tc>
        <w:tc>
          <w:tcPr>
            <w:tcW w:type="dxa" w:w="498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Pivoted to BigQuery as the feature store and Vertex AI Model Registry for trained models  -  the alternative explicitly permitted by the project brief (“Hopsworks or Vertex AI”).</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3</w:t>
            </w:r>
          </w:p>
        </w:tc>
        <w:tc>
          <w:tcPr>
            <w:tcW w:type="dxa" w:w="418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Manually re-running scripts meant no schedule, no failure handling, and forecasts going stale within hours  -  no automation, no trust.</w:t>
            </w:r>
          </w:p>
        </w:tc>
        <w:tc>
          <w:tcPr>
            <w:tcW w:type="dxa" w:w="498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Automated the whole pipeline with GitHub Actions: hourly feature collection and daily model retraining, authenticated keylessly via Workload Identity Federation instead of static service-account keys.</w:t>
            </w:r>
          </w:p>
        </w:tc>
      </w:tr>
    </w:tbl>
    <w:p>
      <w:pPr>
        <w:spacing w:after="160" w:line="276"/>
      </w:pPr>
      <w:r>
        <w:rPr>
          <w:rFonts w:ascii="Calibri" w:cs="Calibri" w:eastAsia="Calibri" w:hAnsi="Calibri"/>
          <w:sz w:val="21"/>
          <w:szCs w:val="21"/>
        </w:rPr>
        <w:t xml:space="preserve"/>
      </w:r>
    </w:p>
    <w:p>
      <w:pPr>
        <w:spacing w:after="160" w:line="276"/>
      </w:pPr>
      <w:r>
        <w:rPr>
          <w:rFonts w:ascii="Calibri" w:cs="Calibri" w:eastAsia="Calibri" w:hAnsi="Calibri"/>
          <w:sz w:val="21"/>
          <w:szCs w:val="21"/>
        </w:rPr>
        <w:t xml:space="preserve">This pattern  -  investigate, gather evidence, apply an already-approved alternative  -  is the same engineering discipline documented in Section 8, and is treated as a design decision rather than a deviation from the brief.</w:t>
      </w:r>
    </w:p>
    <w:p>
      <w:pPr>
        <w:pStyle w:val="Heading1"/>
        <w:pBdr>
          <w:bottom w:val="single" w:color="1F2937" w:sz="8" w:space="4"/>
        </w:pBdr>
        <w:spacing w:after="200" w:before="400"/>
      </w:pPr>
      <w:r>
        <w:rPr>
          <w:rFonts w:ascii="Calibri" w:cs="Calibri" w:eastAsia="Calibri" w:hAnsi="Calibri"/>
          <w:b/>
          <w:bCs/>
          <w:color w:val="2563EB"/>
          <w:sz w:val="30"/>
          <w:szCs w:val="30"/>
        </w:rPr>
        <w:t xml:space="preserve">2.0  </w:t>
      </w:r>
      <w:r>
        <w:rPr>
          <w:rFonts w:ascii="Calibri" w:cs="Calibri" w:eastAsia="Calibri" w:hAnsi="Calibri"/>
          <w:b/>
          <w:bCs/>
          <w:color w:val="1F2937"/>
          <w:sz w:val="30"/>
          <w:szCs w:val="30"/>
        </w:rPr>
        <w:t xml:space="preserve">Data Layer Architecture</w:t>
      </w:r>
    </w:p>
    <w:p>
      <w:pPr>
        <w:pStyle w:val="Heading2"/>
        <w:spacing w:after="120" w:before="260"/>
      </w:pPr>
      <w:r>
        <w:rPr>
          <w:rFonts w:ascii="Calibri" w:cs="Calibri" w:eastAsia="Calibri" w:hAnsi="Calibri"/>
          <w:b/>
          <w:bCs/>
          <w:color w:val="1F2937"/>
          <w:sz w:val="24"/>
          <w:szCs w:val="24"/>
        </w:rPr>
        <w:t xml:space="preserve">Sources &amp; Ingestion</w:t>
      </w:r>
    </w:p>
    <w:p>
      <w:pPr>
        <w:pStyle w:val="ListParagraph"/>
        <w:numPr>
          <w:ilvl w:val="0"/>
          <w:numId w:val="2"/>
        </w:numPr>
        <w:spacing w:after="90" w:line="268"/>
      </w:pPr>
      <w:r>
        <w:rPr>
          <w:rFonts w:ascii="Calibri" w:cs="Calibri" w:eastAsia="Calibri" w:hAnsi="Calibri"/>
          <w:b/>
          <w:bCs/>
          <w:sz w:val="21"/>
          <w:szCs w:val="21"/>
        </w:rPr>
        <w:t xml:space="preserve">Source: </w:t>
      </w:r>
      <w:r>
        <w:rPr>
          <w:rFonts w:ascii="Calibri" w:cs="Calibri" w:eastAsia="Calibri" w:hAnsi="Calibri"/>
          <w:sz w:val="21"/>
          <w:szCs w:val="21"/>
        </w:rPr>
        <w:t xml:space="preserve">OpenWeather API  -  live weather and pollutant concentrations for six cities, plus roughly 30 days of real hourly historical data used for model training.</w:t>
      </w:r>
    </w:p>
    <w:p>
      <w:pPr>
        <w:pStyle w:val="ListParagraph"/>
        <w:numPr>
          <w:ilvl w:val="0"/>
          <w:numId w:val="2"/>
        </w:numPr>
        <w:spacing w:after="90" w:line="268"/>
      </w:pPr>
      <w:r>
        <w:rPr>
          <w:rFonts w:ascii="Calibri" w:cs="Calibri" w:eastAsia="Calibri" w:hAnsi="Calibri"/>
          <w:b/>
          <w:bCs/>
          <w:sz w:val="21"/>
          <w:szCs w:val="21"/>
        </w:rPr>
        <w:t xml:space="preserve">Ingestion: </w:t>
      </w:r>
      <w:r>
        <w:rPr>
          <w:rFonts w:ascii="Calibri" w:cs="Calibri" w:eastAsia="Calibri" w:hAnsi="Calibri"/>
          <w:sz w:val="21"/>
          <w:szCs w:val="21"/>
        </w:rPr>
        <w:t xml:space="preserve">A Python feature-generation script, triggered hourly by GitHub Actions, computes time-based features (hour, day, month) and derived features such as AQI change rate.</w:t>
      </w:r>
    </w:p>
    <w:p>
      <w:pPr>
        <w:pStyle w:val="ListParagraph"/>
        <w:numPr>
          <w:ilvl w:val="0"/>
          <w:numId w:val="2"/>
        </w:numPr>
        <w:spacing w:after="90" w:line="268"/>
      </w:pPr>
      <w:r>
        <w:rPr>
          <w:rFonts w:ascii="Calibri" w:cs="Calibri" w:eastAsia="Calibri" w:hAnsi="Calibri"/>
          <w:b/>
          <w:bCs/>
          <w:sz w:val="21"/>
          <w:szCs w:val="21"/>
        </w:rPr>
        <w:t xml:space="preserve">Feature Store: </w:t>
      </w:r>
      <w:r>
        <w:rPr>
          <w:rFonts w:ascii="Calibri" w:cs="Calibri" w:eastAsia="Calibri" w:hAnsi="Calibri"/>
          <w:sz w:val="21"/>
          <w:szCs w:val="21"/>
        </w:rPr>
        <w:t xml:space="preserve">BigQuery holds the engineered features, keyed by city and timestamp, and serves both training and inference.</w:t>
      </w:r>
    </w:p>
    <w:p>
      <w:pPr>
        <w:pStyle w:val="ListParagraph"/>
        <w:numPr>
          <w:ilvl w:val="0"/>
          <w:numId w:val="2"/>
        </w:numPr>
        <w:spacing w:after="90" w:line="268"/>
      </w:pPr>
      <w:r>
        <w:rPr>
          <w:rFonts w:ascii="Calibri" w:cs="Calibri" w:eastAsia="Calibri" w:hAnsi="Calibri"/>
          <w:b/>
          <w:bCs/>
          <w:sz w:val="21"/>
          <w:szCs w:val="21"/>
        </w:rPr>
        <w:t xml:space="preserve">Model Registry: </w:t>
      </w:r>
      <w:r>
        <w:rPr>
          <w:rFonts w:ascii="Calibri" w:cs="Calibri" w:eastAsia="Calibri" w:hAnsi="Calibri"/>
          <w:sz w:val="21"/>
          <w:szCs w:val="21"/>
        </w:rPr>
        <w:t xml:space="preserve">Vertex AI Model Registry holds one versioned entry per city (and forecast horizon), so every deployed model can be traced back to its training run.</w:t>
      </w:r>
    </w:p>
    <w:p>
      <w:pPr>
        <w:pStyle w:val="Heading2"/>
        <w:spacing w:after="120" w:before="260"/>
      </w:pPr>
      <w:r>
        <w:rPr>
          <w:rFonts w:ascii="Calibri" w:cs="Calibri" w:eastAsia="Calibri" w:hAnsi="Calibri"/>
          <w:b/>
          <w:bCs/>
          <w:color w:val="1F2937"/>
          <w:sz w:val="24"/>
          <w:szCs w:val="24"/>
        </w:rPr>
        <w:t xml:space="preserve">End-to-End Architecture</w:t>
      </w:r>
    </w:p>
    <w:p>
      <w:pPr>
        <w:spacing w:after="160" w:before="12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05000"/>
                    </a:xfrm>
                    <a:prstGeom prst="rect">
                      <a:avLst/>
                    </a:prstGeom>
                  </pic:spPr>
                </pic:pic>
              </a:graphicData>
            </a:graphic>
          </wp:inline>
        </w:drawing>
      </w:r>
    </w:p>
    <w:p>
      <w:pPr>
        <w:spacing w:after="160" w:line="276"/>
      </w:pPr>
      <w:r>
        <w:rPr>
          <w:rFonts w:ascii="Calibri" w:cs="Calibri" w:eastAsia="Calibri" w:hAnsi="Calibri"/>
          <w:sz w:val="21"/>
          <w:szCs w:val="21"/>
        </w:rPr>
        <w:t xml:space="preserve">Six cities run through the identical pipeline in parallel; every component  -  ingestion, feature store, training, registry, CI/CD and inference  -  is serverless and scales to zero between scheduled runs.</w:t>
      </w:r>
    </w:p>
    <w:p>
      <w:pPr>
        <w:pStyle w:val="Heading1"/>
        <w:pBdr>
          <w:bottom w:val="single" w:color="1F2937" w:sz="8" w:space="4"/>
        </w:pBdr>
        <w:spacing w:after="200" w:before="400"/>
      </w:pPr>
      <w:r>
        <w:rPr>
          <w:rFonts w:ascii="Calibri" w:cs="Calibri" w:eastAsia="Calibri" w:hAnsi="Calibri"/>
          <w:b/>
          <w:bCs/>
          <w:color w:val="2563EB"/>
          <w:sz w:val="30"/>
          <w:szCs w:val="30"/>
        </w:rPr>
        <w:t xml:space="preserve">3.0  </w:t>
      </w:r>
      <w:r>
        <w:rPr>
          <w:rFonts w:ascii="Calibri" w:cs="Calibri" w:eastAsia="Calibri" w:hAnsi="Calibri"/>
          <w:b/>
          <w:bCs/>
          <w:color w:val="1F2937"/>
          <w:sz w:val="30"/>
          <w:szCs w:val="30"/>
        </w:rPr>
        <w:t xml:space="preserve">Model &amp; Experimentation</w:t>
      </w:r>
    </w:p>
    <w:p>
      <w:pPr>
        <w:spacing w:after="160" w:line="276"/>
      </w:pPr>
      <w:r>
        <w:rPr>
          <w:rFonts w:ascii="Calibri" w:cs="Calibri" w:eastAsia="Calibri" w:hAnsi="Calibri"/>
          <w:sz w:val="21"/>
          <w:szCs w:val="21"/>
        </w:rPr>
        <w:t xml:space="preserve">Three independent model families are trained for every city and every forecast horizon (Day 1, Day 2, Day 3):</w:t>
      </w:r>
    </w:p>
    <w:p>
      <w:pPr>
        <w:pStyle w:val="ListParagraph"/>
        <w:numPr>
          <w:ilvl w:val="0"/>
          <w:numId w:val="2"/>
        </w:numPr>
        <w:spacing w:after="90" w:line="268"/>
      </w:pPr>
      <w:r>
        <w:rPr>
          <w:rFonts w:ascii="Calibri" w:cs="Calibri" w:eastAsia="Calibri" w:hAnsi="Calibri"/>
          <w:b/>
          <w:bCs/>
          <w:sz w:val="21"/>
          <w:szCs w:val="21"/>
        </w:rPr>
        <w:t xml:space="preserve">Ridge Regression </w:t>
      </w:r>
      <w:r>
        <w:rPr>
          <w:rFonts w:ascii="Calibri" w:cs="Calibri" w:eastAsia="Calibri" w:hAnsi="Calibri"/>
          <w:sz w:val="21"/>
          <w:szCs w:val="21"/>
        </w:rPr>
        <w:t xml:space="preserve">(scikit-learn)  -  a fast, regularised linear baseline.</w:t>
      </w:r>
    </w:p>
    <w:p>
      <w:pPr>
        <w:pStyle w:val="ListParagraph"/>
        <w:numPr>
          <w:ilvl w:val="0"/>
          <w:numId w:val="2"/>
        </w:numPr>
        <w:spacing w:after="90" w:line="268"/>
      </w:pPr>
      <w:r>
        <w:rPr>
          <w:rFonts w:ascii="Calibri" w:cs="Calibri" w:eastAsia="Calibri" w:hAnsi="Calibri"/>
          <w:b/>
          <w:bCs/>
          <w:sz w:val="21"/>
          <w:szCs w:val="21"/>
        </w:rPr>
        <w:t xml:space="preserve">Random Forest </w:t>
      </w:r>
      <w:r>
        <w:rPr>
          <w:rFonts w:ascii="Calibri" w:cs="Calibri" w:eastAsia="Calibri" w:hAnsi="Calibri"/>
          <w:sz w:val="21"/>
          <w:szCs w:val="21"/>
        </w:rPr>
        <w:t xml:space="preserve">(scikit-learn)  -  captures non-linear relationships between weather and pollution features.</w:t>
      </w:r>
    </w:p>
    <w:p>
      <w:pPr>
        <w:pStyle w:val="ListParagraph"/>
        <w:numPr>
          <w:ilvl w:val="0"/>
          <w:numId w:val="2"/>
        </w:numPr>
        <w:spacing w:after="90" w:line="268"/>
      </w:pPr>
      <w:r>
        <w:rPr>
          <w:rFonts w:ascii="Calibri" w:cs="Calibri" w:eastAsia="Calibri" w:hAnsi="Calibri"/>
          <w:b/>
          <w:bCs/>
          <w:sz w:val="21"/>
          <w:szCs w:val="21"/>
        </w:rPr>
        <w:t xml:space="preserve">TensorFlow Neural Network </w:t>
      </w:r>
      <w:r>
        <w:rPr>
          <w:rFonts w:ascii="Calibri" w:cs="Calibri" w:eastAsia="Calibri" w:hAnsi="Calibri"/>
          <w:sz w:val="21"/>
          <w:szCs w:val="21"/>
        </w:rPr>
        <w:t xml:space="preserve"> -  a custom deep model competing directly against the statistical models.</w:t>
      </w:r>
    </w:p>
    <w:p>
      <w:pPr>
        <w:spacing w:after="160" w:line="276"/>
      </w:pPr>
      <w:r>
        <w:rPr>
          <w:rFonts w:ascii="Calibri" w:cs="Calibri" w:eastAsia="Calibri" w:hAnsi="Calibri"/>
          <w:sz w:val="21"/>
          <w:szCs w:val="21"/>
        </w:rPr>
        <w:t xml:space="preserve">Each model is scored on RMSE, MAE and R². Rather than picking one “winning” architecture, the final forecast is the median of all three predictions per city and horizon  -  a simple ensembling approach that guards against any single model's outliers.</w:t>
      </w:r>
    </w:p>
    <w:p>
      <w:pPr>
        <w:pStyle w:val="Heading2"/>
        <w:spacing w:after="120" w:before="260"/>
      </w:pPr>
      <w:r>
        <w:rPr>
          <w:rFonts w:ascii="Calibri" w:cs="Calibri" w:eastAsia="Calibri" w:hAnsi="Calibri"/>
          <w:b/>
          <w:bCs/>
          <w:color w:val="1F2937"/>
          <w:sz w:val="24"/>
          <w:szCs w:val="24"/>
        </w:rPr>
        <w:t xml:space="preserve">Sample Results  -  Karachi</w:t>
      </w:r>
    </w:p>
    <w:p>
      <w:pPr>
        <w:spacing w:after="160" w:line="276"/>
      </w:pPr>
      <w:r>
        <w:rPr>
          <w:rFonts w:ascii="Calibri" w:cs="Calibri" w:eastAsia="Calibri" w:hAnsi="Calibri"/>
          <w:sz w:val="21"/>
          <w:szCs w:val="21"/>
        </w:rPr>
        <w:t xml:space="preserve">Karachi is shown below as a representative sample; the same training and evaluation pipeline runs independently for all six cities.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1900"/>
        <w:gridCol w:w="1900"/>
      </w:tblGrid>
      <w:tr>
        <w:trPr>
          <w:tblHeader/>
        </w:trPr>
        <w:tc>
          <w:tcPr>
            <w:tcW w:type="dxa" w:w="21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Horizon</w:t>
            </w:r>
          </w:p>
        </w:tc>
        <w:tc>
          <w:tcPr>
            <w:tcW w:type="dxa" w:w="35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Best Model</w:t>
            </w:r>
          </w:p>
        </w:tc>
        <w:tc>
          <w:tcPr>
            <w:tcW w:type="dxa" w:w="19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RMSE</w:t>
            </w:r>
          </w:p>
        </w:tc>
        <w:tc>
          <w:tcPr>
            <w:tcW w:type="dxa" w:w="19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R²</w:t>
            </w:r>
          </w:p>
        </w:tc>
      </w:tr>
      <w:tr>
        <w:tc>
          <w:tcPr>
            <w:tcW w:type="dxa" w:w="21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Day 1</w:t>
            </w:r>
          </w:p>
        </w:tc>
        <w:tc>
          <w:tcPr>
            <w:tcW w:type="dxa" w:w="35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Neural Network</w:t>
            </w:r>
          </w:p>
        </w:tc>
        <w:tc>
          <w:tcPr>
            <w:tcW w:type="dxa" w:w="19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6.9</w:t>
            </w:r>
          </w:p>
        </w:tc>
        <w:tc>
          <w:tcPr>
            <w:tcW w:type="dxa" w:w="19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0.75</w:t>
            </w:r>
          </w:p>
        </w:tc>
      </w:tr>
      <w:tr>
        <w:tc>
          <w:tcPr>
            <w:tcW w:type="dxa" w:w="21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Day 2</w:t>
            </w:r>
          </w:p>
        </w:tc>
        <w:tc>
          <w:tcPr>
            <w:tcW w:type="dxa" w:w="35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Random Forest</w:t>
            </w:r>
          </w:p>
        </w:tc>
        <w:tc>
          <w:tcPr>
            <w:tcW w:type="dxa" w:w="19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7.8</w:t>
            </w:r>
          </w:p>
        </w:tc>
        <w:tc>
          <w:tcPr>
            <w:tcW w:type="dxa" w:w="1900"/>
            <w:shd w:fill="F2F4F7" w:val="clear"/>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0.66</w:t>
            </w:r>
          </w:p>
        </w:tc>
      </w:tr>
      <w:tr>
        <w:tc>
          <w:tcPr>
            <w:tcW w:type="dxa" w:w="21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Day 3</w:t>
            </w:r>
          </w:p>
        </w:tc>
        <w:tc>
          <w:tcPr>
            <w:tcW w:type="dxa" w:w="35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Neural Network</w:t>
            </w:r>
          </w:p>
        </w:tc>
        <w:tc>
          <w:tcPr>
            <w:tcW w:type="dxa" w:w="19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7.0</w:t>
            </w:r>
          </w:p>
        </w:tc>
        <w:tc>
          <w:tcPr>
            <w:tcW w:type="dxa" w:w="1900"/>
            <w:tcMar>
              <w:top w:type="dxa" w:w="90"/>
              <w:left w:type="dxa" w:w="120"/>
              <w:bottom w:type="dxa" w:w="90"/>
              <w:right w:type="dxa" w:w="120"/>
            </w:tcMar>
            <w:vAlign w:val="center"/>
          </w:tcPr>
          <w:p>
            <w:pPr>
              <w:jc w:val="left"/>
            </w:pPr>
            <w:r>
              <w:rPr>
                <w:rFonts w:ascii="Calibri" w:cs="Calibri" w:eastAsia="Calibri" w:hAnsi="Calibri"/>
                <w:b w:val="false"/>
                <w:bCs w:val="false"/>
                <w:color w:val="000000"/>
                <w:sz w:val="20"/>
                <w:szCs w:val="20"/>
              </w:rPr>
              <w:t xml:space="preserve">0.72</w:t>
            </w:r>
          </w:p>
        </w:tc>
      </w:tr>
    </w:tbl>
    <w:p>
      <w:pPr>
        <w:spacing w:after="160" w:line="276"/>
      </w:pPr>
      <w:r>
        <w:rPr>
          <w:rFonts w:ascii="Calibri" w:cs="Calibri" w:eastAsia="Calibri" w:hAnsi="Calibri"/>
          <w:sz w:val="21"/>
          <w:szCs w:val="21"/>
        </w:rPr>
        <w:t xml:space="preserve"/>
      </w:r>
    </w:p>
    <w:p>
      <w:pPr>
        <w:spacing w:after="160" w:line="276"/>
      </w:pPr>
      <w:r>
        <w:rPr>
          <w:rFonts w:ascii="Calibri" w:cs="Calibri" w:eastAsia="Calibri" w:hAnsi="Calibri"/>
          <w:sz w:val="21"/>
          <w:szCs w:val="21"/>
        </w:rPr>
        <w:t xml:space="preserve">Accuracy is naturally highest for the Day 1 horizon and gradually loosens further out  -  the expected pattern for a weather-driven forecasting problem  -  which is why each horizon is trained and evaluated as its own model rather than a single multi-step forecaster.</w:t>
      </w:r>
    </w:p>
    <w:p>
      <w:pPr>
        <w:pStyle w:val="Heading1"/>
        <w:pBdr>
          <w:bottom w:val="single" w:color="1F2937" w:sz="8" w:space="4"/>
        </w:pBdr>
        <w:spacing w:after="200" w:before="400"/>
      </w:pPr>
      <w:r>
        <w:rPr>
          <w:rFonts w:ascii="Calibri" w:cs="Calibri" w:eastAsia="Calibri" w:hAnsi="Calibri"/>
          <w:b/>
          <w:bCs/>
          <w:color w:val="2563EB"/>
          <w:sz w:val="30"/>
          <w:szCs w:val="30"/>
        </w:rPr>
        <w:t xml:space="preserve">4.0  </w:t>
      </w:r>
      <w:r>
        <w:rPr>
          <w:rFonts w:ascii="Calibri" w:cs="Calibri" w:eastAsia="Calibri" w:hAnsi="Calibri"/>
          <w:b/>
          <w:bCs/>
          <w:color w:val="1F2937"/>
          <w:sz w:val="30"/>
          <w:szCs w:val="30"/>
        </w:rPr>
        <w:t xml:space="preserve">Production Operations</w:t>
      </w:r>
    </w:p>
    <w:p>
      <w:pPr>
        <w:pStyle w:val="Heading2"/>
        <w:spacing w:after="120" w:before="260"/>
      </w:pPr>
      <w:r>
        <w:rPr>
          <w:rFonts w:ascii="Calibri" w:cs="Calibri" w:eastAsia="Calibri" w:hAnsi="Calibri"/>
          <w:b/>
          <w:bCs/>
          <w:color w:val="1F2937"/>
          <w:sz w:val="24"/>
          <w:szCs w:val="24"/>
        </w:rPr>
        <w:t xml:space="preserve">CI / CD / CT Pipeline Design</w:t>
      </w:r>
    </w:p>
    <w:p>
      <w:pPr>
        <w:pStyle w:val="ListParagraph"/>
        <w:numPr>
          <w:ilvl w:val="0"/>
          <w:numId w:val="2"/>
        </w:numPr>
        <w:spacing w:after="90" w:line="268"/>
      </w:pPr>
      <w:r>
        <w:rPr>
          <w:rFonts w:ascii="Calibri" w:cs="Calibri" w:eastAsia="Calibri" w:hAnsi="Calibri"/>
          <w:b/>
          <w:bCs/>
          <w:sz w:val="21"/>
          <w:szCs w:val="21"/>
        </w:rPr>
        <w:t xml:space="preserve">Continuous Integration: </w:t>
      </w:r>
      <w:r>
        <w:rPr>
          <w:rFonts w:ascii="Calibri" w:cs="Calibri" w:eastAsia="Calibri" w:hAnsi="Calibri"/>
          <w:sz w:val="21"/>
          <w:szCs w:val="21"/>
        </w:rPr>
        <w:t xml:space="preserve">Feature-generation and training scripts run on every push as part of the GitHub Actions workflow.</w:t>
      </w:r>
    </w:p>
    <w:p>
      <w:pPr>
        <w:pStyle w:val="ListParagraph"/>
        <w:numPr>
          <w:ilvl w:val="0"/>
          <w:numId w:val="2"/>
        </w:numPr>
        <w:spacing w:after="90" w:line="268"/>
      </w:pPr>
      <w:r>
        <w:rPr>
          <w:rFonts w:ascii="Calibri" w:cs="Calibri" w:eastAsia="Calibri" w:hAnsi="Calibri"/>
          <w:b/>
          <w:bCs/>
          <w:sz w:val="21"/>
          <w:szCs w:val="21"/>
        </w:rPr>
        <w:t xml:space="preserve">Continuous Deployment: </w:t>
      </w:r>
      <w:r>
        <w:rPr>
          <w:rFonts w:ascii="Calibri" w:cs="Calibri" w:eastAsia="Calibri" w:hAnsi="Calibri"/>
          <w:sz w:val="21"/>
          <w:szCs w:val="21"/>
        </w:rPr>
        <w:t xml:space="preserve">Validated models and application code are deployed to Cloud Run as independent services.</w:t>
      </w:r>
    </w:p>
    <w:p>
      <w:pPr>
        <w:pStyle w:val="ListParagraph"/>
        <w:numPr>
          <w:ilvl w:val="0"/>
          <w:numId w:val="2"/>
        </w:numPr>
        <w:spacing w:after="90" w:line="268"/>
      </w:pPr>
      <w:r>
        <w:rPr>
          <w:rFonts w:ascii="Calibri" w:cs="Calibri" w:eastAsia="Calibri" w:hAnsi="Calibri"/>
          <w:b/>
          <w:bCs/>
          <w:sz w:val="21"/>
          <w:szCs w:val="21"/>
        </w:rPr>
        <w:t xml:space="preserve">Continuous Training: </w:t>
      </w:r>
      <w:r>
        <w:rPr>
          <w:rFonts w:ascii="Calibri" w:cs="Calibri" w:eastAsia="Calibri" w:hAnsi="Calibri"/>
          <w:sz w:val="21"/>
          <w:szCs w:val="21"/>
        </w:rPr>
        <w:t xml:space="preserve">Feature collection runs hourly; full model retraining runs daily, so every model is refreshed against the latest available data without manual intervention.</w:t>
      </w:r>
    </w:p>
    <w:p>
      <w:pPr>
        <w:pStyle w:val="Heading2"/>
        <w:spacing w:after="120" w:before="260"/>
      </w:pPr>
      <w:r>
        <w:rPr>
          <w:rFonts w:ascii="Calibri" w:cs="Calibri" w:eastAsia="Calibri" w:hAnsi="Calibri"/>
          <w:b/>
          <w:bCs/>
          <w:color w:val="1F2937"/>
          <w:sz w:val="24"/>
          <w:szCs w:val="24"/>
        </w:rPr>
        <w:t xml:space="preserve">Authentication &amp; Deployment</w:t>
      </w:r>
    </w:p>
    <w:p>
      <w:pPr>
        <w:pStyle w:val="ListParagraph"/>
        <w:numPr>
          <w:ilvl w:val="0"/>
          <w:numId w:val="2"/>
        </w:numPr>
        <w:spacing w:after="90" w:line="268"/>
      </w:pPr>
      <w:r>
        <w:rPr>
          <w:rFonts w:ascii="Calibri" w:cs="Calibri" w:eastAsia="Calibri" w:hAnsi="Calibri"/>
          <w:b/>
          <w:bCs/>
          <w:sz w:val="21"/>
          <w:szCs w:val="21"/>
        </w:rPr>
        <w:t xml:space="preserve">Workload Identity Federation: </w:t>
      </w:r>
      <w:r>
        <w:rPr>
          <w:rFonts w:ascii="Calibri" w:cs="Calibri" w:eastAsia="Calibri" w:hAnsi="Calibri"/>
          <w:sz w:val="21"/>
          <w:szCs w:val="21"/>
        </w:rPr>
        <w:t xml:space="preserve">GitHub Actions authenticates to Google Cloud keylessly  -  no long-lived service-account keys are stored in the repository or the runner.</w:t>
      </w:r>
    </w:p>
    <w:p>
      <w:pPr>
        <w:pStyle w:val="ListParagraph"/>
        <w:numPr>
          <w:ilvl w:val="0"/>
          <w:numId w:val="2"/>
        </w:numPr>
        <w:spacing w:after="90" w:line="268"/>
      </w:pPr>
      <w:r>
        <w:rPr>
          <w:rFonts w:ascii="Calibri" w:cs="Calibri" w:eastAsia="Calibri" w:hAnsi="Calibri"/>
          <w:b/>
          <w:bCs/>
          <w:sz w:val="21"/>
          <w:szCs w:val="21"/>
        </w:rPr>
        <w:t xml:space="preserve">Two independent Cloud Run services: </w:t>
      </w:r>
      <w:r>
        <w:rPr>
          <w:rFonts w:ascii="Calibri" w:cs="Calibri" w:eastAsia="Calibri" w:hAnsi="Calibri"/>
          <w:sz w:val="21"/>
          <w:szCs w:val="21"/>
        </w:rPr>
        <w:t xml:space="preserve">a Streamlit dashboard (interactive UI, city selection, SHAP explainability, hazardous-AQI alerts) and a Flask REST API exposing the same forecasts as JSON  -  deployed and scaled separately.</w:t>
      </w:r>
    </w:p>
    <w:p>
      <w:pPr>
        <w:pStyle w:val="ListParagraph"/>
        <w:numPr>
          <w:ilvl w:val="0"/>
          <w:numId w:val="2"/>
        </w:numPr>
        <w:spacing w:after="90" w:line="268"/>
      </w:pPr>
      <w:r>
        <w:rPr>
          <w:rFonts w:ascii="Calibri" w:cs="Calibri" w:eastAsia="Calibri" w:hAnsi="Calibri"/>
          <w:b/>
          <w:bCs/>
          <w:sz w:val="21"/>
          <w:szCs w:val="21"/>
        </w:rPr>
        <w:t xml:space="preserve">100% serverless: </w:t>
      </w:r>
      <w:r>
        <w:rPr>
          <w:rFonts w:ascii="Calibri" w:cs="Calibri" w:eastAsia="Calibri" w:hAnsi="Calibri"/>
          <w:sz w:val="21"/>
          <w:szCs w:val="21"/>
        </w:rPr>
        <w:t xml:space="preserve">every component  -  ingestion, feature store, registry, dashboard and API  -  scales to zero and incurs no cost while idle.</w:t>
      </w:r>
    </w:p>
    <w:p>
      <w:pPr>
        <w:pStyle w:val="Heading1"/>
        <w:pBdr>
          <w:bottom w:val="single" w:color="1F2937" w:sz="8" w:space="4"/>
        </w:pBdr>
        <w:spacing w:after="200" w:before="400"/>
      </w:pPr>
      <w:r>
        <w:rPr>
          <w:rFonts w:ascii="Calibri" w:cs="Calibri" w:eastAsia="Calibri" w:hAnsi="Calibri"/>
          <w:b/>
          <w:bCs/>
          <w:color w:val="2563EB"/>
          <w:sz w:val="30"/>
          <w:szCs w:val="30"/>
        </w:rPr>
        <w:t xml:space="preserve">5.0  </w:t>
      </w:r>
      <w:r>
        <w:rPr>
          <w:rFonts w:ascii="Calibri" w:cs="Calibri" w:eastAsia="Calibri" w:hAnsi="Calibri"/>
          <w:b/>
          <w:bCs/>
          <w:color w:val="1F2937"/>
          <w:sz w:val="30"/>
          <w:szCs w:val="30"/>
        </w:rPr>
        <w:t xml:space="preserve">Monitoring, Explainability &amp; Governance</w:t>
      </w:r>
    </w:p>
    <w:p>
      <w:pPr>
        <w:pStyle w:val="Heading2"/>
        <w:spacing w:after="120" w:before="260"/>
      </w:pPr>
      <w:r>
        <w:rPr>
          <w:rFonts w:ascii="Calibri" w:cs="Calibri" w:eastAsia="Calibri" w:hAnsi="Calibri"/>
          <w:b/>
          <w:bCs/>
          <w:color w:val="1F2937"/>
          <w:sz w:val="24"/>
          <w:szCs w:val="24"/>
        </w:rPr>
        <w:t xml:space="preserve">Explainability</w:t>
      </w:r>
    </w:p>
    <w:p>
      <w:pPr>
        <w:spacing w:after="160" w:line="276"/>
      </w:pPr>
      <w:r>
        <w:rPr>
          <w:rFonts w:ascii="Calibri" w:cs="Calibri" w:eastAsia="Calibri" w:hAnsi="Calibri"/>
          <w:sz w:val="21"/>
          <w:szCs w:val="21"/>
        </w:rPr>
        <w:t xml:space="preserve">The dashboard integrates SHAP feature-importance so any single forecast can be traced back to the features that drove it, rather than being produced by a black box.</w:t>
      </w:r>
    </w:p>
    <w:p>
      <w:pPr>
        <w:pStyle w:val="Heading2"/>
        <w:spacing w:after="120" w:before="260"/>
      </w:pPr>
      <w:r>
        <w:rPr>
          <w:rFonts w:ascii="Calibri" w:cs="Calibri" w:eastAsia="Calibri" w:hAnsi="Calibri"/>
          <w:b/>
          <w:bCs/>
          <w:color w:val="1F2937"/>
          <w:sz w:val="24"/>
          <w:szCs w:val="24"/>
        </w:rPr>
        <w:t xml:space="preserve">Operational Monitoring</w:t>
      </w:r>
    </w:p>
    <w:p>
      <w:pPr>
        <w:pStyle w:val="ListParagraph"/>
        <w:numPr>
          <w:ilvl w:val="0"/>
          <w:numId w:val="2"/>
        </w:numPr>
        <w:spacing w:after="90" w:line="268"/>
      </w:pPr>
      <w:r>
        <w:rPr>
          <w:rFonts w:ascii="Calibri" w:cs="Calibri" w:eastAsia="Calibri" w:hAnsi="Calibri"/>
          <w:b/>
          <w:bCs/>
          <w:sz w:val="21"/>
          <w:szCs w:val="21"/>
        </w:rPr>
        <w:t xml:space="preserve">Hazardous AQI alerts: </w:t>
      </w:r>
      <w:r>
        <w:rPr>
          <w:rFonts w:ascii="Calibri" w:cs="Calibri" w:eastAsia="Calibri" w:hAnsi="Calibri"/>
          <w:sz w:val="21"/>
          <w:szCs w:val="21"/>
        </w:rPr>
        <w:t xml:space="preserve">threshold-based warnings surface directly on the dashboard when a forecast crosses into an unhealthy range.</w:t>
      </w:r>
    </w:p>
    <w:p>
      <w:pPr>
        <w:pStyle w:val="ListParagraph"/>
        <w:numPr>
          <w:ilvl w:val="0"/>
          <w:numId w:val="2"/>
        </w:numPr>
        <w:spacing w:after="90" w:line="268"/>
      </w:pPr>
      <w:r>
        <w:rPr>
          <w:rFonts w:ascii="Calibri" w:cs="Calibri" w:eastAsia="Calibri" w:hAnsi="Calibri"/>
          <w:b/>
          <w:bCs/>
          <w:sz w:val="21"/>
          <w:szCs w:val="21"/>
        </w:rPr>
        <w:t xml:space="preserve">City ranking: </w:t>
      </w:r>
      <w:r>
        <w:rPr>
          <w:rFonts w:ascii="Calibri" w:cs="Calibri" w:eastAsia="Calibri" w:hAnsi="Calibri"/>
          <w:sz w:val="21"/>
          <w:szCs w:val="21"/>
        </w:rPr>
        <w:t xml:space="preserve">the six cities are compared side-by-side, making relative air-quality risk visible at a glance.</w:t>
      </w:r>
    </w:p>
    <w:p>
      <w:pPr>
        <w:pStyle w:val="ListParagraph"/>
        <w:numPr>
          <w:ilvl w:val="0"/>
          <w:numId w:val="2"/>
        </w:numPr>
        <w:spacing w:after="90" w:line="268"/>
      </w:pPr>
      <w:r>
        <w:rPr>
          <w:rFonts w:ascii="Calibri" w:cs="Calibri" w:eastAsia="Calibri" w:hAnsi="Calibri"/>
          <w:b/>
          <w:bCs/>
          <w:sz w:val="21"/>
          <w:szCs w:val="21"/>
        </w:rPr>
        <w:t xml:space="preserve">Forecast confidence indicators: </w:t>
      </w:r>
      <w:r>
        <w:rPr>
          <w:rFonts w:ascii="Calibri" w:cs="Calibri" w:eastAsia="Calibri" w:hAnsi="Calibri"/>
          <w:sz w:val="21"/>
          <w:szCs w:val="21"/>
        </w:rPr>
        <w:t xml:space="preserve">surfaced alongside each prediction so users can gauge how much to trust a given number.</w:t>
      </w:r>
    </w:p>
    <w:p>
      <w:pPr>
        <w:pStyle w:val="ListParagraph"/>
        <w:numPr>
          <w:ilvl w:val="0"/>
          <w:numId w:val="2"/>
        </w:numPr>
        <w:spacing w:after="90" w:line="268"/>
      </w:pPr>
      <w:r>
        <w:rPr>
          <w:rFonts w:ascii="Calibri" w:cs="Calibri" w:eastAsia="Calibri" w:hAnsi="Calibri"/>
          <w:b/>
          <w:bCs/>
          <w:sz w:val="21"/>
          <w:szCs w:val="21"/>
        </w:rPr>
        <w:t xml:space="preserve">Drift mitigation: </w:t>
      </w:r>
      <w:r>
        <w:rPr>
          <w:rFonts w:ascii="Calibri" w:cs="Calibri" w:eastAsia="Calibri" w:hAnsi="Calibri"/>
          <w:sz w:val="21"/>
          <w:szCs w:val="21"/>
        </w:rPr>
        <w:t xml:space="preserve">rather than a separate drift-detection service, daily retraining keeps every model current against the latest 30-day window of real data  -  the primary defence against concept drift for this deployment.</w:t>
      </w:r>
    </w:p>
    <w:p>
      <w:pPr>
        <w:pStyle w:val="ListParagraph"/>
        <w:numPr>
          <w:ilvl w:val="0"/>
          <w:numId w:val="2"/>
        </w:numPr>
        <w:spacing w:after="90" w:line="268"/>
      </w:pPr>
      <w:r>
        <w:rPr>
          <w:rFonts w:ascii="Calibri" w:cs="Calibri" w:eastAsia="Calibri" w:hAnsi="Calibri"/>
          <w:b/>
          <w:bCs/>
          <w:sz w:val="21"/>
          <w:szCs w:val="21"/>
        </w:rPr>
        <w:t xml:space="preserve">Raw-data export: </w:t>
      </w:r>
      <w:r>
        <w:rPr>
          <w:rFonts w:ascii="Calibri" w:cs="Calibri" w:eastAsia="Calibri" w:hAnsi="Calibri"/>
          <w:sz w:val="21"/>
          <w:szCs w:val="21"/>
        </w:rPr>
        <w:t xml:space="preserve">underlying features and predictions can be exported directly from the dashboard for independent auditing.</w:t>
      </w:r>
    </w:p>
    <w:p>
      <w:pPr>
        <w:pStyle w:val="Heading1"/>
        <w:pBdr>
          <w:bottom w:val="single" w:color="1F2937" w:sz="8" w:space="4"/>
        </w:pBdr>
        <w:spacing w:after="200" w:before="400"/>
      </w:pPr>
      <w:r>
        <w:rPr>
          <w:rFonts w:ascii="Calibri" w:cs="Calibri" w:eastAsia="Calibri" w:hAnsi="Calibri"/>
          <w:b/>
          <w:bCs/>
          <w:color w:val="2563EB"/>
          <w:sz w:val="30"/>
          <w:szCs w:val="30"/>
        </w:rPr>
        <w:t xml:space="preserve">6.0  </w:t>
      </w:r>
      <w:r>
        <w:rPr>
          <w:rFonts w:ascii="Calibri" w:cs="Calibri" w:eastAsia="Calibri" w:hAnsi="Calibri"/>
          <w:b/>
          <w:bCs/>
          <w:color w:val="1F2937"/>
          <w:sz w:val="30"/>
          <w:szCs w:val="30"/>
        </w:rPr>
        <w:t xml:space="preserve">Security &amp; Compliance</w:t>
      </w:r>
    </w:p>
    <w:p>
      <w:pPr>
        <w:pStyle w:val="ListParagraph"/>
        <w:numPr>
          <w:ilvl w:val="0"/>
          <w:numId w:val="2"/>
        </w:numPr>
        <w:spacing w:after="90" w:line="268"/>
      </w:pPr>
      <w:r>
        <w:rPr>
          <w:rFonts w:ascii="Calibri" w:cs="Calibri" w:eastAsia="Calibri" w:hAnsi="Calibri"/>
          <w:b/>
          <w:bCs/>
          <w:sz w:val="21"/>
          <w:szCs w:val="21"/>
        </w:rPr>
        <w:t xml:space="preserve">No hardcoded credentials: </w:t>
      </w:r>
      <w:r>
        <w:rPr>
          <w:rFonts w:ascii="Calibri" w:cs="Calibri" w:eastAsia="Calibri" w:hAnsi="Calibri"/>
          <w:sz w:val="21"/>
          <w:szCs w:val="21"/>
        </w:rPr>
        <w:t xml:space="preserve">API keys and cloud credentials are never committed to source; secrets are injected at run time.</w:t>
      </w:r>
    </w:p>
    <w:p>
      <w:pPr>
        <w:pStyle w:val="ListParagraph"/>
        <w:numPr>
          <w:ilvl w:val="0"/>
          <w:numId w:val="2"/>
        </w:numPr>
        <w:spacing w:after="90" w:line="268"/>
      </w:pPr>
      <w:r>
        <w:rPr>
          <w:rFonts w:ascii="Calibri" w:cs="Calibri" w:eastAsia="Calibri" w:hAnsi="Calibri"/>
          <w:b/>
          <w:bCs/>
          <w:sz w:val="21"/>
          <w:szCs w:val="21"/>
        </w:rPr>
        <w:t xml:space="preserve">Keyless CI/CD: </w:t>
      </w:r>
      <w:r>
        <w:rPr>
          <w:rFonts w:ascii="Calibri" w:cs="Calibri" w:eastAsia="Calibri" w:hAnsi="Calibri"/>
          <w:sz w:val="21"/>
          <w:szCs w:val="21"/>
        </w:rPr>
        <w:t xml:space="preserve">Workload Identity Federation removes the need for static GCP service-account keys inside GitHub Actions, reducing the blast radius of a leaked secret to effectively zero.</w:t>
      </w:r>
    </w:p>
    <w:p>
      <w:pPr>
        <w:pStyle w:val="ListParagraph"/>
        <w:numPr>
          <w:ilvl w:val="0"/>
          <w:numId w:val="2"/>
        </w:numPr>
        <w:spacing w:after="90" w:line="268"/>
      </w:pPr>
      <w:r>
        <w:rPr>
          <w:rFonts w:ascii="Calibri" w:cs="Calibri" w:eastAsia="Calibri" w:hAnsi="Calibri"/>
          <w:b/>
          <w:bCs/>
          <w:sz w:val="21"/>
          <w:szCs w:val="21"/>
        </w:rPr>
        <w:t xml:space="preserve">Centralised lineage: </w:t>
      </w:r>
      <w:r>
        <w:rPr>
          <w:rFonts w:ascii="Calibri" w:cs="Calibri" w:eastAsia="Calibri" w:hAnsi="Calibri"/>
          <w:sz w:val="21"/>
          <w:szCs w:val="21"/>
        </w:rPr>
        <w:t xml:space="preserve">BigQuery as the single feature store means every prediction can be traced back through its feature row to the raw OpenWeather reading that produced it.</w:t>
      </w:r>
    </w:p>
    <w:p>
      <w:pPr>
        <w:pStyle w:val="ListParagraph"/>
        <w:numPr>
          <w:ilvl w:val="0"/>
          <w:numId w:val="2"/>
        </w:numPr>
        <w:spacing w:after="90" w:line="268"/>
      </w:pPr>
      <w:r>
        <w:rPr>
          <w:rFonts w:ascii="Calibri" w:cs="Calibri" w:eastAsia="Calibri" w:hAnsi="Calibri"/>
          <w:b/>
          <w:bCs/>
          <w:sz w:val="21"/>
          <w:szCs w:val="21"/>
        </w:rPr>
        <w:t xml:space="preserve">Versioned models: </w:t>
      </w:r>
      <w:r>
        <w:rPr>
          <w:rFonts w:ascii="Calibri" w:cs="Calibri" w:eastAsia="Calibri" w:hAnsi="Calibri"/>
          <w:sz w:val="21"/>
          <w:szCs w:val="21"/>
        </w:rPr>
        <w:t xml:space="preserve">Vertex AI Model Registry keeps a full, timestamped history of every model trained per city, so a deployed model can always be matched back to its training run.</w:t>
      </w:r>
    </w:p>
    <w:p>
      <w:pPr>
        <w:pStyle w:val="Heading1"/>
        <w:pBdr>
          <w:bottom w:val="single" w:color="1F2937" w:sz="8" w:space="4"/>
        </w:pBdr>
        <w:spacing w:after="200" w:before="400"/>
      </w:pPr>
      <w:r>
        <w:rPr>
          <w:rFonts w:ascii="Calibri" w:cs="Calibri" w:eastAsia="Calibri" w:hAnsi="Calibri"/>
          <w:b/>
          <w:bCs/>
          <w:color w:val="2563EB"/>
          <w:sz w:val="30"/>
          <w:szCs w:val="30"/>
        </w:rPr>
        <w:t xml:space="preserve">7.0  </w:t>
      </w:r>
      <w:r>
        <w:rPr>
          <w:rFonts w:ascii="Calibri" w:cs="Calibri" w:eastAsia="Calibri" w:hAnsi="Calibri"/>
          <w:b/>
          <w:bCs/>
          <w:color w:val="1F2937"/>
          <w:sz w:val="30"/>
          <w:szCs w:val="30"/>
        </w:rPr>
        <w:t xml:space="preserve">Live Deployment &amp; Results</w:t>
      </w:r>
    </w:p>
    <w:p>
      <w:pPr>
        <w:pStyle w:val="Heading2"/>
        <w:spacing w:after="120" w:before="260"/>
      </w:pPr>
      <w:r>
        <w:rPr>
          <w:rFonts w:ascii="Calibri" w:cs="Calibri" w:eastAsia="Calibri" w:hAnsi="Calibri"/>
          <w:b/>
          <w:bCs/>
          <w:color w:val="1F2937"/>
          <w:sz w:val="24"/>
          <w:szCs w:val="24"/>
        </w:rPr>
        <w:t xml:space="preserve">Live Links</w:t>
      </w:r>
    </w:p>
    <w:p>
      <w:pPr>
        <w:pStyle w:val="ListParagraph"/>
        <w:numPr>
          <w:ilvl w:val="0"/>
          <w:numId w:val="2"/>
        </w:numPr>
        <w:spacing w:after="90" w:line="268"/>
      </w:pPr>
      <w:r>
        <w:rPr>
          <w:rFonts w:ascii="Calibri" w:cs="Calibri" w:eastAsia="Calibri" w:hAnsi="Calibri"/>
          <w:b/>
          <w:bCs/>
          <w:sz w:val="21"/>
          <w:szCs w:val="21"/>
        </w:rPr>
        <w:t xml:space="preserve">Dashboard: </w:t>
      </w:r>
      <w:r>
        <w:rPr>
          <w:rFonts w:ascii="Calibri" w:cs="Calibri" w:eastAsia="Calibri" w:hAnsi="Calibri"/>
          <w:sz w:val="21"/>
          <w:szCs w:val="21"/>
        </w:rPr>
        <w:t xml:space="preserve">aqi-predictor-dashboard-444682761540.asia-south1.run.app</w:t>
      </w:r>
    </w:p>
    <w:p>
      <w:pPr>
        <w:pStyle w:val="ListParagraph"/>
        <w:numPr>
          <w:ilvl w:val="0"/>
          <w:numId w:val="2"/>
        </w:numPr>
        <w:spacing w:after="90" w:line="268"/>
      </w:pPr>
      <w:r>
        <w:rPr>
          <w:rFonts w:ascii="Calibri" w:cs="Calibri" w:eastAsia="Calibri" w:hAnsi="Calibri"/>
          <w:b/>
          <w:bCs/>
          <w:sz w:val="21"/>
          <w:szCs w:val="21"/>
        </w:rPr>
        <w:t xml:space="preserve">API: </w:t>
      </w:r>
      <w:r>
        <w:rPr>
          <w:rFonts w:ascii="Calibri" w:cs="Calibri" w:eastAsia="Calibri" w:hAnsi="Calibri"/>
          <w:sz w:val="21"/>
          <w:szCs w:val="21"/>
        </w:rPr>
        <w:t xml:space="preserve">aqi-predictor-api-444682761540.asia-south1.run.app</w:t>
      </w:r>
    </w:p>
    <w:p>
      <w:pPr>
        <w:pStyle w:val="ListParagraph"/>
        <w:numPr>
          <w:ilvl w:val="0"/>
          <w:numId w:val="2"/>
        </w:numPr>
        <w:spacing w:after="90" w:line="268"/>
      </w:pPr>
      <w:r>
        <w:rPr>
          <w:rFonts w:ascii="Calibri" w:cs="Calibri" w:eastAsia="Calibri" w:hAnsi="Calibri"/>
          <w:b/>
          <w:bCs/>
          <w:sz w:val="21"/>
          <w:szCs w:val="21"/>
        </w:rPr>
        <w:t xml:space="preserve">Source code: </w:t>
      </w:r>
      <w:r>
        <w:rPr>
          <w:rFonts w:ascii="Calibri" w:cs="Calibri" w:eastAsia="Calibri" w:hAnsi="Calibri"/>
          <w:sz w:val="21"/>
          <w:szCs w:val="21"/>
        </w:rPr>
        <w:t xml:space="preserve">github.com/Naveedjokhio/10Pearls_aqi-predictor</w:t>
      </w:r>
    </w:p>
    <w:p>
      <w:pPr>
        <w:spacing w:after="160" w:line="276"/>
      </w:pPr>
      <w:r>
        <w:rPr>
          <w:rFonts w:ascii="Calibri" w:cs="Calibri" w:eastAsia="Calibri" w:hAnsi="Calibri"/>
          <w:sz w:val="21"/>
          <w:szCs w:val="21"/>
        </w:rPr>
        <w:t xml:space="preserve">Both services are public, run 24/7 independent of any local machine, and are backed entirely by managed, serverless infrastructure.</w:t>
      </w:r>
    </w:p>
    <w:p>
      <w:pPr>
        <w:pStyle w:val="Heading2"/>
        <w:spacing w:after="120" w:before="260"/>
      </w:pPr>
      <w:r>
        <w:rPr>
          <w:rFonts w:ascii="Calibri" w:cs="Calibri" w:eastAsia="Calibri" w:hAnsi="Calibri"/>
          <w:b/>
          <w:bCs/>
          <w:color w:val="1F2937"/>
          <w:sz w:val="24"/>
          <w:szCs w:val="24"/>
        </w:rPr>
        <w:t xml:space="preserve">Scope Delivered</w:t>
      </w:r>
    </w:p>
    <w:p>
      <w:pPr>
        <w:pStyle w:val="ListParagraph"/>
        <w:numPr>
          <w:ilvl w:val="0"/>
          <w:numId w:val="2"/>
        </w:numPr>
        <w:spacing w:after="90" w:line="268"/>
      </w:pPr>
      <w:r>
        <w:rPr>
          <w:rFonts w:ascii="Calibri" w:cs="Calibri" w:eastAsia="Calibri" w:hAnsi="Calibri"/>
          <w:sz w:val="21"/>
          <w:szCs w:val="21"/>
        </w:rPr>
        <w:t xml:space="preserve">Multi-city coverage: six major Pakistani cities, versus the single-city (Karachi) brief.</w:t>
      </w:r>
    </w:p>
    <w:p>
      <w:pPr>
        <w:pStyle w:val="ListParagraph"/>
        <w:numPr>
          <w:ilvl w:val="0"/>
          <w:numId w:val="2"/>
        </w:numPr>
        <w:spacing w:after="90" w:line="268"/>
      </w:pPr>
      <w:r>
        <w:rPr>
          <w:rFonts w:ascii="Calibri" w:cs="Calibri" w:eastAsia="Calibri" w:hAnsi="Calibri"/>
          <w:sz w:val="21"/>
          <w:szCs w:val="21"/>
        </w:rPr>
        <w:t xml:space="preserve">Three model families per city per forecast horizon, combined via median ensembling.</w:t>
      </w:r>
    </w:p>
    <w:p>
      <w:pPr>
        <w:pStyle w:val="ListParagraph"/>
        <w:numPr>
          <w:ilvl w:val="0"/>
          <w:numId w:val="2"/>
        </w:numPr>
        <w:spacing w:after="90" w:line="268"/>
      </w:pPr>
      <w:r>
        <w:rPr>
          <w:rFonts w:ascii="Calibri" w:cs="Calibri" w:eastAsia="Calibri" w:hAnsi="Calibri"/>
          <w:sz w:val="21"/>
          <w:szCs w:val="21"/>
        </w:rPr>
        <w:t xml:space="preserve">Fully automated feature refresh (hourly) and retraining (daily).</w:t>
      </w:r>
    </w:p>
    <w:p>
      <w:pPr>
        <w:pStyle w:val="ListParagraph"/>
        <w:numPr>
          <w:ilvl w:val="0"/>
          <w:numId w:val="2"/>
        </w:numPr>
        <w:spacing w:after="90" w:line="268"/>
      </w:pPr>
      <w:r>
        <w:rPr>
          <w:rFonts w:ascii="Calibri" w:cs="Calibri" w:eastAsia="Calibri" w:hAnsi="Calibri"/>
          <w:sz w:val="21"/>
          <w:szCs w:val="21"/>
        </w:rPr>
        <w:t xml:space="preserve">Two independently deployed, serverless production services: dashboard and API.</w:t>
      </w:r>
    </w:p>
    <w:p>
      <w:pPr>
        <w:pStyle w:val="ListParagraph"/>
        <w:numPr>
          <w:ilvl w:val="0"/>
          <w:numId w:val="2"/>
        </w:numPr>
        <w:spacing w:after="90" w:line="268"/>
      </w:pPr>
      <w:r>
        <w:rPr>
          <w:rFonts w:ascii="Calibri" w:cs="Calibri" w:eastAsia="Calibri" w:hAnsi="Calibri"/>
          <w:sz w:val="21"/>
          <w:szCs w:val="21"/>
        </w:rPr>
        <w:t xml:space="preserve">SHAP explainability, hazardous-AQI alerting, city ranking, confidence indicators and raw-data export.</w:t>
      </w:r>
    </w:p>
    <w:p>
      <w:pPr>
        <w:pStyle w:val="Heading1"/>
        <w:pBdr>
          <w:bottom w:val="single" w:color="1F2937" w:sz="8" w:space="4"/>
        </w:pBdr>
        <w:spacing w:after="200" w:before="400"/>
      </w:pPr>
      <w:r>
        <w:rPr>
          <w:rFonts w:ascii="Calibri" w:cs="Calibri" w:eastAsia="Calibri" w:hAnsi="Calibri"/>
          <w:b/>
          <w:bCs/>
          <w:color w:val="2563EB"/>
          <w:sz w:val="30"/>
          <w:szCs w:val="30"/>
        </w:rPr>
        <w:t xml:space="preserve">8.0  </w:t>
      </w:r>
      <w:r>
        <w:rPr>
          <w:rFonts w:ascii="Calibri" w:cs="Calibri" w:eastAsia="Calibri" w:hAnsi="Calibri"/>
          <w:b/>
          <w:bCs/>
          <w:color w:val="1F2937"/>
          <w:sz w:val="30"/>
          <w:szCs w:val="30"/>
        </w:rPr>
        <w:t xml:space="preserve">Engineering Decisions  -  Lessons Learned</w:t>
      </w:r>
    </w:p>
    <w:p>
      <w:pPr>
        <w:spacing w:after="160" w:line="276"/>
      </w:pPr>
      <w:r>
        <w:rPr>
          <w:rFonts w:ascii="Calibri" w:cs="Calibri" w:eastAsia="Calibri" w:hAnsi="Calibri"/>
          <w:sz w:val="21"/>
          <w:szCs w:val="21"/>
        </w:rPr>
        <w:t xml:space="preserve">The most valuable part of this project was working within real-world constraints rather than around them. Two decisions stand out:</w:t>
      </w:r>
    </w:p>
    <w:p>
      <w:pPr>
        <w:pStyle w:val="Heading2"/>
        <w:spacing w:after="120" w:before="260"/>
      </w:pPr>
      <w:r>
        <w:rPr>
          <w:rFonts w:ascii="Calibri" w:cs="Calibri" w:eastAsia="Calibri" w:hAnsi="Calibri"/>
          <w:b/>
          <w:bCs/>
          <w:color w:val="1F2937"/>
          <w:sz w:val="24"/>
          <w:szCs w:val="24"/>
        </w:rPr>
        <w:t xml:space="preserve">Decision 1: Data Source Substitution</w:t>
      </w:r>
    </w:p>
    <w:p>
      <w:pPr>
        <w:spacing w:after="160" w:line="276"/>
      </w:pPr>
      <w:r>
        <w:rPr>
          <w:rFonts w:ascii="Calibri" w:cs="Calibri" w:eastAsia="Calibri" w:hAnsi="Calibri"/>
          <w:sz w:val="21"/>
          <w:szCs w:val="21"/>
        </w:rPr>
        <w:t xml:space="preserve">AQICN was the natural first choice for ground-truth air-quality readings, but its own station-search and map APIs confirmed there was no active monitoring station for Karachi or Sindh. Rather than blocking on unavailable data, the project moved to OpenWeather's satellite-based Air Pollution API, which offered verified, consistent coverage across all six target cities.</w:t>
      </w:r>
    </w:p>
    <w:p>
      <w:pPr>
        <w:pStyle w:val="Heading2"/>
        <w:spacing w:after="120" w:before="260"/>
      </w:pPr>
      <w:r>
        <w:rPr>
          <w:rFonts w:ascii="Calibri" w:cs="Calibri" w:eastAsia="Calibri" w:hAnsi="Calibri"/>
          <w:b/>
          <w:bCs/>
          <w:color w:val="1F2937"/>
          <w:sz w:val="24"/>
          <w:szCs w:val="24"/>
        </w:rPr>
        <w:t xml:space="preserve">Decision 2: Feature Store Substitution</w:t>
      </w:r>
    </w:p>
    <w:p>
      <w:pPr>
        <w:spacing w:after="160" w:line="276"/>
      </w:pPr>
      <w:r>
        <w:rPr>
          <w:rFonts w:ascii="Calibri" w:cs="Calibri" w:eastAsia="Calibri" w:hAnsi="Calibri"/>
          <w:sz w:val="21"/>
          <w:szCs w:val="21"/>
        </w:rPr>
        <w:t xml:space="preserve">Hopsworks was the platform named first in the project brief, but it was independently confirmed to be experiencing a data-ingestion outage at the time of setup. Since the brief explicitly permitted Vertex AI as an alternative, the project adopted BigQuery as the feature store and Vertex AI Model Registry for trained models  -  a documented, permitted substitution rather than a shortcut.</w:t>
      </w:r>
    </w:p>
    <w:p>
      <w:pPr>
        <w:pStyle w:val="Heading2"/>
        <w:spacing w:after="120" w:before="260"/>
      </w:pPr>
      <w:r>
        <w:rPr>
          <w:rFonts w:ascii="Calibri" w:cs="Calibri" w:eastAsia="Calibri" w:hAnsi="Calibri"/>
          <w:b/>
          <w:bCs/>
          <w:color w:val="1F2937"/>
          <w:sz w:val="24"/>
          <w:szCs w:val="24"/>
        </w:rPr>
        <w:t xml:space="preserve">Takeaway</w:t>
      </w:r>
    </w:p>
    <w:p>
      <w:pPr>
        <w:spacing w:after="160" w:line="276"/>
      </w:pPr>
      <w:r>
        <w:rPr>
          <w:rFonts w:ascii="Calibri" w:cs="Calibri" w:eastAsia="Calibri" w:hAnsi="Calibri"/>
          <w:sz w:val="21"/>
          <w:szCs w:val="21"/>
        </w:rPr>
        <w:t xml:space="preserve">Both decisions followed the same discipline: confirm the problem with evidence before working around it, and prefer an already-approved alternative over an improvised one. That discipline  -  more than any single model's accuracy  -  is what let the system reach a stable, 24/7 production deployment.</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10Pearls AQI Predictor  -  MLOps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10Pearls AQI Predictor  -  MLOps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3ac1cd544cf2383374e88076a5d70de4a2364a2.png"/><Relationship Id="rId12" Type="http://schemas.openxmlformats.org/officeDocument/2006/relationships/image" Target="media/a062a2f60283e37069f7e111e7efac20bb0e337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2026-09-02T05:58:17.885Z</dcterms:created>
  <dcterms:modified xsi:type="dcterms:W3CDTF">2026-09-02T05:58:17.898Z</dcterms:modified>
</cp:coreProperties>
</file>

<file path=docProps/custom.xml><?xml version="1.0" encoding="utf-8"?>
<Properties xmlns="http://schemas.openxmlformats.org/officeDocument/2006/custom-properties" xmlns:vt="http://schemas.openxmlformats.org/officeDocument/2006/docPropsVTypes"/>
</file>