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8e900c7694dd4fd9" Type="http://schemas.openxmlformats.org/officeDocument/2006/relationships/officeDocument" Target="word/document.xml"/><Relationship Id="R51b85dfc30be4c6a" Type="http://schemas.openxmlformats.org/package/2006/relationships/metadata/core-properties" Target="docProps/core.xml"/><Relationship Id="R735b85db4b5040a2" Type="http://schemas.openxmlformats.org/officeDocument/2006/relationships/extended-properties" Target="docProps/app.xml"/><Relationship Id="Rec408208d3dd406b"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pPr>
        <w:pStyle w:val="Title"/>
      </w:pPr>
      <w:r>
        <w:t>SharedSpend Project Handoff</w:t>
      </w:r>
    </w:p>
    <w:p>
      <w:r>
        <w:t>Current project state and developer guide | Reviewed 25 September 2026</w:t>
      </w:r>
    </w:p>
    <w:p>
      <w:r>
        <w:t>This is the working handoff for the SharedSpend-clone development checkout. It describes the intended product, current code and data boundaries, implementation and verification status, known gaps, and next steps. The implementation tracker remains the detailed checklist. IMPLEMENTED means code exists; VERIFIED means the named evidence was recorded; PENDING means implementation, validation, or a decision remains open. A test does not verify an untested browser flow or database provider.</w:t>
      </w:r>
    </w:p>
    <w:tbl>
      <w:tblPr>
        <w:tblW w:type="auto" w:w="0"/>
        <w:jc w:val="center"/>
        <w:tblLook w:firstColumn="1" w:firstRow="1" w:lastColumn="0" w:lastRow="0" w:noHBand="0" w:noVBand="1" w:val="04A0"/>
        <w:tblBorders>
          <w:top w:val="single" w:sz="4" w:color="C8D2DE"/>
          <w:left w:val="single" w:sz="4" w:color="C8D2DE"/>
          <w:bottom w:val="single" w:sz="4" w:color="C8D2DE"/>
          <w:right w:val="single" w:sz="4" w:color="C8D2DE"/>
          <w:insideH w:val="single" w:sz="4" w:color="C8D2DE"/>
          <w:insideV w:val="single" w:sz="4" w:color="C8D2DE"/>
        </w:tblBorders>
      </w:tblPr>
      <w:tblGrid>
        <w:gridCol w:w="3105"/>
        <w:gridCol w:w="3105"/>
        <w:gridCol w:w="3105"/>
      </w:tblGrid>
      <w:tr>
        <w:tc>
          <w:tcPr>
            <w:tcW w:type="dxa" w:w="3105"/>
            <w:vAlign w:val="center"/>
            <w:shd w:fill="E8EEF5"/>
          </w:tcPr>
          <w:p>
            <w:r>
              <w:rPr>
                <w:b/>
              </w:rPr>
              <w:t>Area</w:t>
            </w:r>
          </w:p>
        </w:tc>
        <w:tc>
          <w:tcPr>
            <w:tcW w:type="dxa" w:w="3105"/>
            <w:vAlign w:val="center"/>
            <w:shd w:fill="E8EEF5"/>
          </w:tcPr>
          <w:p>
            <w:r>
              <w:rPr>
                <w:b/>
              </w:rPr>
              <w:t>Current status</w:t>
            </w:r>
          </w:p>
        </w:tc>
        <w:tc>
          <w:tcPr>
            <w:tcW w:type="dxa" w:w="3105"/>
            <w:vAlign w:val="center"/>
            <w:shd w:fill="E8EEF5"/>
          </w:tcPr>
          <w:p>
            <w:r>
              <w:rPr>
                <w:b/>
              </w:rPr>
              <w:t>Evidence / caveat</w:t>
            </w:r>
          </w:p>
        </w:tc>
      </w:tr>
      <w:tr>
        <w:tc>
          <w:tcPr>
            <w:tcW w:type="dxa" w:w="3105"/>
            <w:vAlign w:val="center"/>
          </w:tcPr>
          <w:p>
            <w:r>
              <w:t>Phase 1 MVP</w:t>
            </w:r>
          </w:p>
        </w:tc>
        <w:tc>
          <w:tcPr>
            <w:tcW w:type="dxa" w:w="3105"/>
            <w:vAlign w:val="center"/>
          </w:tcPr>
          <w:p>
            <w:r>
              <w:t>DONE</w:t>
            </w:r>
          </w:p>
        </w:tc>
        <w:tc>
          <w:tcPr>
            <w:tcW w:type="dxa" w:w="3105"/>
            <w:vAlign w:val="center"/>
          </w:tcPr>
          <w:p>
            <w:r>
              <w:t>Core auth, groups, budgets, transactions, categories, dashboard, analytics and responsive UI exist.</w:t>
            </w:r>
          </w:p>
        </w:tc>
      </w:tr>
      <w:tr>
        <w:tc>
          <w:tcPr>
            <w:tcW w:type="dxa" w:w="3105"/>
            <w:vAlign w:val="center"/>
          </w:tcPr>
          <w:p>
            <w:r>
              <w:t>Phase 2</w:t>
            </w:r>
          </w:p>
        </w:tc>
        <w:tc>
          <w:tcPr>
            <w:tcW w:type="dxa" w:w="3105"/>
            <w:vAlign w:val="center"/>
          </w:tcPr>
          <w:p>
            <w:r>
              <w:t>DONE</w:t>
            </w:r>
          </w:p>
        </w:tc>
        <w:tc>
          <w:tcPr>
            <w:tcW w:type="dxa" w:w="3105"/>
            <w:vAlign w:val="center"/>
          </w:tcPr>
          <w:p>
            <w:r>
              <w:t>Agreed friends/family scope and browser E2E are complete; budget copy, alerts, exports and dark mode were browser-verified.</w:t>
            </w:r>
          </w:p>
        </w:tc>
      </w:tr>
      <w:tr>
        <w:tc>
          <w:tcPr>
            <w:tcW w:type="dxa" w:w="3105"/>
            <w:vAlign w:val="center"/>
          </w:tcPr>
          <w:p>
            <w:r>
              <w:t>Phase 3</w:t>
            </w:r>
          </w:p>
        </w:tc>
        <w:tc>
          <w:tcPr>
            <w:tcW w:type="dxa" w:w="3105"/>
            <w:vAlign w:val="center"/>
          </w:tcPr>
          <w:p>
            <w:r>
              <w:t>PENDING</w:t>
            </w:r>
          </w:p>
        </w:tc>
        <w:tc>
          <w:tcPr>
            <w:tcW w:type="dxa" w:w="3105"/>
            <w:vAlign w:val="center"/>
          </w:tcPr>
          <w:p>
            <w:r>
              <w:t>No Phase 3 feature is recorded as started in the tracker.</w:t>
            </w:r>
          </w:p>
        </w:tc>
      </w:tr>
      <w:tr>
        <w:tc>
          <w:tcPr>
            <w:tcW w:type="dxa" w:w="3105"/>
            <w:vAlign w:val="center"/>
          </w:tcPr>
          <w:p>
            <w:r>
              <w:t>Shared database</w:t>
            </w:r>
          </w:p>
        </w:tc>
        <w:tc>
          <w:tcPr>
            <w:tcW w:type="dxa" w:w="3105"/>
            <w:vAlign w:val="center"/>
          </w:tcPr>
          <w:p>
            <w:r>
              <w:t>VERIFIED (Neon)</w:t>
            </w:r>
          </w:p>
        </w:tc>
        <w:tc>
          <w:tcPr>
            <w:tcW w:type="dxa" w:w="3105"/>
            <w:vAlign w:val="center"/>
          </w:tcPr>
          <w:p>
            <w:r>
              <w:t>Neon connection, TLS, Alembic head and API integration verified; production deployment is not verified.</w:t>
            </w:r>
          </w:p>
        </w:tc>
      </w:tr>
    </w:tbl>
    <w:p>
      <w:pPr>
        <w:spacing w:after="20"/>
      </w:pPr>
    </w:p>
    <w:p>
      <w:r>
        <w:t>HISTORICAL GIT BASELINE  The initial Render documentation review started from main at 87c40183; the first Render-preparation commit followed as 8c9ce8f. Use current Git status and log for the branch state now. Neon and test evidence is recorded in the dated status sections below.</w:t>
      </w:r>
    </w:p>
    <w:p>
      <w:pPr>
        <w:pStyle w:val="Heading1"/>
      </w:pPr>
      <w:r>
        <w:t>1. Project overview and purpose</w:t>
      </w:r>
    </w:p>
    <w:p>
      <w:r>
        <w:t>SharedSpend is a household, friends, or family expense tracker. Members maintain a shared group budget and shared expenses while each person can track private personal expenses. It provides categorization, period-based reporting, dashboard, settlement tracking, and exports. It is intended for a small trusted circle, not a public multi-tenant SaaS product.</w:t>
      </w:r>
    </w:p>
    <w:p>
      <w:pPr>
        <w:pStyle w:val="Heading1"/>
      </w:pPr>
      <w:r>
        <w:t>2. Current product decision</w:t>
      </w:r>
    </w:p>
    <w:p>
      <w:r>
        <w:rPr>
          <w:b/>
          <w:color w:val="1F7048"/>
        </w:rPr>
        <w:t xml:space="preserve">DONE  </w:t>
      </w:r>
      <w:r>
        <w:t>The product direction is personal use by the owner and invited friends/family. Keep the product small, private, understandable, and affordable.</w:t>
      </w:r>
    </w:p>
    <w:p>
      <w:pPr>
        <w:pStyle w:val="Heading2"/>
      </w:pPr>
      <w:r>
        <w:t>What this means</w:t>
      </w:r>
    </w:p>
    <w:p>
      <w:r>
        <w:t>•  Scope: prioritize accurate groups, budgets, transactions, privacy, settlement, exports, and reliable access across the owner’s devices. Treat advanced automation and SaaS features as optional.</w:t>
      </w:r>
    </w:p>
    <w:p>
      <w:r>
        <w:t>•  Privacy: personal transactions are private to the user who recorded them. Shared data is visible to authorized group members. Do not add public sharing or cross-group visibility without a design decision.</w:t>
      </w:r>
    </w:p>
    <w:p>
      <w:r>
        <w:t>•  Deployment: one-device local use can use SQLite. Multiple machines need the same reachable backend and database; copying SQLite files is not synchronization.</w:t>
      </w:r>
    </w:p>
    <w:p>
      <w:r>
        <w:t>•  Admin: global admin exists as an operational control for a centrally shared database. Decide whether one maintainer needs it; do not assume every household needs it.</w:t>
      </w:r>
    </w:p>
    <w:p>
      <w:r>
        <w:t>•  Monetization: none is approved. No subscriptions, ads, paid tiers, or SaaS billing are in scope.</w:t>
      </w:r>
    </w:p>
    <w:p>
      <w:r>
        <w:t>•  Infrastructure: Neon Free is the current PostgreSQL direction. Client TLS, live migrations, and a real-route integration flow were verified against one disposable Neon database; this does not establish production readiness. Backups, secrets, and recovery still need operational setup.</w:t>
      </w:r>
    </w:p>
    <w:p>
      <w:r>
        <w:t>IMPLEMENTED AND VERIFIED ON A DISPOSABLE DATABASE  PostgreSQL/Neon URL handling, client TLS, Alembic migration to head, schema, and application API integration passed on 2026-09-25. PRODUCTION PENDING  Hosting, backups, recovery, and production smoke are unverified. NEEDS DECISION  Decide whether global admin UI remains necessary for one trusted maintainer.</w:t>
      </w:r>
    </w:p>
    <w:p>
      <w:pPr>
        <w:pStyle w:val="Heading1"/>
      </w:pPr>
      <w:r>
        <w:t>3. Current architecture</w:t>
      </w:r>
    </w:p>
    <w:p>
      <w:r>
        <w:t>•  Frontend: React 19, TypeScript, Vite 8, Tailwind CSS, existing shadcn-style components, React Router, TanStack Query, Axios, and Recharts. Typed domain clients live in frontend/src/api; screens in frontend/src/pages; shared UI in frontend/src/components.</w:t>
      </w:r>
    </w:p>
    <w:p>
      <w:r>
        <w:t>•  Backend: FastAPI 0.111, Python, SQLAlchemy 2 async ORM, Pydantic schemas, and service modules. Routes are in backend/app/api; models, schemas, services, and DB sessions are separated under backend/app.</w:t>
      </w:r>
    </w:p>
    <w:p>
      <w:r>
        <w:t>•  Database: SQLAlchemy async engine/session; SQLite uses aiosqlite and PostgreSQL URLs use asyncpg. Relative SQLite URLs resolve under backend; normal local default is backend/sharedspend.db.</w:t>
      </w:r>
    </w:p>
    <w:p>
      <w:r>
        <w:t>•  Migrations: Alembic is under backend/alembic. Production does not call create_all; schema changes require explicit Alembic upgrades. Development SQLite startup calls Base.metadata.create_all and seeds global categories.</w:t>
      </w:r>
    </w:p>
    <w:p>
      <w:r>
        <w:t>•  Authentication: username/password registration and login return JWT access/refresh tokens. The frontend stores them in localStorage and sends Bearer access tokens; an interceptor refreshes after 401. Passwords use bcrypt. The older handoff’s httpOnly-cookie description is outdated.</w:t>
      </w:r>
    </w:p>
    <w:p>
      <w:r>
        <w:t>•  API: routes mount under /api/v1; local interactive docs are /docs. Domains include auth, users, groups, budgets, categories, transactions, categorization, analytics, settlements, and admin. /health is a basic process health endpoint.</w:t>
      </w:r>
    </w:p>
    <w:p>
      <w:r>
        <w:t>•  Server state: TanStack Query owns fetched data. Keys should include group and period/filter inputs; mutations must invalidate dependent queries. Inspect actual requests and active group when debugging cache inconsistencies.</w:t>
      </w:r>
    </w:p>
    <w:p>
      <w:pPr>
        <w:pStyle w:val="Heading1"/>
      </w:pPr>
      <w:r>
        <w:t>4. Repository workflow</w:t>
      </w:r>
    </w:p>
    <w:p>
      <w:r>
        <w:t>•  SharedSpend-clone is the development repository and the only repository for normal work.</w:t>
      </w:r>
    </w:p>
    <w:p>
      <w:r>
        <w:t>•  SharedSpend is the private/stable repository. Do not modify, push to, or sync with it unless explicitly instructed.</w:t>
      </w:r>
    </w:p>
    <w:p>
      <w:r>
        <w:t>•  Never force-push. Do not commit or push unless explicitly requested.</w:t>
      </w:r>
    </w:p>
    <w:p>
      <w:r>
        <w:t>•  Start_SharedSpend.bat is tracked at the repository root. Keep its paths relative to the checkout and do not put credentials in it.</w:t>
      </w:r>
    </w:p>
    <w:p>
      <w:r>
        <w:t>•  Before changing code, inspect AGENTS.md, the tracker, relevant implementation/tests, Git status, and any existing local runtime/database. Make targeted changes and preserve unrelated work.</w:t>
      </w:r>
    </w:p>
    <w:p>
      <w:r>
        <w:t>Historical repository snapshot before the first Render-preparation commit: branch main at HEAD 87c40183, matching the local origin/main ref; the live GitHub state had not been independently refreshed. The subsequent Render-preparation commit and this Python 3.11 recovery are recorded in the current dated sections.</w:t>
      </w:r>
    </w:p>
    <w:p>
      <w:pPr>
        <w:pStyle w:val="Heading1"/>
      </w:pPr>
      <w:r>
        <w:t>5. Environment and setup for a new developer</w:t>
      </w:r>
    </w:p>
    <w:p>
      <w:pPr>
        <w:pStyle w:val="Heading2"/>
      </w:pPr>
      <w:r>
        <w:t>Backend on Windows PowerShell</w:t>
      </w:r>
    </w:p>
    <w:p>
      <w:r>
        <w:t>1.  From repository root: cd backend; py -3.11 -m venv .venv; .\.venv\Scripts\Activate.ps1. If Python 3.11 is unavailable, use a compatible installed Python and confirm the venv interpreter exists.</w:t>
      </w:r>
    </w:p>
    <w:p>
      <w:r>
        <w:t>2.  Install pinned dependencies: python -m pip install -r requirements.txt.</w:t>
      </w:r>
    </w:p>
    <w:p>
      <w:r>
        <w:t>3.  Copy backend/.env.example to backend/.env. Set a private random SECRET_KEY. Never commit .env or paste secrets in logs/chat.</w:t>
      </w:r>
    </w:p>
    <w:p>
      <w:r>
        <w:t>4.  For new local SQLite, keep the sample SQLite URL. Run alembic upgrade head when initializing through migrations, then from backend run uvicorn app.main:app --reload --port 8000. Development SQLite can create missing tables and seed defaults; production must not rely on this.</w:t>
      </w:r>
    </w:p>
    <w:p>
      <w:r>
        <w:t>5.  In another terminal: cd frontend; npm ci; npm run dev. Usual address is http://localhost:5173. Vite proxies /api to localhost:8000 unless VITE_API_BASE_URL overrides it.</w:t>
      </w:r>
    </w:p>
    <w:p>
      <w:pPr>
        <w:pStyle w:val="Heading2"/>
      </w:pPr>
      <w:r>
        <w:t>Tests and build</w:t>
      </w:r>
    </w:p>
    <w:p>
      <w:r>
        <w:t>•  Backend: from backend, run pytest (or pytest -v).</w:t>
      </w:r>
    </w:p>
    <w:p>
      <w:r>
        <w:t>•  Frontend: from frontend, run npm test and npm run build. npm run lint is configured.</w:t>
      </w:r>
    </w:p>
    <w:p>
      <w:r>
        <w:t>•  Before browser testing, verify listeners on 5173/8000, command and working directory, API base URL, and redacted database target. Both processes must come from this checkout.</w:t>
      </w:r>
    </w:p>
    <w:p>
      <w:pPr>
        <w:pStyle w:val="Heading2"/>
      </w:pPr>
      <w:r>
        <w:t>Legacy databases</w:t>
      </w:r>
    </w:p>
    <w:p>
      <w:r>
        <w:t>Do not delete, recreate, stamp, or upgrade a database until its path/schema are identified and a copy exists. An older create_all database may need `alembic stamp 229e3412032a` only if its schema matches that baseline, then `alembic upgrade head`. This is conditional, not a universal startup command.</w:t>
      </w:r>
    </w:p>
    <w:p>
      <w:pPr>
        <w:pStyle w:val="Heading1"/>
      </w:pPr>
      <w:r>
        <w:t>6. Features already implemented by phase</w:t>
      </w:r>
    </w:p>
    <w:p>
      <w:pPr>
        <w:pStyle w:val="Heading2"/>
      </w:pPr>
      <w:r>
        <w:t>Phase 1 MVP</w:t>
      </w:r>
    </w:p>
    <w:p>
      <w:r>
        <w:t>IMPLEMENTED; automated suite/build results VERIFIED in the latest run. The current checkout includes registration/login, groups, monthly budgets, shared/personal transactions, categories, rule-based suggestions, filtering/search/date handling, dashboard, analytics/insights, and responsive UI.</w:t>
      </w:r>
    </w:p>
    <w:p>
      <w:r>
        <w:t>Validation through 25 September 2026: backend 98 passed / 1 opt-in Neon test skipped by default under Python 3.11 and 3.12; the separate live Neon test passed (1 passed). Frontend 92/92 passed, the production build passed, and the two-user Playwright flow passed against isolated SQLite, covering budget copy/save/reload, alerts, shared/personal privacy, analytics/chart modes, forecast, settlement/payment, CSV/XLSX contents, dark-mode persistence/chart rendering, and a 390 px layout. Read-only Neon db-status confirms TLS and Alembic head f54d2e96b1c7 with 2 users, 1 group, and 57 transactions; the live route integration passed and cleaned only its unique fixtures. Production deployment is not verified.</w:t>
      </w:r>
    </w:p>
    <w:p>
      <w:pPr>
        <w:pStyle w:val="Heading2"/>
      </w:pPr>
      <w:r>
        <w:t>Phase 2 foundations</w:t>
      </w:r>
    </w:p>
    <w:p>
      <w:r>
        <w:rPr>
          <w:b/>
          <w:color w:val="1F7048"/>
        </w:rPr>
        <w:t xml:space="preserve">DONE  </w:t>
      </w:r>
      <w:r>
        <w:t>2.1 Multiple groups/switcher: active-group context, switcher, group-scoped authorization, and tests exist.</w:t>
      </w:r>
    </w:p>
    <w:p>
      <w:r>
        <w:rPr>
          <w:b/>
          <w:color w:val="1F7048"/>
        </w:rPr>
        <w:t xml:space="preserve">DONE  </w:t>
      </w:r>
      <w:r>
        <w:t>2.2 Settlement: calculate obligations, persist history, mark debtor payments, link payments to source expense. See section 15.</w:t>
      </w:r>
    </w:p>
    <w:p>
      <w:r>
        <w:t>DONE  2.3 Categorization work is the current rule-based suggestion system and has automated backend coverage; there is no LLM integration. 2.4 Analytics/insights/forecast: period reports and deterministic insights exist. Forecast is not ML; insights are not LLM-generated.</w:t>
      </w:r>
    </w:p>
    <w:p>
      <w:r>
        <w:rPr>
          <w:b/>
          <w:color w:val="1F7048"/>
        </w:rPr>
        <w:t xml:space="preserve">DONE  </w:t>
      </w:r>
      <w:r>
        <w:t>Transactions UI separates Group and Personal sections and uses Transaction / Made By / Amount columns. Debits are negative/red; credits positive/green. Fixed responsive grid keeps columns aligned. Desktop view was visually inspected 24 September; broader device/screen review remains open.</w:t>
      </w:r>
    </w:p>
    <w:p>
      <w:r>
        <w:t>DONE  CSV and XLSX flows exist. API filters/auth and workbook generation are covered by tests; the Playwright browser E2E downloaded and inspected both CSV and XLSX contents. See section 19.</w:t>
      </w:r>
    </w:p>
    <w:p>
      <w:pPr>
        <w:pStyle w:val="Heading1"/>
      </w:pPr>
      <w:r>
        <w:t>7. Phase 2 feature disposition (current status is authoritative)</w:t>
      </w:r>
    </w:p>
    <w:p>
      <w:r>
        <w:t>DONE  CSV export: API filter and authorization behavior plus browser download and content are verified. XLSX download/content is also parsed in the Playwright flow.</w:t>
      </w:r>
    </w:p>
    <w:p>
      <w:r>
        <w:t>DONE  Budget copy: API returns the previous calendar month; the UI fills an editable amount and requires explicit save. Browser E2E saved it, reloaded it, and verified matching values for both members and Analytics/Forecast. Neon real-route coverage also passed.</w:t>
      </w:r>
    </w:p>
    <w:p>
      <w:r>
        <w:t>DONE for agreed app-open scope  Opt-in 80%/100% in-app/browser alerts and local per-user/group/month deduplication are verified in browser E2E. Background email/push is outside the agreed Phase 2 scope and is not implemented.</w:t>
      </w:r>
    </w:p>
    <w:p>
      <w:r>
        <w:t>DONE  Dark mode toggle and preference persistence are verified. Playwright confirmed pie/daily charts render in dark mode and checked responsive layout at 390 px. Broader manual device/screen visual review is still useful but is not an open implementation criterion.</w:t>
      </w:r>
    </w:p>
    <w:p>
      <w:r>
        <w:t>VERIFIED  Real-route two-user/two-group coverage passes against live Neon and its uniquely scoped fixtures are cleaned up. Playwright E2E passes using isolated SQLite and covers registration/login, privacy, budget, transactions, analytics, forecast, exports, settlements/payment history, alerts and dark mode.</w:t>
      </w:r>
    </w:p>
    <w:p>
      <w:pPr>
        <w:pStyle w:val="Heading1"/>
      </w:pPr>
      <w:r>
        <w:t>8. Remaining work and operational boundaries</w:t>
      </w:r>
    </w:p>
    <w:p>
      <w:r>
        <w:t>•  No agreed Phase 2 feature or browser E2E acceptance item remains pending. Background email/push alerts are outside the app-open notification scope.</w:t>
      </w:r>
    </w:p>
    <w:p>
      <w:r>
        <w:t>•  Production hosting, security review, and backup/restore tests remain operational work outside Phase 2.</w:t>
      </w:r>
    </w:p>
    <w:p>
      <w:r>
        <w:t>•  An older local service/data discrepancy and a temporary review account/group/budget created during an earlier port-collision attempt remain untouched; verify them manually in the intended local runtime before cleaning any data.</w:t>
      </w:r>
    </w:p>
    <w:p>
      <w:r>
        <w:t>•  Background delivery can be evaluated later if the product scope changes; no provider or credentials are needed for current Phase 2.</w:t>
      </w:r>
    </w:p>
    <w:p>
      <w:r>
        <w:t>•  The automated browser scenario runs only on isolated SQLite; live Neon is verified separately through the opt-in API integration test. Do not interpret local E2E as a browser run against Neon.</w:t>
      </w:r>
    </w:p>
    <w:p>
      <w:r>
        <w:t>•  SQLite-to-Neon data migration, client TLS, and API integration are verified against the configured Neon database on 24 September 2026. Read-only comparison found the migrated source records intact. Production deployment, backups, restore, and production smoke remain unverified.</w:t>
      </w:r>
    </w:p>
    <w:p>
      <w:r>
        <w:t>•  Treat Phase 2.3 as rule-based categorization work. LLM categorization is absent and is not approved for implementation.</w:t>
      </w:r>
    </w:p>
    <w:p>
      <w:pPr>
        <w:pStyle w:val="Heading1"/>
      </w:pPr>
      <w:r>
        <w:t>9. Phase 2 status</w:t>
      </w:r>
    </w:p>
    <w:p>
      <w:r>
        <w:t>DONE for the agreed private friends/family web-app scope. The feature acceptance and browser E2E gate are complete. Backend tests passed on Python 3.11 and 3.12 (98 passed; one opt-in live test skipped by default); the separate Neon integration passed. Frontend 92/92, production build, and Playwright E2E passed. Neon TLS and Alembic head f54d2e96b1c7 are verified; imported user data remains present after scoped fixture cleanup. Browser notifications are limited to opt-in in-app alerts while the app is open; remote delivery is out of scope. Production hosting, recovery, and security review remain separate.</w:t>
      </w:r>
    </w:p>
    <w:tbl>
      <w:tblPr>
        <w:tblW w:type="auto" w:w="0"/>
        <w:jc w:val="center"/>
        <w:tblLook w:firstColumn="1" w:firstRow="1" w:lastColumn="0" w:lastRow="0" w:noHBand="0" w:noVBand="1" w:val="04A0"/>
        <w:tblBorders>
          <w:top w:val="single" w:sz="4" w:color="C8D2DE"/>
          <w:left w:val="single" w:sz="4" w:color="C8D2DE"/>
          <w:bottom w:val="single" w:sz="4" w:color="C8D2DE"/>
          <w:right w:val="single" w:sz="4" w:color="C8D2DE"/>
          <w:insideH w:val="single" w:sz="4" w:color="C8D2DE"/>
          <w:insideV w:val="single" w:sz="4" w:color="C8D2DE"/>
        </w:tblBorders>
      </w:tblPr>
      <w:tblGrid>
        <w:gridCol w:w="3105"/>
        <w:gridCol w:w="3105"/>
        <w:gridCol w:w="3105"/>
      </w:tblGrid>
      <w:tr>
        <w:tc>
          <w:tcPr>
            <w:tcW w:type="dxa" w:w="3105"/>
            <w:vAlign w:val="center"/>
            <w:shd w:fill="E8EEF5"/>
          </w:tcPr>
          <w:p>
            <w:r>
              <w:rPr>
                <w:b/>
              </w:rPr>
              <w:t>Item</w:t>
            </w:r>
          </w:p>
        </w:tc>
        <w:tc>
          <w:tcPr>
            <w:tcW w:type="dxa" w:w="3105"/>
            <w:vAlign w:val="center"/>
            <w:shd w:fill="E8EEF5"/>
          </w:tcPr>
          <w:p>
            <w:r>
              <w:rPr>
                <w:b/>
              </w:rPr>
              <w:t>Status</w:t>
            </w:r>
          </w:p>
        </w:tc>
        <w:tc>
          <w:tcPr>
            <w:tcW w:type="dxa" w:w="3105"/>
            <w:vAlign w:val="center"/>
            <w:shd w:fill="E8EEF5"/>
          </w:tcPr>
          <w:p>
            <w:r>
              <w:rPr>
                <w:b/>
              </w:rPr>
              <w:t>Open condition</w:t>
            </w:r>
          </w:p>
        </w:tc>
      </w:tr>
      <w:tr>
        <w:tc>
          <w:tcPr>
            <w:tcW w:type="dxa" w:w="3105"/>
            <w:vAlign w:val="center"/>
          </w:tcPr>
          <w:p>
            <w:r>
              <w:t>2.1 Groups/switcher</w:t>
            </w:r>
          </w:p>
        </w:tc>
        <w:tc>
          <w:tcPr>
            <w:tcW w:type="dxa" w:w="3105"/>
            <w:vAlign w:val="center"/>
          </w:tcPr>
          <w:p>
            <w:r>
              <w:t>DONE</w:t>
            </w:r>
          </w:p>
        </w:tc>
        <w:tc>
          <w:tcPr>
            <w:tcW w:type="dxa" w:w="3105"/>
            <w:vAlign w:val="center"/>
          </w:tcPr>
          <w:p>
            <w:r>
              <w:t>Keep group ID consistent in API calls and cache keys.</w:t>
            </w:r>
          </w:p>
        </w:tc>
      </w:tr>
      <w:tr>
        <w:tc>
          <w:tcPr>
            <w:tcW w:type="dxa" w:w="3105"/>
            <w:vAlign w:val="center"/>
          </w:tcPr>
          <w:p>
            <w:r>
              <w:t>2.2 Settlement</w:t>
            </w:r>
          </w:p>
        </w:tc>
        <w:tc>
          <w:tcPr>
            <w:tcW w:type="dxa" w:w="3105"/>
            <w:vAlign w:val="center"/>
          </w:tcPr>
          <w:p>
            <w:r>
              <w:t>DONE</w:t>
            </w:r>
          </w:p>
        </w:tc>
        <w:tc>
          <w:tcPr>
            <w:tcW w:type="dxa" w:w="3105"/>
            <w:vAlign w:val="center"/>
          </w:tcPr>
          <w:p>
            <w:r>
              <w:t>Retain both directions, privacy, history and links.</w:t>
            </w:r>
          </w:p>
        </w:tc>
      </w:tr>
      <w:tr>
        <w:tc>
          <w:tcPr>
            <w:tcW w:type="dxa" w:w="3105"/>
            <w:vAlign w:val="center"/>
          </w:tcPr>
          <w:p>
            <w:r>
              <w:t>2.3 Categorization</w:t>
            </w:r>
          </w:p>
        </w:tc>
        <w:tc>
          <w:tcPr>
            <w:tcW w:type="dxa" w:w="3105"/>
            <w:vAlign w:val="center"/>
          </w:tcPr>
          <w:p>
            <w:r>
              <w:t>DONE (rule-based)</w:t>
            </w:r>
          </w:p>
        </w:tc>
        <w:tc>
          <w:tcPr>
            <w:tcW w:type="dxa" w:w="3105"/>
            <w:vAlign w:val="center"/>
          </w:tcPr>
          <w:p>
            <w:r>
              <w:t>Rule engine and backend tests exist; no LLM integration is implemented or approved.</w:t>
            </w:r>
          </w:p>
        </w:tc>
      </w:tr>
      <w:tr>
        <w:tc>
          <w:tcPr>
            <w:tcW w:type="dxa" w:w="3105"/>
            <w:vAlign w:val="center"/>
          </w:tcPr>
          <w:p>
            <w:r>
              <w:t>2.4 Analytics/forecast</w:t>
            </w:r>
          </w:p>
        </w:tc>
        <w:tc>
          <w:tcPr>
            <w:tcW w:type="dxa" w:w="3105"/>
            <w:vAlign w:val="center"/>
          </w:tcPr>
          <w:p>
            <w:r>
              <w:t>DONE</w:t>
            </w:r>
          </w:p>
        </w:tc>
        <w:tc>
          <w:tcPr>
            <w:tcW w:type="dxa" w:w="3105"/>
            <w:vAlign w:val="center"/>
          </w:tcPr>
          <w:p>
            <w:r>
              <w:t>Deterministic insights and linear forecast, not AI/ML.</w:t>
            </w:r>
          </w:p>
        </w:tc>
      </w:tr>
      <w:tr>
        <w:tc>
          <w:tcPr>
            <w:tcW w:type="dxa" w:w="3105"/>
            <w:vAlign w:val="center"/>
          </w:tcPr>
          <w:p>
            <w:r>
              <w:t>2.5 CSV export</w:t>
            </w:r>
          </w:p>
        </w:tc>
        <w:tc>
          <w:tcPr>
            <w:tcW w:type="dxa" w:w="3105"/>
            <w:vAlign w:val="center"/>
          </w:tcPr>
          <w:p>
            <w:r>
              <w:t>DONE</w:t>
            </w:r>
          </w:p>
        </w:tc>
        <w:tc>
          <w:tcPr>
            <w:tcW w:type="dxa" w:w="3105"/>
            <w:vAlign w:val="center"/>
          </w:tcPr>
          <w:p>
            <w:r>
              <w:t>Browser E2E downloaded and inspected filtered CSV and XLSX contents.</w:t>
            </w:r>
          </w:p>
        </w:tc>
      </w:tr>
      <w:tr>
        <w:tc>
          <w:tcPr>
            <w:tcW w:type="dxa" w:w="3105"/>
            <w:vAlign w:val="center"/>
          </w:tcPr>
          <w:p>
            <w:r>
              <w:t>2.6 Budget carry-forward</w:t>
            </w:r>
          </w:p>
        </w:tc>
        <w:tc>
          <w:tcPr>
            <w:tcW w:type="dxa" w:w="3105"/>
            <w:vAlign w:val="center"/>
          </w:tcPr>
          <w:p>
            <w:r>
              <w:t>DONE</w:t>
            </w:r>
          </w:p>
        </w:tc>
        <w:tc>
          <w:tcPr>
            <w:tcW w:type="dxa" w:w="3105"/>
            <w:vAlign w:val="center"/>
          </w:tcPr>
          <w:p>
            <w:r>
              <w:t>Editable copy from previous month; browser E2E saved it and verified persisted values for both members.</w:t>
            </w:r>
          </w:p>
        </w:tc>
      </w:tr>
      <w:tr>
        <w:tc>
          <w:tcPr>
            <w:tcW w:type="dxa" w:w="3105"/>
            <w:vAlign w:val="center"/>
          </w:tcPr>
          <w:p>
            <w:r>
              <w:t>2.7 Alerts</w:t>
            </w:r>
          </w:p>
        </w:tc>
        <w:tc>
          <w:tcPr>
            <w:tcW w:type="dxa" w:w="3105"/>
            <w:vAlign w:val="center"/>
          </w:tcPr>
          <w:p>
            <w:r>
              <w:t>DONE (app-open scope)</w:t>
            </w:r>
          </w:p>
        </w:tc>
        <w:tc>
          <w:tcPr>
            <w:tcW w:type="dxa" w:w="3105"/>
            <w:vAlign w:val="center"/>
          </w:tcPr>
          <w:p>
            <w:r>
              <w:t>Opt-in 80%/100% alerts and deduplication verified; background email/push is out of scope.</w:t>
            </w:r>
          </w:p>
        </w:tc>
      </w:tr>
      <w:tr>
        <w:tc>
          <w:tcPr>
            <w:tcW w:type="dxa" w:w="3105"/>
            <w:vAlign w:val="center"/>
          </w:tcPr>
          <w:p>
            <w:r>
              <w:t>2.8 Dark mode</w:t>
            </w:r>
          </w:p>
        </w:tc>
        <w:tc>
          <w:tcPr>
            <w:tcW w:type="dxa" w:w="3105"/>
            <w:vAlign w:val="center"/>
          </w:tcPr>
          <w:p>
            <w:r>
              <w:t>DONE</w:t>
            </w:r>
          </w:p>
        </w:tc>
        <w:tc>
          <w:tcPr>
            <w:tcW w:type="dxa" w:w="3105"/>
            <w:vAlign w:val="center"/>
          </w:tcPr>
          <w:p>
            <w:r>
              <w:t>Playwright verified persistence, chart rendering, and a 390 px responsive layout.</w:t>
            </w:r>
          </w:p>
        </w:tc>
      </w:tr>
      <w:tr>
        <w:tc>
          <w:tcPr>
            <w:tcW w:type="dxa" w:w="3105"/>
            <w:vAlign w:val="center"/>
          </w:tcPr>
          <w:p>
            <w:r>
              <w:t>2.9 E2E gate</w:t>
            </w:r>
          </w:p>
        </w:tc>
        <w:tc>
          <w:tcPr>
            <w:tcW w:type="dxa" w:w="3105"/>
            <w:vAlign w:val="center"/>
          </w:tcPr>
          <w:p>
            <w:r>
              <w:t>VERIFIED</w:t>
            </w:r>
          </w:p>
        </w:tc>
        <w:tc>
          <w:tcPr>
            <w:tcW w:type="dxa" w:w="3105"/>
            <w:vAlign w:val="center"/>
          </w:tcPr>
          <w:p>
            <w:r>
              <w:t>Two-user/two-group Neon API integration and isolated-SQLite browser E2E passed.</w:t>
            </w:r>
          </w:p>
        </w:tc>
      </w:tr>
    </w:tbl>
    <w:p>
      <w:pPr>
        <w:spacing w:after="20"/>
      </w:pPr>
    </w:p>
    <w:p>
      <w:pPr>
        <w:pStyle w:val="Heading1"/>
      </w:pPr>
      <w:r>
        <w:t>10. Phase 3 complete/pending status</w:t>
      </w:r>
    </w:p>
    <w:p>
      <w:r>
        <w:rPr>
          <w:b/>
          <w:color w:val="963F2D"/>
        </w:rPr>
        <w:t xml:space="preserve">PENDING  </w:t>
      </w:r>
      <w:r>
        <w:t>No Phase 3 work is verified as started. Keep Phase 3 separate from current consistency fixes and Phase 2 gate.</w:t>
      </w:r>
    </w:p>
    <w:p>
      <w:r>
        <w:t>•  Natural-language transaction entry with user confirmation before saving.</w:t>
      </w:r>
    </w:p>
    <w:p>
      <w:r>
        <w:t>•  Recurring transactions, scheduler, pause/resume, duplicate prevention and audit trail.</w:t>
      </w:r>
    </w:p>
    <w:p>
      <w:r>
        <w:t>•  Explainable anomaly detection, initially rules/statistics.</w:t>
      </w:r>
    </w:p>
    <w:p>
      <w:r>
        <w:t>•  Historical ML forecast evaluated against the linear baseline with a low-data fallback.</w:t>
      </w:r>
    </w:p>
    <w:p>
      <w:r>
        <w:t>•  React Native mobile client, offline/sync behavior, and full multi-currency support.</w:t>
      </w:r>
    </w:p>
    <w:p>
      <w:pPr>
        <w:pStyle w:val="Heading1"/>
      </w:pPr>
      <w:r>
        <w:t>11. Phase 4 and future scope</w:t>
      </w:r>
    </w:p>
    <w:p>
      <w:r>
        <w:rPr>
          <w:b/>
          <w:color w:val="5A6470"/>
        </w:rPr>
        <w:t xml:space="preserve">FUTURE / NOT YET APPROVED  </w:t>
      </w:r>
      <w:r>
        <w:t>Possible later work: advanced recommendations, smarter budgets, personalized category learning, financial/savings goals, subscription detection, receipt capture, bank/UPI integration, reports, advanced notification center, deployment automation, observability, CI/CD, and backup/recovery automation. These are ideas, not commitments.</w:t>
      </w:r>
    </w:p>
    <w:p>
      <w:pPr>
        <w:pStyle w:val="Heading1"/>
      </w:pPr>
      <w:r>
        <w:t>12. Production and deployment roadmap</w:t>
      </w:r>
    </w:p>
    <w:p>
      <w:r>
        <w:rPr>
          <w:b/>
          <w:color w:val="963F2D"/>
        </w:rPr>
        <w:t xml:space="preserve">PENDING  </w:t>
      </w:r>
      <w:r>
        <w:t>No production deployment is verified. Before relying on the app, select owner-controlled hosting, configure secrets and allowed origins, use HTTPS, establish backups and perform a restore test, and run a production smoke test.</w:t>
      </w:r>
    </w:p>
    <w:p>
      <w:r>
        <w:t>•  One-device/local use can use SQLite with a deliberate backup plan.</w:t>
      </w:r>
    </w:p>
    <w:p>
      <w:r>
        <w:t>•  Multiple machines require one hosted backend and one shared PostgreSQL database; do not sync independent SQLite files.</w:t>
      </w:r>
    </w:p>
    <w:p>
      <w:r>
        <w:t>•  A small private VPS/PaaS plus managed PostgreSQL fits the personal/family direction. Neon Free is the current plan, subject to real testing.</w:t>
      </w:r>
    </w:p>
    <w:p>
      <w:r>
        <w:t>•  Do not expose public registration without reviewing abuse controls, account recovery, rate limits, CORS, TLS, and global-admin power.</w:t>
      </w:r>
    </w:p>
    <w:p>
      <w:r>
        <w:t>•  There is no backup/restore UI or proven recovery process. Establish provider/owner backups and test restore to a separate database.</w:t>
      </w:r>
    </w:p>
    <w:p>
      <w:pPr>
        <w:pStyle w:val="Heading1"/>
      </w:pPr>
      <w:r>
        <w:t>13. Database roadmap</w:t>
      </w:r>
    </w:p>
    <w:p>
      <w:r>
        <w:rPr>
          <w:b/>
          <w:color w:val="1F7048"/>
        </w:rPr>
        <w:t xml:space="preserve">DONE  </w:t>
      </w:r>
      <w:r>
        <w:t>SQLite local configuration uses aiosqlite; tests use isolated SQLite. asyncpg==0.31.0 is pinned and PostgreSQL URL conversion exists.</w:t>
      </w:r>
    </w:p>
    <w:p>
      <w:r>
        <w:rPr>
          <w:b/>
          <w:color w:val="AA6900"/>
        </w:rPr>
        <w:t>VERIFIED ON NEON  PostgreSQL support includes asyncpg URL normalization, client TLS, Neon `sslmode` conversion, asyncpg-unsupported `channel_binding` removal, and credential-safe `python -m app.cli db-status`. Alembic is at head `f54d2e96b1c7`; all eight expected tables exist. Naveen and Alekhya plus their imported connected data were verified against the SQLite source. The live API integration test creates uniquely named test rows and removes those rows in scoped cleanup. Production deployment/migration is not verified.</w:t>
      </w:r>
      <w:r/>
    </w:p>
    <w:p>
      <w:r>
        <w:t>•  Migration chain: 229e3412032a baseline; 7b6c2a4d91ef admin/settlement schema; c83e71a45d90 source/payment linkage; f54d2e96b1c7 settlement group/participant scope. Check Alembic heads before migration work.</w:t>
      </w:r>
    </w:p>
    <w:p>
      <w:r>
        <w:t>•  Production startup does not run create_all; apply alembic upgrade head deliberately before serving production.</w:t>
      </w:r>
    </w:p>
    <w:p>
      <w:r>
        <w:t>•  The approved one-time SQLite-to-Neon import has been applied and independently verified for IDs, fields, hashes, relationships, and row counts. Future source changes are not automatically synchronized.</w:t>
      </w:r>
    </w:p>
    <w:p>
      <w:r>
        <w:t>•  Legacy create_all files need backup/schema inspection before any Alembic baseline stamp. Never stamp an unrelated/incomplete schema.</w:t>
      </w:r>
    </w:p>
    <w:p>
      <w:r>
        <w:t>•  Offline SQL generation is not proof of live PostgreSQL behavior; test a disposable provider-compatible database before claiming support.</w:t>
      </w:r>
    </w:p>
    <w:p>
      <w:pPr>
        <w:pStyle w:val="Heading1"/>
      </w:pPr>
      <w:r>
        <w:t>14. Admin functionality</w:t>
      </w:r>
    </w:p>
    <w:p>
      <w:r>
        <w:rPr>
          <w:b/>
          <w:color w:val="1F7048"/>
        </w:rPr>
        <w:t xml:space="preserve">DONE  </w:t>
      </w:r>
      <w:r>
        <w:t>`is_admin` is separate from group OWNER/MEMBER and defaults false; first registration is not admin. `python -m app.cli promote-admin &lt;username&gt;` promotes an existing user. Protected `/api/v1/admin/users` and `/api/v1/admin/database` APIs and a simple UI exist. Admin can enable/disable users; backend prevents disabling the last active admin. Schemas do not expose password hashes or DB credentials.</w:t>
      </w:r>
    </w:p>
    <w:p>
      <w:r>
        <w:rPr>
          <w:b/>
          <w:color w:val="AA6900"/>
        </w:rPr>
        <w:t xml:space="preserve">VERIFIED ON DISPOSABLE NEON  </w:t>
      </w:r>
      <w:r>
        <w:t>Authorization tests and frontend admin tests pass. The live database health endpoint reported connection and current Alembic revisions; the live integration scenario passed. Production admin/deployment operations remain unverified.</w:t>
      </w:r>
    </w:p>
    <w:p>
      <w:r>
        <w:rPr>
          <w:b/>
          <w:color w:val="963F2D"/>
        </w:rPr>
        <w:t xml:space="preserve">BLOCKED / NEEDS DECISION  </w:t>
      </w:r>
      <w:r>
        <w:t>For a private household app, global user-management UI may be unnecessary or too powerful. Decide whether one maintainer needs narrow operational admin, whether to keep CLI/bootstrap and health only, or to de-scope the UI. Group OWNER is not global admin.</w:t>
      </w:r>
    </w:p>
    <w:p>
      <w:pPr>
        <w:pStyle w:val="Heading1"/>
      </w:pPr>
      <w:r>
        <w:t>15. Transaction and settlement design</w:t>
      </w:r>
    </w:p>
    <w:p>
      <w:pPr>
        <w:pStyle w:val="Heading2"/>
      </w:pPr>
      <w:r>
        <w:t>Group and personal rules</w:t>
      </w:r>
    </w:p>
    <w:p>
      <w:r>
        <w:t>•  SHARED transactions belong to a group, require membership, and count toward that group’s shared budget. Current shared transactions have no payer; the list shows “Group Transaction” and Made By identifies the recorder.</w:t>
      </w:r>
    </w:p>
    <w:p>
      <w:r>
        <w:t>•  PERSONAL transactions have no group_id and are visible only to their recorder. Their payer is the person responsible; they do not reduce shared budget.</w:t>
      </w:r>
    </w:p>
    <w:p>
      <w:r>
        <w:t>•  A personal expense can opt into settlement for a chosen group/participant set without becoming a shared expense or making the source visible as another member’s personal transaction.</w:t>
      </w:r>
    </w:p>
    <w:p>
      <w:pPr>
        <w:pStyle w:val="Heading2"/>
      </w:pPr>
      <w:r>
        <w:t>Direction, ledger, and links</w:t>
      </w:r>
    </w:p>
    <w:p>
      <w:r>
        <w:t>•  For an opted-in expense, payer is creditor. Each other selected participant owes an equal per-expense share. This is per-expense obligations, not a globally netted ledger.</w:t>
      </w:r>
    </w:p>
    <w:p>
      <w:r>
        <w:t>•  Splits use cents; remainder pennies are assigned deterministically, starting with payer, then sorted participant IDs.</w:t>
      </w:r>
    </w:p>
    <w:p>
      <w:r>
        <w:t>•  Both directions work by the same rule: Alekhya pays → Naveen owes Alekhya; Naveen pays → Alekhya owes Naveen. Only debtor can mark settled.</w:t>
      </w:r>
    </w:p>
    <w:p>
      <w:r>
        <w:t>•  SettlementRecord stores group, debtor (`from_user_id`), creditor (`to_user_id`), amount/status, source transaction ID and source description/amount/date snapshot. Unique constraint prevents duplicate source/debtor record.</w:t>
      </w:r>
    </w:p>
    <w:p>
      <w:r>
        <w:t>•  Settling creates a private PERSONAL payment row linked by settlement_record_id, visible as a debit for debtor. Creditor gets a positive settlement credit in their Personal Transactions view. Original personal expense remains private to its recorder. Payment description identifies payee and source expense.</w:t>
      </w:r>
    </w:p>
    <w:p>
      <w:r>
        <w:t>•  Deleting settlement deletes generated payment. A source expense cannot be edited while linked; snapshots retain history if source FK is cleared.</w:t>
      </w:r>
    </w:p>
    <w:p>
      <w:r>
        <w:t>DONE / VERIFIED  The two-user Playwright flow verified both settlement directions, payment visibility, history, privacy, and source linkage using realistic group members. Production or live-user acceptance remains outside the automated evidence.</w:t>
      </w:r>
    </w:p>
    <w:p>
      <w:pPr>
        <w:pStyle w:val="Heading1"/>
      </w:pPr>
      <w:r>
        <w:t>16. Transaction UI and category conventions</w:t>
      </w:r>
    </w:p>
    <w:p>
      <w:r>
        <w:t>•  Transactions screen has GROUP TRANSACTIONS and PERSONAL TRANSACTIONS. Columns: Transaction, Made By, Amount. Group rows say “Group Transaction” in metadata and do not expose a payer column in the main list.</w:t>
      </w:r>
    </w:p>
    <w:p>
      <w:r>
        <w:t>•  Debit is negative/red; credit positive/green. Amounts are right-aligned and use INR formatting. Settlement rows name the other member and original expense.</w:t>
      </w:r>
    </w:p>
    <w:p>
      <w:r>
        <w:t>•  Shared responsive grid reserves consistent header/data/action tracks, even when edit/delete controls are absent. Current desktop view and responsive grid tests show alignment; systematic mobile review remains open.</w:t>
      </w:r>
    </w:p>
    <w:p>
      <w:r>
        <w:t>•  Categories use category IDs. Suggestions do not override the user choice. Group members can create group-scoped categories.</w:t>
      </w:r>
    </w:p>
    <w:p>
      <w:r>
        <w:t>Global categories seeded in current source: Groceries; Fruits &amp; Vegetables; Food &amp; Dining; Transport; Utilities; Entertainment; Personal Care. Rule-based suggestions target these names. “Pooja &amp; Religious” and “Miscellaneous” are not current global seeds; they may exist as user-created/group categories only, so check the active database before calling them defaults.</w:t>
      </w:r>
    </w:p>
    <w:p>
      <w:pPr>
        <w:pStyle w:val="Heading1"/>
      </w:pPr>
      <w:r>
        <w:t>17. Cross-screen data consistency rules</w:t>
      </w:r>
    </w:p>
    <w:p>
      <w:r>
        <w:t>•  Compare screens only with same authenticated user, active group ID, database and period. Dashboard defaults to current month; Analytics selects month/year; Transactions has its own search/type/category/payer/date filters. Same group does not imply same period or row set.</w:t>
      </w:r>
    </w:p>
    <w:p>
      <w:r>
        <w:t>•  Budget and shared spend are group+year+month values. Personal transactions are user-private. Member analytics exposes a user’s personal spend only to that same authenticated member.</w:t>
      </w:r>
    </w:p>
    <w:p>
      <w:r>
        <w:t>•  React Query keys and API calls must include relevant group/period/filter values. After writes, check invalidation for summary, transactions, analytics, budgets, settlement and group context.</w:t>
      </w:r>
    </w:p>
    <w:p>
      <w:r>
        <w:t>•  Inspect network parameters/responses, then query exact rows for same user/group/month. Do not guess which screen is right from its visual output.</w:t>
      </w:r>
    </w:p>
    <w:p>
      <w:r>
        <w:t>VERIFIED ON NEON  Live PostgreSQL route integration covers two users/groups and budget, transaction, analytics, forecast, privacy, CSV and settlement flows with scoped fixture cleanup. The Playwright browser E2E separately covers the same core flows on isolated SQLite; it never writes synthetic browser accounts into Neon.</w:t>
      </w:r>
    </w:p>
    <w:p>
      <w:pPr>
        <w:pStyle w:val="Heading1"/>
      </w:pPr>
      <w:r>
        <w:t>18. Analytics, insights, and forecast behavior</w:t>
      </w:r>
    </w:p>
    <w:p>
      <w:r>
        <w:t>•  Date resolver supports exact date, date range, ISO week+year, month+year, year, or no filter, with the most specific supported selector taking precedence.</w:t>
      </w:r>
    </w:p>
    <w:p>
      <w:r>
        <w:t>•  Dashboard uses current month and active group. Analytics allows month/year selection. Transactions uses its independent date and transaction filters; align these manually during comparisons.</w:t>
      </w:r>
    </w:p>
    <w:p>
      <w:r>
        <w:t>•  Summary and shared spend are live SQL aggregates. Missing budget is null/“not set”, not zero. Forecast = shared_spent / days_elapsed * days_in_month; it ignores seasonality and is not ML.</w:t>
      </w:r>
    </w:p>
    <w:p>
      <w:r>
        <w:t>•  Insights are deterministic query/rule results: highest category/day, largest transactions and monthly trend. They are not LLM-generated.</w:t>
      </w:r>
    </w:p>
    <w:p>
      <w:r>
        <w:t>•  Settlement payment rows are excluded from core spend aggregates. Personal visibility is user-sensitive; test each member response.</w:t>
      </w:r>
    </w:p>
    <w:p>
      <w:r>
        <w:t>•  Users reported Settings budget present while Dashboard showed “Not set”, transactions/analytics empty while Forecast had values, and user/screen differences. Tracker says old localhost services were not proven to be this checkout; an isolated checkout test was consistent. Treat real-browser issue as unresolved until exact runtime/database and matching rows are verified.</w:t>
      </w:r>
    </w:p>
    <w:p>
      <w:pPr>
        <w:pStyle w:val="Heading1"/>
      </w:pPr>
      <w:r>
        <w:t>19. Export functionality</w:t>
      </w:r>
    </w:p>
    <w:p>
      <w:r>
        <w:t>DONE / VERIFIED  Authenticated GET /api/v1/transactions/export shares list-query authorization, visibility, and filters. Tests cover filters, privacy, empty output, headers, dates, and decimals. The two-user Playwright run downloaded and parsed actual CSV and XLSX files and verified expected headers/data.</w:t>
      </w:r>
    </w:p>
    <w:p>
      <w:r>
        <w:t>VERIFIED  Frontend uses the existing xlsx library to create a workbook Blob with XLSX MIME type and .xlsx name. Tests parse the bytes back as a workbook and check filtered export. Opening and inspecting the actual saved file in Excel/XLSX reader remains PENDING.</w:t>
      </w:r>
    </w:p>
    <w:p>
      <w:r>
        <w:t>•  Both paths pass current group, type, category, payer, date range and search. Current filename uses current year/month even for a custom historical range.</w:t>
      </w:r>
    </w:p>
    <w:p>
      <w:r>
        <w:t>•  Keep CSV and XLSX independent during fixes. Browser validation should inspect response/Blob MIME, extension, ZIP signature, filters and saved workbook content.</w:t>
      </w:r>
    </w:p>
    <w:p>
      <w:pPr>
        <w:pStyle w:val="Heading1"/>
      </w:pPr>
      <w:r>
        <w:t>20. Testing and validation strategy</w:t>
      </w:r>
    </w:p>
    <w:p>
      <w:r>
        <w:t>Backend `cd backend; pytest`: current suite passes on Python 3.11 and 3.12 (98 passed, 1 opt-in live-PostgreSQL test skipped per default run); the separate live Neon test passed (1 passed).</w:t>
      </w:r>
    </w:p>
    <w:p>
      <w:r>
        <w:t>•  Frontend `cd frontend; npm test`: latest run had 92 passing Vitest/RTL tests, including the budget-copy interaction test that verifies no write occurs until explicit save.</w:t>
      </w:r>
    </w:p>
    <w:p>
      <w:r>
        <w:t>•  Build `cd frontend; npm run build`: TypeScript and Vite pass. Route splitting reduced the entry chunk to 379.99 kB (119.33 kB gzip); Analytics is 389.68 kB and XLSX is 423.99 kB, each loaded as separate chunks.</w:t>
      </w:r>
    </w:p>
    <w:p>
      <w:r>
        <w:t>•  `backend/tests/test_regression_consistency.py` calls real FastAPI routes through HTTPX for two users/groups. It is API integration, not browser E2E.</w:t>
      </w:r>
    </w:p>
    <w:p>
      <w:r>
        <w:t>•  Playwright is configured at frontend/playwright.config.ts. `npm run test:e2e` starts a disposable in-memory SQLite backend and Vite on port 5174; it does not write to Neon.</w:t>
      </w:r>
    </w:p>
    <w:p>
      <w:r>
        <w:t>•  Release validation: backend tests, frontend tests/build, migration/schema checks, integration scenarios, diff check and manual browser flows for both users. Passing unit tests alone is not final validation.</w:t>
      </w:r>
    </w:p>
    <w:p>
      <w:r>
        <w:t>Latest validation (25 September 2026): Python 3.11.9 installed the pinned backend requirements and its full suite passed (98 passed, 1 opt-in live test skipped); Python 3.12 suite also passed (98 passed, 1 skipped). The separate live Neon test passed. Frontend tests passed 92/92, production build passed, and Playwright two-user browser E2E passed. YAML structure, Python 3.11 0.0.0.0:$PORT startup, /health, and git diff --check passed. Neon TLS and Alembic head f54d2e96b1c7 were verified; post-test data remains users=2, groups=1, transactions=57.</w:t>
      </w:r>
    </w:p>
    <w:p>
      <w:pPr>
        <w:pStyle w:val="Heading1"/>
      </w:pPr>
      <w:r>
        <w:t>21. Known bugs, limitations, unresolved items, caveats</w:t>
      </w:r>
    </w:p>
    <w:p>
      <w:r>
        <w:t>•  An earlier pre-existing localhost service on ports 5173/8000 displayed a budget discrepancy (Settings vs Dashboard). It was not modified; identify the intended checkout/database and manually recheck that local service before relying on it. Isolated E2E and live Neon API checks passed independently.</w:t>
      </w:r>
    </w:p>
    <w:p>
      <w:r>
        <w:t>•  Stale runtime risk: ports 5173/8000 may serve another SharedSpend process. Verify process, command, cwd, Git SHA, API URL and redacted DB target before testing or stopping anything.</w:t>
      </w:r>
    </w:p>
    <w:p>
      <w:r>
        <w:t>•  Neon connection, client TLS, Alembic head, SQLite data import, read-only record comparison, and real-route API integration passed. Production deployment, backup/restore and production security remain unverified.</w:t>
      </w:r>
    </w:p>
    <w:p>
      <w:r>
        <w:t>•  Legacy SQLite created by create_all can differ from Alembic baseline; back up and inspect before stamping/upgrading.</w:t>
      </w:r>
    </w:p>
    <w:p>
      <w:r>
        <w:t>•  Pytest prints foreign-key cycle drop-order warnings for settlement_records/transactions on SQLite and python-jose datetime deprecation warnings. Tests pass; do not hide warnings.</w:t>
      </w:r>
    </w:p>
    <w:p>
      <w:r>
        <w:t>•  No cross-device backup/restore UI, background alerts, production monitoring, CI pipeline, or proven recovery process.</w:t>
      </w:r>
    </w:p>
    <w:p>
      <w:r>
        <w:t>•  JWTs are stored in localStorage. Review token storage/XSS posture before wider deployment. Logout is stateless and does not revoke an issued token before expiry.</w:t>
      </w:r>
    </w:p>
    <w:p>
      <w:r>
        <w:t>•  The initial Vite entry bundle was reduced by route-level splitting; current measured entry is 379.99 kB raw (119.33 kB gzip), with Analytics and XLSX as lazy chunks.</w:t>
      </w:r>
    </w:p>
    <w:p>
      <w:r>
        <w:t>This was a historical main-branch snapshot at local baseline 87c40183, before the initial Render-preparation commit. Use current Git status and log for the present branch, commit, remote state, and uncommitted files; never reset or discard intended work.</w:t>
      </w:r>
    </w:p>
    <w:p>
      <w:pPr>
        <w:pStyle w:val="Heading1"/>
      </w:pPr>
      <w:r>
        <w:t>22. Recent implementation history and change log</w:t>
      </w:r>
    </w:p>
    <w:p>
      <w:pPr>
        <w:pStyle w:val="Heading2"/>
      </w:pPr>
      <w:r>
        <w:t>Committed history</w:t>
      </w:r>
    </w:p>
    <w:p>
      <w:r>
        <w:t>•  1479eee — initial SharedSpend MVP.</w:t>
      </w:r>
    </w:p>
    <w:p>
      <w:r>
        <w:t>•  6bb4b7a — settlement redesign and transaction updates.</w:t>
      </w:r>
    </w:p>
    <w:p>
      <w:r>
        <w:t>•  1da819d — transaction date schema fix.</w:t>
      </w:r>
    </w:p>
    <w:p>
      <w:r>
        <w:t>•  1b6305c — settlement and transaction UI fixes.</w:t>
      </w:r>
    </w:p>
    <w:p>
      <w:r>
        <w:t>•  506511b — spending forecast in analytics/dashboard.</w:t>
      </w:r>
    </w:p>
    <w:p>
      <w:r>
        <w:t>•  1b7caff — development guidelines and tracker.</w:t>
      </w:r>
    </w:p>
    <w:p>
      <w:pPr>
        <w:pStyle w:val="Heading2"/>
      </w:pPr>
      <w:r>
        <w:t>Committed implementation scope (18d6fe3)</w:t>
      </w:r>
    </w:p>
    <w:p>
      <w:r>
        <w:t>•  PostgreSQL async driver/configuration, Alembic additions, admin CLI/API/UI, migration health, and SQLite-to-Neon data migration are verified against the configured Neon database; production remains unverified.</w:t>
      </w:r>
    </w:p>
    <w:p>
      <w:r>
        <w:t>•  Source-linked settlements, group/participant scope, debtor payment records, creditor credit presentation and both-direction test coverage.</w:t>
      </w:r>
    </w:p>
    <w:p>
      <w:r>
        <w:t>•  Filtered CSV endpoint and XLSX workbook generation passed automated tests; the two-user Playwright flow downloaded and parsed both saved file formats.</w:t>
      </w:r>
    </w:p>
    <w:p>
      <w:r>
        <w:t>•  Date/filter consistency, budget copy, API regression tests, browser budget alerts, theme/dropdown changes, and the transaction UI redesign/alignment.</w:t>
      </w:r>
    </w:p>
    <w:p>
      <w:r>
        <w:t>This historical section records the local Git snapshot at the time of its original review. For the current branch, commit, remote state, and uncommitted files, use `git status`, `git branch`, and `git log`; this handoff is not the source of truth for live Git state or Render deployment status.</w:t>
      </w:r>
    </w:p>
    <w:p>
      <w:pPr>
        <w:pStyle w:val="Heading1"/>
      </w:pPr>
      <w:r>
        <w:t>23. Next steps after Phase 2</w:t>
      </w:r>
    </w:p>
    <w:p>
      <w:r>
        <w:t>1.  Manually identify the intended local checkout/database behind the previously observed localhost budget discrepancy, then compare Settings, Dashboard, and Forecast for the Naveen/Alekhya group. Do not clean up any local test rows until identified.</w:t>
      </w:r>
    </w:p>
    <w:p>
      <w:r>
        <w:t>2.  If using local services, verify their checkout, listening ports, database target and API URL with credentials redacted; do not stop or clean the older service/data without explicit approval.</w:t>
      </w:r>
    </w:p>
    <w:p>
      <w:r>
        <w:t>3.  Before broader/shared use, schedule production hosting, security review, and backup/restore work.</w:t>
      </w:r>
    </w:p>
    <w:p>
      <w:r>
        <w:t>4.  Keep the app-open alert behavior; consider background push/email only if explicitly added to scope.</w:t>
      </w:r>
    </w:p>
    <w:p>
      <w:r>
        <w:t>5.  Phase 2 is complete for the agreed scope; do not begin Phase 3 until explicitly directed.</w:t>
      </w:r>
    </w:p>
    <w:p>
      <w:r>
        <w:t>6.  Rule-based categorization remains the current implementation; no LLM categorization is claimed. Global admin is an operational control, not a household feature requirement.</w:t>
      </w:r>
    </w:p>
    <w:p>
      <w:r>
        <w:t>Neon data migration and validation completed: Alembic is at head f54d2e96b1c7, TLS is enabled, and read-only comparison confirms 2 users, 1 group, 2 memberships, 57 transactions, 1 budget, 2 settlements, 7 global categories, and 2 group categories with preserved IDs/relationships and password hashes. During the requested live integration test, only uniquely named fixtures were created and scoped cleanup removed them; post-test db-status confirmed the original core counts. For future runs, use a disposable branch and do not target production or personal data without explicit authorization.</w:t>
      </w:r>
    </w:p>
    <w:p>
      <w:r>
        <w:t>8.  Keep production migration, backup/restore, monitoring and security reviews separate from this development checkout.</w:t>
      </w:r>
    </w:p>
    <w:p>
      <w:r>
        <w:t>9.  Update the tracker only for criteria actually verified. Leave private SharedSpend untouched; do not commit/push without explicit instruction.</w:t>
      </w:r>
    </w:p>
    <w:p>
      <w:pPr>
        <w:pStyle w:val="Heading1"/>
      </w:pPr>
      <w:r>
        <w:t>24. Future scope and ideas that are not approved</w:t>
      </w:r>
    </w:p>
    <w:p>
      <w:r>
        <w:rPr>
          <w:b/>
          <w:color w:val="5A6470"/>
        </w:rPr>
        <w:t xml:space="preserve">FUTURE / NOT YET APPROVED  </w:t>
      </w:r>
      <w:r>
        <w:t>Do not begin without explicit approval: public SaaS/multi-tenant hosting, monetization, subscriptions, bank/UPI integration, receipt OCR, cloud file storage, backup/restore UI, advanced AI recommendations, natural-language auto-entry, recurring scheduler, ML anomaly/forecast, mobile app, offline sync, multi-currency, public reports, and cross-group sharing.</w:t>
      </w:r>
    </w:p>
    <w:p>
      <w:r>
        <w:t>Immediate goal: trustworthy personal use by a small invited group. Reliability, continuity, privacy and clear manual validation take priority over expanding the feature list.</w:t>
      </w:r>
    </w:p>
    <w:p>
      <w:pPr>
        <w:pStyle w:val="Heading1"/>
      </w:pPr>
      <w:r>
        <w:t>Current Phase 2 Status September 25 2026</w:t>
      </w:r>
    </w:p>
    <w:p>
      <w:pPr>
        <w:spacing w:after="120"/>
      </w:pPr>
      <w:r>
        <w:t>This dated status supersedes earlier time-sensitive test results, open checklists, and next-step lists in this handoff. Phase 2 is complete for the agreed private friends-and-family web application scope. Phase 3 has not started.</w:t>
      </w:r>
    </w:p>
    <w:p>
      <w:pPr>
        <w:pStyle w:val="Heading2"/>
      </w:pPr>
      <w:r>
        <w:t>Implementation and verification</w:t>
      </w:r>
    </w:p>
    <w:p>
      <w:pPr>
        <w:spacing w:after="120"/>
      </w:pPr>
      <w:r>
        <w:t>IMPLEMENTED: budget copy, CSV/XLSX exports, app-open budget alerts, dark mode, analytics query consolidation, route-level lazy loading, and the Playwright browser test setup. VERIFIED: the full two-user browser flow passed, including budget copy/save/reload, group-scoped transactions, Dashboard/Analytics/Forecast consistency, 80% and 100% budget alerts, settlements and payment history, saved CSV and XLSX downloads, dark-mode persistence and chart rendering, and a 390 px layout check.</w:t>
      </w:r>
    </w:p>
    <w:p>
      <w:pPr>
        <w:spacing w:after="120"/>
      </w:pPr>
      <w:r>
        <w:t>Backend validation passed with 98 tests and one opt-in live PostgreSQL test skipped in the default run. The separate live Neon integration test passed in the Phase 2 validation record. Frontend tests passed 92/92, the production build passed, and the Playwright E2E passed with two browser users and an isolated SQLite database. Neon remains at Alembic head f54d2e96b1c7 with TLS enabled; its imported users and records were preserved.</w:t>
      </w:r>
    </w:p>
    <w:p>
      <w:pPr>
        <w:pStyle w:val="Heading2"/>
      </w:pPr>
      <w:r>
        <w:t>Neon latency findings</w:t>
      </w:r>
    </w:p>
    <w:p>
      <w:pPr>
        <w:spacing w:after="120"/>
      </w:pPr>
      <w:r>
        <w:t>A cold Neon pooled connection plus SELECT 1 took 1.24 seconds in the latest read-only check; an earlier sample coincided with the database resuming from scale-to-zero. A small matched route benchmark reduced Dashboard summary SQL statements from 8 to 4, forecast from 4 to 3, and member analytics from 8 to 3. Summary, forecast, and member route medians improved in that sample; Insights fell from 7 to 4 statements but its route median did not improve, showing that Neon/network variance remains. The sample is diagnostic, not a performance guarantee. The initial JavaScript entry decreased from 1,069 kB (317 kB gzip) to 380 kB (119 kB gzip); Analytics and XLSX are lazy chunks.</w:t>
      </w:r>
    </w:p>
    <w:p>
      <w:pPr>
        <w:pStyle w:val="Heading2"/>
      </w:pPr>
      <w:r>
        <w:t>Remaining scope</w:t>
      </w:r>
    </w:p>
    <w:p>
      <w:pPr>
        <w:spacing w:after="120"/>
      </w:pPr>
      <w:r>
        <w:t>No agreed Phase 2 feature or automated E2E acceptance item remains open. Browser alerts are intentionally limited to the opted-in user while the app is open; background email or push is outside the agreed Phase 2 scope. Production hosting, security review, and backup/restore testing remain separate operational work.</w:t>
      </w:r>
    </w:p>
    <w:p>
      <w:pPr>
        <w:pStyle w:val="Heading1"/>
      </w:pPr>
      <w:r>
        <w:t>Render Deployment Preparation September 25 2026</w:t>
      </w:r>
    </w:p>
    <w:p>
      <w:r>
        <w:t>IMPLEMENTED LOCALLY, NOT DEPLOYED  The repository now has a Render Blueprint at sharedspend/render.yaml. It defines a FastAPI web service and a Vite static site. The application continues to use the existing external Neon PostgreSQL database; the Blueprint does not create or migrate to a Render database.</w:t>
      </w:r>
    </w:p>
    <w:p>
      <w:r>
        <w:t>The backend service uses Python 3.11, pinned in sharedspend/backend/.python-version. It installs backend/requirements.txt and starts with `uvicorn app.main:app --host 0.0.0.0 --port $PORT`; no application dependencies were changed. Startup does not run Alembic or modify schema, so confirm the existing Neon database is at the current Alembic head before service startup and apply future migrations as a deliberate one-off operation. The existing /health route is the configured health check. The static service builds the frontend, publishes dist, rewrites client routes to index.html, and obtains VITE_API_BASE_URL from the backend service’s public Render URL.</w:t>
      </w:r>
    </w:p>
    <w:p>
      <w:r>
        <w:t>At initial Blueprint setup, enter DATABASE_URL and a unique production SECRET_KEY through the Render Dashboard. Set CORS_ORIGINS to the exact HTTPS origin of the deployed frontend; update it after Render assigns that origin if necessary. The backend production configuration rejects placeholder/weak secrets, SQLite, wildcard CORS, and non-HTTPS or local origins. Do not place secrets in the repository, frontend build variables, logs, or support messages.</w:t>
      </w:r>
    </w:p>
    <w:p>
      <w:r>
        <w:t>Recovery validation on September 25: Python 3.11.9 installed all existing backend requirements, including a prebuilt Linux wheel for pydantic-core 2.18.2; the full backend suite passed on Python 3.11 and 3.12 (98 passed, one opt-in live test skipped per default run). The live Neon test passed, and read-only db-status confirmed TLS, Alembic head f54d2e96b1c7, and the original 2 users, 1 group, and 57 transactions after cleanup. Frontend clean npm ci, 92 Vitest tests, one two-user Playwright E2E, and the production build passed in an isolated copy. Python 3.11 Uvicorn also started on 0.0.0.0:$PORT with temporary SQLite and /health returned success. Render YAML structure passed local checks; Render CLI validation, provisioning, and deployment were not performed. npm reported one high-severity xlsx advisory with no available fix; dependencies were left unchanged. The in-place npm ci was blocked by the active Vite process holding its Tailwind native module; clean-install validation used a temporary copy, then restored missing dependency files without overwriting the locked file.</w:t>
      </w:r>
    </w:p>
    <w:p>
      <w:r>
        <w:t>Next: push the prepared local commit yourself when ready, create a Render Blueprint from the GitHub repository, and set its Blueprint path to sharedspend/render.yaml. Supply the existing Neon URL and a new strong production SECRET_KEY directly in Render; the local development default is rejected in production. Set CORS_ORIGINS to the exact frontend HTTPS origin after Render assigns it. Confirm Neon is at Alembic head before startup, then check backend /health, frontend routing, login, and the group/budget/transaction flows. Free Render services sleep when inactive and are intended for evaluation rather than production reliability.</w:t>
      </w:r>
    </w:p>
    <w:sectPr>
      <w:pgSz w:w="11906" w:h="16838"/>
      <w:pgMar w:top="1152" w:right="1296" w:bottom="1152" w:left="1296"/>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100" w:line="259" w:lineRule="auto"/>
    </w:pPr>
    <w:rPr>
      <w:rFonts w:ascii="Calibri" w:hAnsi="Calibri"/>
      <w:color w:val="232A34"/>
      <w:sz w:val="20"/>
    </w:rPr>
  </w:style>
  <w:style w:type="paragraph" w:customStyle="1" w:styleId="Title">
    <w:name w:val="Title"/>
    <w:basedOn w:val="Normal"/>
    <w:pPr>
      <w:keepNext/>
      <w:spacing w:before="0" w:after="100"/>
    </w:pPr>
    <w:rPr>
      <w:rFonts w:ascii="Calibri" w:hAnsi="Calibri"/>
      <w:b/>
      <w:color w:val="000000"/>
      <w:sz w:val="48"/>
    </w:rPr>
  </w:style>
  <w:style w:type="paragraph" w:customStyle="1" w:styleId="Heading1">
    <w:name w:val="heading 1"/>
    <w:basedOn w:val="Normal"/>
    <w:pPr>
      <w:keepNext/>
      <w:spacing w:before="200" w:after="100"/>
    </w:pPr>
    <w:rPr>
      <w:rFonts w:ascii="Calibri" w:hAnsi="Calibri"/>
      <w:b/>
      <w:color w:val="1F3D5B"/>
      <w:sz w:val="30"/>
    </w:rPr>
  </w:style>
  <w:style w:type="paragraph" w:customStyle="1" w:styleId="Heading2">
    <w:name w:val="heading 2"/>
    <w:basedOn w:val="Normal"/>
    <w:pPr>
      <w:keepNext/>
      <w:spacing w:before="200" w:after="100"/>
    </w:pPr>
    <w:rPr>
      <w:rFonts w:ascii="Calibri" w:hAnsi="Calibri"/>
      <w:b/>
      <w:color w:val="1F3D5B"/>
      <w:sz w:val="23"/>
    </w:rPr>
  </w:style>
</w:styles>
</file>

<file path=word/_rels/document.xml.rels><?xml version='1.0' encoding='UTF-8' standalone='yes'?>
<Relationships xmlns="http://schemas.openxmlformats.org/package/2006/relationships"><Relationship Id="R10ab1353408448d3" Type="http://schemas.openxmlformats.org/officeDocument/2006/relationships/settings" Target="settings.xml"/><Relationship Id="R5f4be7572c254962" Type="http://schemas.openxmlformats.org/officeDocument/2006/relationships/styles" Target="styles.xml"/><Relationship Id="R8608750090114b06" Type="http://schemas.openxmlformats.org/officeDocument/2006/relationships/theme" Target="theme/theme1.xml"/><Relationship Id="Rfc49f87b94544cf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SharedSpend Development Team</dc:creator>
  <dcterms:created xsi:type="dcterms:W3CDTF">2026-09-02T18:24:20Z</dcterms:created>
  <cp:lastModifiedBy>OfficeCLI</cp:lastModifiedBy>
  <dcterms:modified xsi:type="dcterms:W3CDTF">2026-09-02T18:24:20Z</dcterms:modified>
  <dc:title>SharedSpend Project Handoff</dc:title>
  <dc:subject>Current architecture, verified status, limitations, and next steps</dc:subject>
  <cp:keywords>SharedSpend, handoff, development, status</cp:keywords>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1.0.146</vt:lpwstr>
  </op:property>
  <op:property fmtid="{D5CDD505-2E9C-101B-9397-08002B2CF9AE}" pid="3" name="OfficeCLI.LastModified">
    <vt:lpwstr xmlns:vt="http://schemas.openxmlformats.org/officeDocument/2006/docPropsVTypes">2026-09-02T18:33:32Z</vt:lpwstr>
  </op:property>
</op:Properties>
</file>