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5597"/>
          <w:sz w:val="28"/>
        </w:rPr>
        <w:t>WEEK 6 PROJECT REPORT</w:t>
      </w:r>
    </w:p>
    <w:p>
      <w:pPr>
        <w:pStyle w:val="Title"/>
        <w:jc w:val="center"/>
      </w:pPr>
      <w:r>
        <w:t>Model Evaluation, Reporting &amp;</w:t>
        <w:br/>
        <w:t>Business Impact Communication</w:t>
      </w:r>
    </w:p>
    <w:p>
      <w:pPr>
        <w:jc w:val="center"/>
      </w:pPr>
      <w:r>
        <w:rPr>
          <w:b/>
          <w:color w:val="548235"/>
          <w:sz w:val="30"/>
        </w:rPr>
        <w:t>Beauty &amp; Wellness Market Analytics</w:t>
      </w:r>
    </w:p>
    <w:p>
      <w:pPr>
        <w:spacing w:before="500"/>
        <w:jc w:val="center"/>
      </w:pPr>
      <w:r>
        <w:t>A practical framework for evaluating repeat-purchase prediction and translating results into business decisions.</w:t>
      </w:r>
    </w:p>
    <w:p>
      <w:r>
        <w:br w:type="page"/>
      </w:r>
    </w:p>
    <w:p>
      <w:pPr>
        <w:pStyle w:val="Heading1"/>
      </w:pPr>
      <w:r>
        <w:t>1. Executive Summary</w:t>
      </w:r>
    </w:p>
    <w:p>
      <w:r>
        <w:t>This report presents an evaluation framework for predictive models in the beauty and wellness market. The primary use case is to estimate whether a customer will make another purchase within a defined future period. A secondary use case may estimate future customer spending. The framework describes how to measure model quality, validate performance, communicate results to non-technical stakeholders, and translate findings into marketing, retention, inventory, and customer-experience decisions.</w:t>
      </w:r>
    </w:p>
    <w:p>
      <w:r>
        <w:t>The proposed classification models are Logistic Regression and Random Forest. Logistic Regression provides an interpretable baseline, while Random Forest can capture more complex patterns. All metrics in the results tables are placeholders: no trained model outputs or verified dataset results were supplied. Actual values must be calculated from the project dataset before the report is submitted as a results report.</w:t>
      </w:r>
    </w:p>
    <w:p>
      <w:pPr>
        <w:pStyle w:val="Heading1"/>
      </w:pPr>
      <w:r>
        <w:t>2. Objectives and Evaluation Questions</w:t>
      </w:r>
    </w:p>
    <w:p>
      <w:pPr>
        <w:pStyle w:val="ListBullet"/>
      </w:pPr>
      <w:r>
        <w:t>Can the model identify customers likely to purchase again during a defined future window?</w:t>
      </w:r>
    </w:p>
    <w:p>
      <w:pPr>
        <w:pStyle w:val="ListBullet"/>
      </w:pPr>
      <w:r>
        <w:t>Does performance hold on later, unseen data rather than only on training data?</w:t>
      </w:r>
    </w:p>
    <w:p>
      <w:pPr>
        <w:pStyle w:val="ListBullet"/>
      </w:pPr>
      <w:r>
        <w:t>Are predicted probabilities reliable enough for campaign planning?</w:t>
      </w:r>
    </w:p>
    <w:p>
      <w:pPr>
        <w:pStyle w:val="ListBullet"/>
      </w:pPr>
      <w:r>
        <w:t>Do the model benefits outweigh the cost of false positives, missed opportunities, incentives, and outreach?</w:t>
      </w:r>
    </w:p>
    <w:p>
      <w:pPr>
        <w:pStyle w:val="ListBullet"/>
      </w:pPr>
      <w:r>
        <w:t>Can stakeholders understand the main predictive drivers and use them responsibly?</w:t>
      </w:r>
    </w:p>
    <w:p>
      <w:pPr>
        <w:pStyle w:val="Heading1"/>
      </w:pPr>
      <w:r>
        <w:t>3. Prediction Setup and Data Requirements</w:t>
      </w:r>
    </w:p>
    <w:p>
      <w:r>
        <w:t>Define the prediction date and future observation window before training. For example, the target may be whether a customer makes at least one purchase in the next 30 days; the exact period should match the business purchase cycle. Features must use only information available on or before the prediction date.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03864"/>
          </w:tcPr>
          <w:p>
            <w:r>
              <w:rPr>
                <w:b/>
                <w:color w:val="FFFFFF"/>
                <w:sz w:val="16"/>
              </w:rPr>
              <w:t>Element</w:t>
            </w:r>
          </w:p>
        </w:tc>
        <w:tc>
          <w:tcPr>
            <w:tcW w:type="dxa" w:w="3360"/>
            <w:shd w:fill="203864"/>
          </w:tcPr>
          <w:p>
            <w:r>
              <w:rPr>
                <w:b/>
                <w:color w:val="FFFFFF"/>
                <w:sz w:val="16"/>
              </w:rPr>
              <w:t>Proposed definition</w:t>
            </w:r>
          </w:p>
        </w:tc>
        <w:tc>
          <w:tcPr>
            <w:tcW w:type="dxa" w:w="3360"/>
            <w:shd w:fill="203864"/>
          </w:tcPr>
          <w:p>
            <w:r>
              <w:rPr>
                <w:b/>
                <w:color w:val="FFFFFF"/>
                <w:sz w:val="16"/>
              </w:rPr>
              <w:t>Control</w:t>
            </w:r>
          </w:p>
        </w:tc>
      </w:tr>
      <w:tr>
        <w:tc>
          <w:tcPr>
            <w:tcW w:type="dxa" w:w="3360"/>
            <w:vAlign w:val="center"/>
          </w:tcPr>
          <w:p>
            <w:pPr>
              <w:spacing w:after="20"/>
            </w:pPr>
            <w:r>
              <w:rPr>
                <w:sz w:val="16"/>
              </w:rPr>
              <w:t>Target</w:t>
            </w:r>
          </w:p>
        </w:tc>
        <w:tc>
          <w:tcPr>
            <w:tcW w:type="dxa" w:w="3360"/>
            <w:vAlign w:val="center"/>
          </w:tcPr>
          <w:p>
            <w:pPr>
              <w:spacing w:after="20"/>
            </w:pPr>
            <w:r>
              <w:rPr>
                <w:sz w:val="16"/>
              </w:rPr>
              <w:t>Repeat purchase in future window: Yes/No</w:t>
            </w:r>
          </w:p>
        </w:tc>
        <w:tc>
          <w:tcPr>
            <w:tcW w:type="dxa" w:w="3360"/>
            <w:vAlign w:val="center"/>
          </w:tcPr>
          <w:p>
            <w:pPr>
              <w:spacing w:after="20"/>
            </w:pPr>
            <w:r>
              <w:rPr>
                <w:sz w:val="16"/>
              </w:rPr>
              <w:t>Document label rules and time window.</w:t>
            </w:r>
          </w:p>
        </w:tc>
      </w:tr>
      <w:tr>
        <w:tc>
          <w:tcPr>
            <w:tcW w:type="dxa" w:w="3360"/>
            <w:vAlign w:val="center"/>
            <w:shd w:fill="EAF0F8"/>
          </w:tcPr>
          <w:p>
            <w:pPr>
              <w:spacing w:after="20"/>
            </w:pPr>
            <w:r>
              <w:rPr>
                <w:sz w:val="16"/>
              </w:rPr>
              <w:t>Features</w:t>
            </w:r>
          </w:p>
        </w:tc>
        <w:tc>
          <w:tcPr>
            <w:tcW w:type="dxa" w:w="3360"/>
            <w:vAlign w:val="center"/>
            <w:shd w:fill="EAF0F8"/>
          </w:tcPr>
          <w:p>
            <w:pPr>
              <w:spacing w:after="20"/>
            </w:pPr>
            <w:r>
              <w:rPr>
                <w:sz w:val="16"/>
              </w:rPr>
              <w:t>Recency, frequency, monetary value, average order value, category mix, discount use, returns and engagement</w:t>
            </w:r>
          </w:p>
        </w:tc>
        <w:tc>
          <w:tcPr>
            <w:tcW w:type="dxa" w:w="3360"/>
            <w:vAlign w:val="center"/>
            <w:shd w:fill="EAF0F8"/>
          </w:tcPr>
          <w:p>
            <w:pPr>
              <w:spacing w:after="20"/>
            </w:pPr>
            <w:r>
              <w:rPr>
                <w:sz w:val="16"/>
              </w:rPr>
              <w:t>Use only information available at prediction time.</w:t>
            </w:r>
          </w:p>
        </w:tc>
      </w:tr>
      <w:tr>
        <w:tc>
          <w:tcPr>
            <w:tcW w:type="dxa" w:w="3360"/>
            <w:vAlign w:val="center"/>
          </w:tcPr>
          <w:p>
            <w:pPr>
              <w:spacing w:after="20"/>
            </w:pPr>
            <w:r>
              <w:rPr>
                <w:sz w:val="16"/>
              </w:rPr>
              <w:t>Unit</w:t>
            </w:r>
          </w:p>
        </w:tc>
        <w:tc>
          <w:tcPr>
            <w:tcW w:type="dxa" w:w="3360"/>
            <w:vAlign w:val="center"/>
          </w:tcPr>
          <w:p>
            <w:pPr>
              <w:spacing w:after="20"/>
            </w:pPr>
            <w:r>
              <w:rPr>
                <w:sz w:val="16"/>
              </w:rPr>
              <w:t>One customer at a defined prediction date</w:t>
            </w:r>
          </w:p>
        </w:tc>
        <w:tc>
          <w:tcPr>
            <w:tcW w:type="dxa" w:w="3360"/>
            <w:vAlign w:val="center"/>
          </w:tcPr>
          <w:p>
            <w:pPr>
              <w:spacing w:after="20"/>
            </w:pPr>
            <w:r>
              <w:rPr>
                <w:sz w:val="16"/>
              </w:rPr>
              <w:t>Prevent duplicate records and leakage.</w:t>
            </w:r>
          </w:p>
        </w:tc>
      </w:tr>
      <w:tr>
        <w:tc>
          <w:tcPr>
            <w:tcW w:type="dxa" w:w="3360"/>
            <w:vAlign w:val="center"/>
            <w:shd w:fill="EAF0F8"/>
          </w:tcPr>
          <w:p>
            <w:pPr>
              <w:spacing w:after="20"/>
            </w:pPr>
            <w:r>
              <w:rPr>
                <w:sz w:val="16"/>
              </w:rPr>
              <w:t>Optional regression</w:t>
            </w:r>
          </w:p>
        </w:tc>
        <w:tc>
          <w:tcPr>
            <w:tcW w:type="dxa" w:w="3360"/>
            <w:vAlign w:val="center"/>
            <w:shd w:fill="EAF0F8"/>
          </w:tcPr>
          <w:p>
            <w:pPr>
              <w:spacing w:after="20"/>
            </w:pPr>
            <w:r>
              <w:rPr>
                <w:sz w:val="16"/>
              </w:rPr>
              <w:t>Spending or order value over a future period</w:t>
            </w:r>
          </w:p>
        </w:tc>
        <w:tc>
          <w:tcPr>
            <w:tcW w:type="dxa" w:w="3360"/>
            <w:vAlign w:val="center"/>
            <w:shd w:fill="EAF0F8"/>
          </w:tcPr>
          <w:p>
            <w:pPr>
              <w:spacing w:after="20"/>
            </w:pPr>
            <w:r>
              <w:rPr>
                <w:sz w:val="16"/>
              </w:rPr>
              <w:t>Evaluate separately with regression metrics.</w:t>
            </w:r>
          </w:p>
        </w:tc>
      </w:tr>
      <w:tr>
        <w:tc>
          <w:tcPr>
            <w:tcW w:type="dxa" w:w="3360"/>
            <w:vAlign w:val="center"/>
          </w:tcPr>
          <w:p>
            <w:pPr>
              <w:spacing w:after="20"/>
            </w:pPr>
            <w:r>
              <w:rPr>
                <w:sz w:val="16"/>
              </w:rPr>
              <w:t>Data quality</w:t>
            </w:r>
          </w:p>
        </w:tc>
        <w:tc>
          <w:tcPr>
            <w:tcW w:type="dxa" w:w="3360"/>
            <w:vAlign w:val="center"/>
          </w:tcPr>
          <w:p>
            <w:pPr>
              <w:spacing w:after="20"/>
            </w:pPr>
            <w:r>
              <w:rPr>
                <w:sz w:val="16"/>
              </w:rPr>
              <w:t>Missing values, duplicates, category inconsistency, outliers, timestamp errors</w:t>
            </w:r>
          </w:p>
        </w:tc>
        <w:tc>
          <w:tcPr>
            <w:tcW w:type="dxa" w:w="3360"/>
            <w:vAlign w:val="center"/>
          </w:tcPr>
          <w:p>
            <w:pPr>
              <w:spacing w:after="20"/>
            </w:pPr>
            <w:r>
              <w:rPr>
                <w:sz w:val="16"/>
              </w:rPr>
              <w:t>Use a reproducible preprocessing pipeline.</w:t>
            </w:r>
          </w:p>
        </w:tc>
      </w:tr>
    </w:tbl>
    <w:p/>
    <w:p>
      <w:pPr>
        <w:pStyle w:val="Heading1"/>
      </w:pPr>
      <w:r>
        <w:t>4. Models to Evaluate</w:t>
      </w:r>
    </w:p>
    <w:p>
      <w:pPr>
        <w:pStyle w:val="Heading2"/>
      </w:pPr>
      <w:r>
        <w:t>4.1 Logistic Regression — baseline classifier</w:t>
      </w:r>
    </w:p>
    <w:p>
      <w:r>
        <w:t>Logistic Regression estimates the probability of repeat purchase and is a useful baseline because it is relatively simple to explain. Coefficients indicate associations with predicted likelihood, not proof of causation. Encoding categorical features and scaling numerical features may be required.</w:t>
      </w:r>
    </w:p>
    <w:p>
      <w:pPr>
        <w:pStyle w:val="Heading2"/>
      </w:pPr>
      <w:r>
        <w:t>4.2 Random Forest — nonlinear classifier</w:t>
      </w:r>
    </w:p>
    <w:p>
      <w:r>
        <w:t>Random Forest combines decision trees and can capture nonlinear relationships and feature interactions. It may improve performance when customer behavior is complex, but it needs tuning and is less straightforward to explain. Feature importance does not prove that a feature causes purchases.</w:t>
      </w:r>
    </w:p>
    <w:p>
      <w:pPr>
        <w:pStyle w:val="Heading2"/>
      </w:pPr>
      <w:r>
        <w:t>4.3 Optional regression model</w:t>
      </w:r>
    </w:p>
    <w:p>
      <w:r>
        <w:t>If the business also needs to estimate future spend, compare a baseline such as mean prediction with Linear Regression or a tree-based regressor. Evaluate this task separately from classification.</w:t>
      </w:r>
    </w:p>
    <w:p>
      <w:pPr>
        <w:pStyle w:val="Heading1"/>
      </w:pPr>
      <w:r>
        <w:t>5. Metrics and Their Business Meaning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03864"/>
          </w:tcPr>
          <w:p>
            <w:r>
              <w:rPr>
                <w:b/>
                <w:color w:val="FFFFFF"/>
                <w:sz w:val="16"/>
              </w:rPr>
              <w:t>Metric</w:t>
            </w:r>
          </w:p>
        </w:tc>
        <w:tc>
          <w:tcPr>
            <w:tcW w:type="dxa" w:w="2520"/>
            <w:shd w:fill="203864"/>
          </w:tcPr>
          <w:p>
            <w:r>
              <w:rPr>
                <w:b/>
                <w:color w:val="FFFFFF"/>
                <w:sz w:val="16"/>
              </w:rPr>
              <w:t>Meaning</w:t>
            </w:r>
          </w:p>
        </w:tc>
        <w:tc>
          <w:tcPr>
            <w:tcW w:type="dxa" w:w="2520"/>
            <w:shd w:fill="203864"/>
          </w:tcPr>
          <w:p>
            <w:r>
              <w:rPr>
                <w:b/>
                <w:color w:val="FFFFFF"/>
                <w:sz w:val="16"/>
              </w:rPr>
              <w:t>Business use</w:t>
            </w:r>
          </w:p>
        </w:tc>
        <w:tc>
          <w:tcPr>
            <w:tcW w:type="dxa" w:w="2520"/>
            <w:shd w:fill="203864"/>
          </w:tcPr>
          <w:p>
            <w:r>
              <w:rPr>
                <w:b/>
                <w:color w:val="FFFFFF"/>
                <w:sz w:val="16"/>
              </w:rPr>
              <w:t>Caution</w:t>
            </w:r>
          </w:p>
        </w:tc>
      </w:tr>
      <w:tr>
        <w:tc>
          <w:tcPr>
            <w:tcW w:type="dxa" w:w="2520"/>
            <w:vAlign w:val="center"/>
          </w:tcPr>
          <w:p>
            <w:pPr>
              <w:spacing w:after="20"/>
            </w:pPr>
            <w:r>
              <w:rPr>
                <w:sz w:val="16"/>
              </w:rPr>
              <w:t>Accuracy</w:t>
            </w:r>
          </w:p>
        </w:tc>
        <w:tc>
          <w:tcPr>
            <w:tcW w:type="dxa" w:w="2520"/>
            <w:vAlign w:val="center"/>
          </w:tcPr>
          <w:p>
            <w:pPr>
              <w:spacing w:after="20"/>
            </w:pPr>
            <w:r>
              <w:rPr>
                <w:sz w:val="16"/>
              </w:rPr>
              <w:t>Share of predictions correct</w:t>
            </w:r>
          </w:p>
        </w:tc>
        <w:tc>
          <w:tcPr>
            <w:tcW w:type="dxa" w:w="2520"/>
            <w:vAlign w:val="center"/>
          </w:tcPr>
          <w:p>
            <w:pPr>
              <w:spacing w:after="20"/>
            </w:pPr>
            <w:r>
              <w:rPr>
                <w:sz w:val="16"/>
              </w:rPr>
              <w:t>Useful when classes and error costs are balanced.</w:t>
            </w:r>
          </w:p>
        </w:tc>
        <w:tc>
          <w:tcPr>
            <w:tcW w:type="dxa" w:w="2520"/>
            <w:vAlign w:val="center"/>
          </w:tcPr>
          <w:p>
            <w:pPr>
              <w:spacing w:after="20"/>
            </w:pPr>
            <w:r>
              <w:rPr>
                <w:sz w:val="16"/>
              </w:rPr>
              <w:t>Can mislead when repeat purchase is uncommon.</w:t>
            </w:r>
          </w:p>
        </w:tc>
      </w:tr>
      <w:tr>
        <w:tc>
          <w:tcPr>
            <w:tcW w:type="dxa" w:w="2520"/>
            <w:vAlign w:val="center"/>
            <w:shd w:fill="EAF0F8"/>
          </w:tcPr>
          <w:p>
            <w:pPr>
              <w:spacing w:after="20"/>
            </w:pPr>
            <w:r>
              <w:rPr>
                <w:sz w:val="16"/>
              </w:rPr>
              <w:t>Precision</w:t>
            </w:r>
          </w:p>
        </w:tc>
        <w:tc>
          <w:tcPr>
            <w:tcW w:type="dxa" w:w="2520"/>
            <w:vAlign w:val="center"/>
            <w:shd w:fill="EAF0F8"/>
          </w:tcPr>
          <w:p>
            <w:pPr>
              <w:spacing w:after="20"/>
            </w:pPr>
            <w:r>
              <w:rPr>
                <w:sz w:val="16"/>
              </w:rPr>
              <w:t>Share of predicted repeat buyers who actually repeat</w:t>
            </w:r>
          </w:p>
        </w:tc>
        <w:tc>
          <w:tcPr>
            <w:tcW w:type="dxa" w:w="2520"/>
            <w:vAlign w:val="center"/>
            <w:shd w:fill="EAF0F8"/>
          </w:tcPr>
          <w:p>
            <w:pPr>
              <w:spacing w:after="20"/>
            </w:pPr>
            <w:r>
              <w:rPr>
                <w:sz w:val="16"/>
              </w:rPr>
              <w:t>Reduces wasted campaign spend and unnecessary incentives.</w:t>
            </w:r>
          </w:p>
        </w:tc>
        <w:tc>
          <w:tcPr>
            <w:tcW w:type="dxa" w:w="2520"/>
            <w:vAlign w:val="center"/>
            <w:shd w:fill="EAF0F8"/>
          </w:tcPr>
          <w:p>
            <w:pPr>
              <w:spacing w:after="20"/>
            </w:pPr>
            <w:r>
              <w:rPr>
                <w:sz w:val="16"/>
              </w:rPr>
              <w:t>May miss potential buyers.</w:t>
            </w:r>
          </w:p>
        </w:tc>
      </w:tr>
      <w:tr>
        <w:tc>
          <w:tcPr>
            <w:tcW w:type="dxa" w:w="2520"/>
            <w:vAlign w:val="center"/>
          </w:tcPr>
          <w:p>
            <w:pPr>
              <w:spacing w:after="20"/>
            </w:pPr>
            <w:r>
              <w:rPr>
                <w:sz w:val="16"/>
              </w:rPr>
              <w:t>Recall</w:t>
            </w:r>
          </w:p>
        </w:tc>
        <w:tc>
          <w:tcPr>
            <w:tcW w:type="dxa" w:w="2520"/>
            <w:vAlign w:val="center"/>
          </w:tcPr>
          <w:p>
            <w:pPr>
              <w:spacing w:after="20"/>
            </w:pPr>
            <w:r>
              <w:rPr>
                <w:sz w:val="16"/>
              </w:rPr>
              <w:t>Share of actual repeat buyers correctly identified</w:t>
            </w:r>
          </w:p>
        </w:tc>
        <w:tc>
          <w:tcPr>
            <w:tcW w:type="dxa" w:w="2520"/>
            <w:vAlign w:val="center"/>
          </w:tcPr>
          <w:p>
            <w:pPr>
              <w:spacing w:after="20"/>
            </w:pPr>
            <w:r>
              <w:rPr>
                <w:sz w:val="16"/>
              </w:rPr>
              <w:t>Captures more potential buyers for engagement.</w:t>
            </w:r>
          </w:p>
        </w:tc>
        <w:tc>
          <w:tcPr>
            <w:tcW w:type="dxa" w:w="2520"/>
            <w:vAlign w:val="center"/>
          </w:tcPr>
          <w:p>
            <w:pPr>
              <w:spacing w:after="20"/>
            </w:pPr>
            <w:r>
              <w:rPr>
                <w:sz w:val="16"/>
              </w:rPr>
              <w:t>Can increase false positives.</w:t>
            </w:r>
          </w:p>
        </w:tc>
      </w:tr>
      <w:tr>
        <w:tc>
          <w:tcPr>
            <w:tcW w:type="dxa" w:w="2520"/>
            <w:vAlign w:val="center"/>
            <w:shd w:fill="EAF0F8"/>
          </w:tcPr>
          <w:p>
            <w:pPr>
              <w:spacing w:after="20"/>
            </w:pPr>
            <w:r>
              <w:rPr>
                <w:sz w:val="16"/>
              </w:rPr>
              <w:t>F1-score</w:t>
            </w:r>
          </w:p>
        </w:tc>
        <w:tc>
          <w:tcPr>
            <w:tcW w:type="dxa" w:w="2520"/>
            <w:vAlign w:val="center"/>
            <w:shd w:fill="EAF0F8"/>
          </w:tcPr>
          <w:p>
            <w:pPr>
              <w:spacing w:after="20"/>
            </w:pPr>
            <w:r>
              <w:rPr>
                <w:sz w:val="16"/>
              </w:rPr>
              <w:t>Harmonic mean of precision and recall</w:t>
            </w:r>
          </w:p>
        </w:tc>
        <w:tc>
          <w:tcPr>
            <w:tcW w:type="dxa" w:w="2520"/>
            <w:vAlign w:val="center"/>
            <w:shd w:fill="EAF0F8"/>
          </w:tcPr>
          <w:p>
            <w:pPr>
              <w:spacing w:after="20"/>
            </w:pPr>
            <w:r>
              <w:rPr>
                <w:sz w:val="16"/>
              </w:rPr>
              <w:t>Balances missed opportunities and wasted outreach.</w:t>
            </w:r>
          </w:p>
        </w:tc>
        <w:tc>
          <w:tcPr>
            <w:tcW w:type="dxa" w:w="2520"/>
            <w:vAlign w:val="center"/>
            <w:shd w:fill="EAF0F8"/>
          </w:tcPr>
          <w:p>
            <w:pPr>
              <w:spacing w:after="20"/>
            </w:pPr>
            <w:r>
              <w:rPr>
                <w:sz w:val="16"/>
              </w:rPr>
              <w:t>Does not directly include financial cost.</w:t>
            </w:r>
          </w:p>
        </w:tc>
      </w:tr>
      <w:tr>
        <w:tc>
          <w:tcPr>
            <w:tcW w:type="dxa" w:w="2520"/>
            <w:vAlign w:val="center"/>
          </w:tcPr>
          <w:p>
            <w:pPr>
              <w:spacing w:after="20"/>
            </w:pPr>
            <w:r>
              <w:rPr>
                <w:sz w:val="16"/>
              </w:rPr>
              <w:t>ROC-AUC</w:t>
            </w:r>
          </w:p>
        </w:tc>
        <w:tc>
          <w:tcPr>
            <w:tcW w:type="dxa" w:w="2520"/>
            <w:vAlign w:val="center"/>
          </w:tcPr>
          <w:p>
            <w:pPr>
              <w:spacing w:after="20"/>
            </w:pPr>
            <w:r>
              <w:rPr>
                <w:sz w:val="16"/>
              </w:rPr>
              <w:t>Ranking ability across thresholds</w:t>
            </w:r>
          </w:p>
        </w:tc>
        <w:tc>
          <w:tcPr>
            <w:tcW w:type="dxa" w:w="2520"/>
            <w:vAlign w:val="center"/>
          </w:tcPr>
          <w:p>
            <w:pPr>
              <w:spacing w:after="20"/>
            </w:pPr>
            <w:r>
              <w:rPr>
                <w:sz w:val="16"/>
              </w:rPr>
              <w:t>Shows how well likely buyers are ranked above non-buyers.</w:t>
            </w:r>
          </w:p>
        </w:tc>
        <w:tc>
          <w:tcPr>
            <w:tcW w:type="dxa" w:w="2520"/>
            <w:vAlign w:val="center"/>
          </w:tcPr>
          <w:p>
            <w:pPr>
              <w:spacing w:after="20"/>
            </w:pPr>
            <w:r>
              <w:rPr>
                <w:sz w:val="16"/>
              </w:rPr>
              <w:t>Can look strong with imbalanced classes.</w:t>
            </w:r>
          </w:p>
        </w:tc>
      </w:tr>
      <w:tr>
        <w:tc>
          <w:tcPr>
            <w:tcW w:type="dxa" w:w="2520"/>
            <w:vAlign w:val="center"/>
            <w:shd w:fill="EAF0F8"/>
          </w:tcPr>
          <w:p>
            <w:pPr>
              <w:spacing w:after="20"/>
            </w:pPr>
            <w:r>
              <w:rPr>
                <w:sz w:val="16"/>
              </w:rPr>
              <w:t>PR-AUC</w:t>
            </w:r>
          </w:p>
        </w:tc>
        <w:tc>
          <w:tcPr>
            <w:tcW w:type="dxa" w:w="2520"/>
            <w:vAlign w:val="center"/>
            <w:shd w:fill="EAF0F8"/>
          </w:tcPr>
          <w:p>
            <w:pPr>
              <w:spacing w:after="20"/>
            </w:pPr>
            <w:r>
              <w:rPr>
                <w:sz w:val="16"/>
              </w:rPr>
              <w:t>Precision-recall trade-off</w:t>
            </w:r>
          </w:p>
        </w:tc>
        <w:tc>
          <w:tcPr>
            <w:tcW w:type="dxa" w:w="2520"/>
            <w:vAlign w:val="center"/>
            <w:shd w:fill="EAF0F8"/>
          </w:tcPr>
          <w:p>
            <w:pPr>
              <w:spacing w:after="20"/>
            </w:pPr>
            <w:r>
              <w:rPr>
                <w:sz w:val="16"/>
              </w:rPr>
              <w:t>Often useful when positive cases are rare.</w:t>
            </w:r>
          </w:p>
        </w:tc>
        <w:tc>
          <w:tcPr>
            <w:tcW w:type="dxa" w:w="2520"/>
            <w:vAlign w:val="center"/>
            <w:shd w:fill="EAF0F8"/>
          </w:tcPr>
          <w:p>
            <w:pPr>
              <w:spacing w:after="20"/>
            </w:pPr>
            <w:r>
              <w:rPr>
                <w:sz w:val="16"/>
              </w:rPr>
              <w:t>Baseline depends on class prevalence.</w:t>
            </w:r>
          </w:p>
        </w:tc>
      </w:tr>
      <w:tr>
        <w:tc>
          <w:tcPr>
            <w:tcW w:type="dxa" w:w="2520"/>
            <w:vAlign w:val="center"/>
          </w:tcPr>
          <w:p>
            <w:pPr>
              <w:spacing w:after="20"/>
            </w:pPr>
            <w:r>
              <w:rPr>
                <w:sz w:val="16"/>
              </w:rPr>
              <w:t>Confusion matrix</w:t>
            </w:r>
          </w:p>
        </w:tc>
        <w:tc>
          <w:tcPr>
            <w:tcW w:type="dxa" w:w="2520"/>
            <w:vAlign w:val="center"/>
          </w:tcPr>
          <w:p>
            <w:pPr>
              <w:spacing w:after="20"/>
            </w:pPr>
            <w:r>
              <w:rPr>
                <w:sz w:val="16"/>
              </w:rPr>
              <w:t>TP, FP, TN and FN counts</w:t>
            </w:r>
          </w:p>
        </w:tc>
        <w:tc>
          <w:tcPr>
            <w:tcW w:type="dxa" w:w="2520"/>
            <w:vAlign w:val="center"/>
          </w:tcPr>
          <w:p>
            <w:pPr>
              <w:spacing w:after="20"/>
            </w:pPr>
            <w:r>
              <w:rPr>
                <w:sz w:val="16"/>
              </w:rPr>
              <w:t>Shows types and volumes of targeting errors.</w:t>
            </w:r>
          </w:p>
        </w:tc>
        <w:tc>
          <w:tcPr>
            <w:tcW w:type="dxa" w:w="2520"/>
            <w:vAlign w:val="center"/>
          </w:tcPr>
          <w:p>
            <w:pPr>
              <w:spacing w:after="20"/>
            </w:pPr>
            <w:r>
              <w:rPr>
                <w:sz w:val="16"/>
              </w:rPr>
              <w:t>Depends on threshold.</w:t>
            </w:r>
          </w:p>
        </w:tc>
      </w:tr>
      <w:tr>
        <w:tc>
          <w:tcPr>
            <w:tcW w:type="dxa" w:w="2520"/>
            <w:vAlign w:val="center"/>
            <w:shd w:fill="EAF0F8"/>
          </w:tcPr>
          <w:p>
            <w:pPr>
              <w:spacing w:after="20"/>
            </w:pPr>
            <w:r>
              <w:rPr>
                <w:sz w:val="16"/>
              </w:rPr>
              <w:t>Calibration</w:t>
            </w:r>
          </w:p>
        </w:tc>
        <w:tc>
          <w:tcPr>
            <w:tcW w:type="dxa" w:w="2520"/>
            <w:vAlign w:val="center"/>
            <w:shd w:fill="EAF0F8"/>
          </w:tcPr>
          <w:p>
            <w:pPr>
              <w:spacing w:after="20"/>
            </w:pPr>
            <w:r>
              <w:rPr>
                <w:sz w:val="16"/>
              </w:rPr>
              <w:t>Predicted probability vs observed frequency</w:t>
            </w:r>
          </w:p>
        </w:tc>
        <w:tc>
          <w:tcPr>
            <w:tcW w:type="dxa" w:w="2520"/>
            <w:vAlign w:val="center"/>
            <w:shd w:fill="EAF0F8"/>
          </w:tcPr>
          <w:p>
            <w:pPr>
              <w:spacing w:after="20"/>
            </w:pPr>
            <w:r>
              <w:rPr>
                <w:sz w:val="16"/>
              </w:rPr>
              <w:t>Supports audience-size and outcome planning.</w:t>
            </w:r>
          </w:p>
        </w:tc>
        <w:tc>
          <w:tcPr>
            <w:tcW w:type="dxa" w:w="2520"/>
            <w:vAlign w:val="center"/>
            <w:shd w:fill="EAF0F8"/>
          </w:tcPr>
          <w:p>
            <w:pPr>
              <w:spacing w:after="20"/>
            </w:pPr>
            <w:r>
              <w:rPr>
                <w:sz w:val="16"/>
              </w:rPr>
              <w:t>Ranking can be good while calibration is poor.</w:t>
            </w:r>
          </w:p>
        </w:tc>
      </w:tr>
      <w:tr>
        <w:tc>
          <w:tcPr>
            <w:tcW w:type="dxa" w:w="2520"/>
            <w:vAlign w:val="center"/>
          </w:tcPr>
          <w:p>
            <w:pPr>
              <w:spacing w:after="20"/>
            </w:pPr>
            <w:r>
              <w:rPr>
                <w:sz w:val="16"/>
              </w:rPr>
              <w:t>MAE / RMSE</w:t>
            </w:r>
          </w:p>
        </w:tc>
        <w:tc>
          <w:tcPr>
            <w:tcW w:type="dxa" w:w="2520"/>
            <w:vAlign w:val="center"/>
          </w:tcPr>
          <w:p>
            <w:pPr>
              <w:spacing w:after="20"/>
            </w:pPr>
            <w:r>
              <w:rPr>
                <w:sz w:val="16"/>
              </w:rPr>
              <w:t>Average absolute error / square-root mean squared error</w:t>
            </w:r>
          </w:p>
        </w:tc>
        <w:tc>
          <w:tcPr>
            <w:tcW w:type="dxa" w:w="2520"/>
            <w:vAlign w:val="center"/>
          </w:tcPr>
          <w:p>
            <w:pPr>
              <w:spacing w:after="20"/>
            </w:pPr>
            <w:r>
              <w:rPr>
                <w:sz w:val="16"/>
              </w:rPr>
              <w:t>Shows typical spend-prediction error; RMSE penalizes large errors.</w:t>
            </w:r>
          </w:p>
        </w:tc>
        <w:tc>
          <w:tcPr>
            <w:tcW w:type="dxa" w:w="2520"/>
            <w:vAlign w:val="center"/>
          </w:tcPr>
          <w:p>
            <w:pPr>
              <w:spacing w:after="20"/>
            </w:pPr>
            <w:r>
              <w:rPr>
                <w:sz w:val="16"/>
              </w:rPr>
              <w:t>RMSE is sensitive to outliers.</w:t>
            </w:r>
          </w:p>
        </w:tc>
      </w:tr>
      <w:tr>
        <w:tc>
          <w:tcPr>
            <w:tcW w:type="dxa" w:w="2520"/>
            <w:vAlign w:val="center"/>
            <w:shd w:fill="EAF0F8"/>
          </w:tcPr>
          <w:p>
            <w:pPr>
              <w:spacing w:after="20"/>
            </w:pPr>
            <w:r>
              <w:rPr>
                <w:sz w:val="16"/>
              </w:rPr>
              <w:t>R²</w:t>
            </w:r>
          </w:p>
        </w:tc>
        <w:tc>
          <w:tcPr>
            <w:tcW w:type="dxa" w:w="2520"/>
            <w:vAlign w:val="center"/>
            <w:shd w:fill="EAF0F8"/>
          </w:tcPr>
          <w:p>
            <w:pPr>
              <w:spacing w:after="20"/>
            </w:pPr>
            <w:r>
              <w:rPr>
                <w:sz w:val="16"/>
              </w:rPr>
              <w:t>Variation explained compared with a mean baseline</w:t>
            </w:r>
          </w:p>
        </w:tc>
        <w:tc>
          <w:tcPr>
            <w:tcW w:type="dxa" w:w="2520"/>
            <w:vAlign w:val="center"/>
            <w:shd w:fill="EAF0F8"/>
          </w:tcPr>
          <w:p>
            <w:pPr>
              <w:spacing w:after="20"/>
            </w:pPr>
            <w:r>
              <w:rPr>
                <w:sz w:val="16"/>
              </w:rPr>
              <w:t>Adds context to regression performance.</w:t>
            </w:r>
          </w:p>
        </w:tc>
        <w:tc>
          <w:tcPr>
            <w:tcW w:type="dxa" w:w="2520"/>
            <w:vAlign w:val="center"/>
            <w:shd w:fill="EAF0F8"/>
          </w:tcPr>
          <w:p>
            <w:pPr>
              <w:spacing w:after="20"/>
            </w:pPr>
            <w:r>
              <w:rPr>
                <w:sz w:val="16"/>
              </w:rPr>
              <w:t>Does not show practical error by itself.</w:t>
            </w:r>
          </w:p>
        </w:tc>
      </w:tr>
    </w:tbl>
    <w:p/>
    <w:p>
      <w:r>
        <w:t>For the repeat-purchase classifier, report precision, recall, F1-score, ROC-AUC, PR-AUC, the confusion matrix and calibration. Accuracy is secondary rather than the sole success measure. For spending prediction, report MAE and RMSE, with R² as supporting context.</w:t>
      </w:r>
    </w:p>
    <w:p>
      <w:pPr>
        <w:pStyle w:val="Heading1"/>
      </w:pPr>
      <w:r>
        <w:t>6. Validation and Testing Plan</w:t>
      </w:r>
    </w:p>
    <w:p>
      <w:pPr>
        <w:pStyle w:val="ListNumber"/>
      </w:pPr>
      <w:r>
        <w:t>Audit the target definition, class distribution, missingness, duplicates, timestamps and feature availability.</w:t>
      </w:r>
    </w:p>
    <w:p>
      <w:pPr>
        <w:pStyle w:val="ListNumber"/>
      </w:pPr>
      <w:r>
        <w:t>Use a time-aware split where possible: earlier data for training, later data for validation, and the latest untouched period for final testing.</w:t>
      </w:r>
    </w:p>
    <w:p>
      <w:pPr>
        <w:pStyle w:val="ListNumber"/>
      </w:pPr>
      <w:r>
        <w:t>Train a simple baseline and Logistic Regression for reference.</w:t>
      </w:r>
    </w:p>
    <w:p>
      <w:pPr>
        <w:pStyle w:val="ListNumber"/>
      </w:pPr>
      <w:r>
        <w:t>Train Random Forest using the same split and target definition.</w:t>
      </w:r>
    </w:p>
    <w:p>
      <w:pPr>
        <w:pStyle w:val="ListNumber"/>
      </w:pPr>
      <w:r>
        <w:t>Tune hyperparameters using training/validation data only; do not repeatedly inspect the final test set.</w:t>
      </w:r>
    </w:p>
    <w:p>
      <w:pPr>
        <w:pStyle w:val="ListNumber"/>
      </w:pPr>
      <w:r>
        <w:t>Choose the probability threshold using validation data, campaign capacity, budget and the cost of errors.</w:t>
      </w:r>
    </w:p>
    <w:p>
      <w:pPr>
        <w:pStyle w:val="ListNumber"/>
      </w:pPr>
      <w:r>
        <w:t>Evaluate once on the untouched test set and report all preselected metrics.</w:t>
      </w:r>
    </w:p>
    <w:p>
      <w:pPr>
        <w:pStyle w:val="ListNumber"/>
      </w:pPr>
      <w:r>
        <w:t>Check stability by time period, customer segment and product category where sample sizes are adequate.</w:t>
      </w:r>
    </w:p>
    <w:p>
      <w:pPr>
        <w:pStyle w:val="ListNumber"/>
      </w:pPr>
      <w:r>
        <w:t>Run a controlled pilot or A/B test before broad rollout.</w:t>
      </w:r>
    </w:p>
    <w:p>
      <w:pPr>
        <w:pStyle w:val="ListNumber"/>
      </w:pPr>
      <w:r>
        <w:t>Monitor data drift, calibration, precision/recall and business outcomes after launch.</w:t>
      </w:r>
    </w:p>
    <w:p>
      <w:pPr>
        <w:pStyle w:val="Heading1"/>
      </w:pPr>
      <w:r>
        <w:t>7. Evaluation Workflow Diagram</w:t>
      </w:r>
    </w:p>
    <w:p>
      <w:pPr>
        <w:jc w:val="center"/>
      </w:pPr>
      <w:r>
        <w:rPr>
          <w:b/>
          <w:color w:val="203864"/>
        </w:rPr>
        <w:t>Raw customer and transaction data</w:t>
      </w:r>
    </w:p>
    <w:p>
      <w:pPr>
        <w:jc w:val="center"/>
      </w:pPr>
      <w:r>
        <w:t>↓</w:t>
      </w:r>
    </w:p>
    <w:p>
      <w:pPr>
        <w:jc w:val="center"/>
      </w:pPr>
      <w:r>
        <w:rPr>
          <w:b/>
          <w:color w:val="203864"/>
        </w:rPr>
        <w:t>Data validation and preprocessing</w:t>
      </w:r>
    </w:p>
    <w:p>
      <w:pPr>
        <w:jc w:val="center"/>
      </w:pPr>
      <w:r>
        <w:t>↓</w:t>
      </w:r>
    </w:p>
    <w:p>
      <w:pPr>
        <w:jc w:val="center"/>
      </w:pPr>
      <w:r>
        <w:rPr>
          <w:b/>
          <w:color w:val="203864"/>
        </w:rPr>
        <w:t>Time-aware train / validation / test split</w:t>
      </w:r>
    </w:p>
    <w:p>
      <w:pPr>
        <w:jc w:val="center"/>
      </w:pPr>
      <w:r>
        <w:t>↓</w:t>
      </w:r>
    </w:p>
    <w:p>
      <w:pPr>
        <w:jc w:val="center"/>
      </w:pPr>
      <w:r>
        <w:rPr>
          <w:b/>
          <w:color w:val="203864"/>
        </w:rPr>
        <w:t>Baseline Logistic Regression and Random Forest</w:t>
      </w:r>
    </w:p>
    <w:p>
      <w:pPr>
        <w:jc w:val="center"/>
      </w:pPr>
      <w:r>
        <w:t>↓</w:t>
      </w:r>
    </w:p>
    <w:p>
      <w:pPr>
        <w:jc w:val="center"/>
      </w:pPr>
      <w:r>
        <w:rPr>
          <w:b/>
          <w:color w:val="203864"/>
        </w:rPr>
        <w:t>Metric comparison and threshold selection</w:t>
      </w:r>
    </w:p>
    <w:p>
      <w:pPr>
        <w:jc w:val="center"/>
      </w:pPr>
      <w:r>
        <w:t>↓</w:t>
      </w:r>
    </w:p>
    <w:p>
      <w:pPr>
        <w:jc w:val="center"/>
      </w:pPr>
      <w:r>
        <w:rPr>
          <w:b/>
          <w:color w:val="203864"/>
        </w:rPr>
        <w:t>Final untouched test evaluation</w:t>
      </w:r>
    </w:p>
    <w:p>
      <w:pPr>
        <w:jc w:val="center"/>
      </w:pPr>
      <w:r>
        <w:t>↓</w:t>
      </w:r>
    </w:p>
    <w:p>
      <w:pPr>
        <w:jc w:val="center"/>
      </w:pPr>
      <w:r>
        <w:rPr>
          <w:b/>
          <w:color w:val="203864"/>
        </w:rPr>
        <w:t>Controlled marketing pilot and business measurement</w:t>
      </w:r>
    </w:p>
    <w:p>
      <w:pPr>
        <w:jc w:val="center"/>
      </w:pPr>
      <w:r>
        <w:t>↓</w:t>
      </w:r>
    </w:p>
    <w:p>
      <w:pPr>
        <w:jc w:val="center"/>
      </w:pPr>
      <w:r>
        <w:rPr>
          <w:b/>
          <w:color w:val="203864"/>
        </w:rPr>
        <w:t>Monitoring, feedback and periodic retraining</w:t>
      </w:r>
    </w:p>
    <w:p>
      <w:pPr>
        <w:pStyle w:val="Heading1"/>
      </w:pPr>
      <w:r>
        <w:t>8. Performance Results Template</w:t>
      </w:r>
    </w:p>
    <w:p>
      <w:r>
        <w:t>Fill these tables with measured test-set results after running the models. Dashes are placeholders, not zero scores or actual findings.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203864"/>
          </w:tcPr>
          <w:p>
            <w:r>
              <w:rPr>
                <w:b/>
                <w:color w:val="FFFFFF"/>
                <w:sz w:val="16"/>
              </w:rPr>
              <w:t>Model</w:t>
            </w:r>
          </w:p>
        </w:tc>
        <w:tc>
          <w:tcPr>
            <w:tcW w:type="dxa" w:w="1440"/>
            <w:shd w:fill="203864"/>
          </w:tcPr>
          <w:p>
            <w:r>
              <w:rPr>
                <w:b/>
                <w:color w:val="FFFFFF"/>
                <w:sz w:val="16"/>
              </w:rPr>
              <w:t>Accuracy</w:t>
            </w:r>
          </w:p>
        </w:tc>
        <w:tc>
          <w:tcPr>
            <w:tcW w:type="dxa" w:w="1440"/>
            <w:shd w:fill="203864"/>
          </w:tcPr>
          <w:p>
            <w:r>
              <w:rPr>
                <w:b/>
                <w:color w:val="FFFFFF"/>
                <w:sz w:val="16"/>
              </w:rPr>
              <w:t>Precision</w:t>
            </w:r>
          </w:p>
        </w:tc>
        <w:tc>
          <w:tcPr>
            <w:tcW w:type="dxa" w:w="1440"/>
            <w:shd w:fill="203864"/>
          </w:tcPr>
          <w:p>
            <w:r>
              <w:rPr>
                <w:b/>
                <w:color w:val="FFFFFF"/>
                <w:sz w:val="16"/>
              </w:rPr>
              <w:t>Recall</w:t>
            </w:r>
          </w:p>
        </w:tc>
        <w:tc>
          <w:tcPr>
            <w:tcW w:type="dxa" w:w="1440"/>
            <w:shd w:fill="203864"/>
          </w:tcPr>
          <w:p>
            <w:r>
              <w:rPr>
                <w:b/>
                <w:color w:val="FFFFFF"/>
                <w:sz w:val="16"/>
              </w:rPr>
              <w:t>F1</w:t>
            </w:r>
          </w:p>
        </w:tc>
        <w:tc>
          <w:tcPr>
            <w:tcW w:type="dxa" w:w="1440"/>
            <w:shd w:fill="203864"/>
          </w:tcPr>
          <w:p>
            <w:r>
              <w:rPr>
                <w:b/>
                <w:color w:val="FFFFFF"/>
                <w:sz w:val="16"/>
              </w:rPr>
              <w:t>ROC-AUC</w:t>
            </w:r>
          </w:p>
        </w:tc>
        <w:tc>
          <w:tcPr>
            <w:tcW w:type="dxa" w:w="1440"/>
            <w:shd w:fill="203864"/>
          </w:tcPr>
          <w:p>
            <w:r>
              <w:rPr>
                <w:b/>
                <w:color w:val="FFFFFF"/>
                <w:sz w:val="16"/>
              </w:rPr>
              <w:t>PR-AUC</w:t>
            </w:r>
          </w:p>
        </w:tc>
      </w:tr>
      <w:tr>
        <w:tc>
          <w:tcPr>
            <w:tcW w:type="dxa" w:w="1440"/>
            <w:vAlign w:val="center"/>
          </w:tcPr>
          <w:p>
            <w:pPr>
              <w:spacing w:after="20"/>
            </w:pPr>
            <w:r>
              <w:rPr>
                <w:sz w:val="16"/>
              </w:rPr>
              <w:t>Majority-class baseline</w:t>
            </w:r>
          </w:p>
        </w:tc>
        <w:tc>
          <w:tcPr>
            <w:tcW w:type="dxa" w:w="1440"/>
            <w:vAlign w:val="center"/>
          </w:tcPr>
          <w:p>
            <w:pPr>
              <w:spacing w:after="20"/>
            </w:pPr>
            <w:r>
              <w:rPr>
                <w:sz w:val="16"/>
              </w:rPr>
              <w:t>—</w:t>
            </w:r>
          </w:p>
        </w:tc>
        <w:tc>
          <w:tcPr>
            <w:tcW w:type="dxa" w:w="1440"/>
            <w:vAlign w:val="center"/>
          </w:tcPr>
          <w:p>
            <w:pPr>
              <w:spacing w:after="20"/>
            </w:pPr>
            <w:r>
              <w:rPr>
                <w:sz w:val="16"/>
              </w:rPr>
              <w:t>—</w:t>
            </w:r>
          </w:p>
        </w:tc>
        <w:tc>
          <w:tcPr>
            <w:tcW w:type="dxa" w:w="1440"/>
            <w:vAlign w:val="center"/>
          </w:tcPr>
          <w:p>
            <w:pPr>
              <w:spacing w:after="20"/>
            </w:pPr>
            <w:r>
              <w:rPr>
                <w:sz w:val="16"/>
              </w:rPr>
              <w:t>—</w:t>
            </w:r>
          </w:p>
        </w:tc>
        <w:tc>
          <w:tcPr>
            <w:tcW w:type="dxa" w:w="1440"/>
            <w:vAlign w:val="center"/>
          </w:tcPr>
          <w:p>
            <w:pPr>
              <w:spacing w:after="20"/>
            </w:pPr>
            <w:r>
              <w:rPr>
                <w:sz w:val="16"/>
              </w:rPr>
              <w:t>—</w:t>
            </w:r>
          </w:p>
        </w:tc>
        <w:tc>
          <w:tcPr>
            <w:tcW w:type="dxa" w:w="1440"/>
            <w:vAlign w:val="center"/>
          </w:tcPr>
          <w:p>
            <w:pPr>
              <w:spacing w:after="20"/>
            </w:pPr>
            <w:r>
              <w:rPr>
                <w:sz w:val="16"/>
              </w:rPr>
              <w:t>—</w:t>
            </w:r>
          </w:p>
        </w:tc>
        <w:tc>
          <w:tcPr>
            <w:tcW w:type="dxa" w:w="1440"/>
            <w:vAlign w:val="center"/>
          </w:tcPr>
          <w:p>
            <w:pPr>
              <w:spacing w:after="20"/>
            </w:pPr>
            <w:r>
              <w:rPr>
                <w:sz w:val="16"/>
              </w:rPr>
              <w:t>—</w:t>
            </w:r>
          </w:p>
        </w:tc>
      </w:tr>
      <w:tr>
        <w:tc>
          <w:tcPr>
            <w:tcW w:type="dxa" w:w="1440"/>
            <w:vAlign w:val="center"/>
            <w:shd w:fill="EAF0F8"/>
          </w:tcPr>
          <w:p>
            <w:pPr>
              <w:spacing w:after="20"/>
            </w:pPr>
            <w:r>
              <w:rPr>
                <w:sz w:val="16"/>
              </w:rPr>
              <w:t>Logistic Regression</w:t>
            </w:r>
          </w:p>
        </w:tc>
        <w:tc>
          <w:tcPr>
            <w:tcW w:type="dxa" w:w="1440"/>
            <w:vAlign w:val="center"/>
            <w:shd w:fill="EAF0F8"/>
          </w:tcPr>
          <w:p>
            <w:pPr>
              <w:spacing w:after="20"/>
            </w:pPr>
            <w:r>
              <w:rPr>
                <w:sz w:val="16"/>
              </w:rPr>
              <w:t>—</w:t>
            </w:r>
          </w:p>
        </w:tc>
        <w:tc>
          <w:tcPr>
            <w:tcW w:type="dxa" w:w="1440"/>
            <w:vAlign w:val="center"/>
            <w:shd w:fill="EAF0F8"/>
          </w:tcPr>
          <w:p>
            <w:pPr>
              <w:spacing w:after="20"/>
            </w:pPr>
            <w:r>
              <w:rPr>
                <w:sz w:val="16"/>
              </w:rPr>
              <w:t>—</w:t>
            </w:r>
          </w:p>
        </w:tc>
        <w:tc>
          <w:tcPr>
            <w:tcW w:type="dxa" w:w="1440"/>
            <w:vAlign w:val="center"/>
            <w:shd w:fill="EAF0F8"/>
          </w:tcPr>
          <w:p>
            <w:pPr>
              <w:spacing w:after="20"/>
            </w:pPr>
            <w:r>
              <w:rPr>
                <w:sz w:val="16"/>
              </w:rPr>
              <w:t>—</w:t>
            </w:r>
          </w:p>
        </w:tc>
        <w:tc>
          <w:tcPr>
            <w:tcW w:type="dxa" w:w="1440"/>
            <w:vAlign w:val="center"/>
            <w:shd w:fill="EAF0F8"/>
          </w:tcPr>
          <w:p>
            <w:pPr>
              <w:spacing w:after="20"/>
            </w:pPr>
            <w:r>
              <w:rPr>
                <w:sz w:val="16"/>
              </w:rPr>
              <w:t>—</w:t>
            </w:r>
          </w:p>
        </w:tc>
        <w:tc>
          <w:tcPr>
            <w:tcW w:type="dxa" w:w="1440"/>
            <w:vAlign w:val="center"/>
            <w:shd w:fill="EAF0F8"/>
          </w:tcPr>
          <w:p>
            <w:pPr>
              <w:spacing w:after="20"/>
            </w:pPr>
            <w:r>
              <w:rPr>
                <w:sz w:val="16"/>
              </w:rPr>
              <w:t>—</w:t>
            </w:r>
          </w:p>
        </w:tc>
        <w:tc>
          <w:tcPr>
            <w:tcW w:type="dxa" w:w="1440"/>
            <w:vAlign w:val="center"/>
            <w:shd w:fill="EAF0F8"/>
          </w:tcPr>
          <w:p>
            <w:pPr>
              <w:spacing w:after="20"/>
            </w:pPr>
            <w:r>
              <w:rPr>
                <w:sz w:val="16"/>
              </w:rPr>
              <w:t>—</w:t>
            </w:r>
          </w:p>
        </w:tc>
      </w:tr>
      <w:tr>
        <w:tc>
          <w:tcPr>
            <w:tcW w:type="dxa" w:w="1440"/>
            <w:vAlign w:val="center"/>
          </w:tcPr>
          <w:p>
            <w:pPr>
              <w:spacing w:after="20"/>
            </w:pPr>
            <w:r>
              <w:rPr>
                <w:sz w:val="16"/>
              </w:rPr>
              <w:t>Random Forest</w:t>
            </w:r>
          </w:p>
        </w:tc>
        <w:tc>
          <w:tcPr>
            <w:tcW w:type="dxa" w:w="1440"/>
            <w:vAlign w:val="center"/>
          </w:tcPr>
          <w:p>
            <w:pPr>
              <w:spacing w:after="20"/>
            </w:pPr>
            <w:r>
              <w:rPr>
                <w:sz w:val="16"/>
              </w:rPr>
              <w:t>—</w:t>
            </w:r>
          </w:p>
        </w:tc>
        <w:tc>
          <w:tcPr>
            <w:tcW w:type="dxa" w:w="1440"/>
            <w:vAlign w:val="center"/>
          </w:tcPr>
          <w:p>
            <w:pPr>
              <w:spacing w:after="20"/>
            </w:pPr>
            <w:r>
              <w:rPr>
                <w:sz w:val="16"/>
              </w:rPr>
              <w:t>—</w:t>
            </w:r>
          </w:p>
        </w:tc>
        <w:tc>
          <w:tcPr>
            <w:tcW w:type="dxa" w:w="1440"/>
            <w:vAlign w:val="center"/>
          </w:tcPr>
          <w:p>
            <w:pPr>
              <w:spacing w:after="20"/>
            </w:pPr>
            <w:r>
              <w:rPr>
                <w:sz w:val="16"/>
              </w:rPr>
              <w:t>—</w:t>
            </w:r>
          </w:p>
        </w:tc>
        <w:tc>
          <w:tcPr>
            <w:tcW w:type="dxa" w:w="1440"/>
            <w:vAlign w:val="center"/>
          </w:tcPr>
          <w:p>
            <w:pPr>
              <w:spacing w:after="20"/>
            </w:pPr>
            <w:r>
              <w:rPr>
                <w:sz w:val="16"/>
              </w:rPr>
              <w:t>—</w:t>
            </w:r>
          </w:p>
        </w:tc>
        <w:tc>
          <w:tcPr>
            <w:tcW w:type="dxa" w:w="1440"/>
            <w:vAlign w:val="center"/>
          </w:tcPr>
          <w:p>
            <w:pPr>
              <w:spacing w:after="20"/>
            </w:pPr>
            <w:r>
              <w:rPr>
                <w:sz w:val="16"/>
              </w:rPr>
              <w:t>—</w:t>
            </w:r>
          </w:p>
        </w:tc>
        <w:tc>
          <w:tcPr>
            <w:tcW w:type="dxa" w:w="1440"/>
            <w:vAlign w:val="center"/>
          </w:tcPr>
          <w:p>
            <w:pPr>
              <w:spacing w:after="20"/>
            </w:pPr>
            <w:r>
              <w:rPr>
                <w:sz w:val="16"/>
              </w:rPr>
              <w:t>—</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203864"/>
          </w:tcPr>
          <w:p>
            <w:r>
              <w:rPr>
                <w:b/>
                <w:color w:val="FFFFFF"/>
                <w:sz w:val="16"/>
              </w:rPr>
              <w:t>Regression model (if used)</w:t>
            </w:r>
          </w:p>
        </w:tc>
        <w:tc>
          <w:tcPr>
            <w:tcW w:type="dxa" w:w="2016"/>
            <w:shd w:fill="203864"/>
          </w:tcPr>
          <w:p>
            <w:r>
              <w:rPr>
                <w:b/>
                <w:color w:val="FFFFFF"/>
                <w:sz w:val="16"/>
              </w:rPr>
              <w:t>MAE</w:t>
            </w:r>
          </w:p>
        </w:tc>
        <w:tc>
          <w:tcPr>
            <w:tcW w:type="dxa" w:w="2016"/>
            <w:shd w:fill="203864"/>
          </w:tcPr>
          <w:p>
            <w:r>
              <w:rPr>
                <w:b/>
                <w:color w:val="FFFFFF"/>
                <w:sz w:val="16"/>
              </w:rPr>
              <w:t>RMSE</w:t>
            </w:r>
          </w:p>
        </w:tc>
        <w:tc>
          <w:tcPr>
            <w:tcW w:type="dxa" w:w="2016"/>
            <w:shd w:fill="203864"/>
          </w:tcPr>
          <w:p>
            <w:r>
              <w:rPr>
                <w:b/>
                <w:color w:val="FFFFFF"/>
                <w:sz w:val="16"/>
              </w:rPr>
              <w:t>R²</w:t>
            </w:r>
          </w:p>
        </w:tc>
        <w:tc>
          <w:tcPr>
            <w:tcW w:type="dxa" w:w="2016"/>
            <w:shd w:fill="203864"/>
          </w:tcPr>
          <w:p>
            <w:r>
              <w:rPr>
                <w:b/>
                <w:color w:val="FFFFFF"/>
                <w:sz w:val="16"/>
              </w:rPr>
              <w:t>Interpretation</w:t>
            </w:r>
          </w:p>
        </w:tc>
      </w:tr>
      <w:tr>
        <w:tc>
          <w:tcPr>
            <w:tcW w:type="dxa" w:w="2016"/>
            <w:vAlign w:val="center"/>
          </w:tcPr>
          <w:p>
            <w:pPr>
              <w:spacing w:after="20"/>
            </w:pPr>
            <w:r>
              <w:rPr>
                <w:sz w:val="16"/>
              </w:rPr>
              <w:t>Mean baseline</w:t>
            </w:r>
          </w:p>
        </w:tc>
        <w:tc>
          <w:tcPr>
            <w:tcW w:type="dxa" w:w="2016"/>
            <w:vAlign w:val="center"/>
          </w:tcPr>
          <w:p>
            <w:pPr>
              <w:spacing w:after="20"/>
            </w:pPr>
            <w:r>
              <w:rPr>
                <w:sz w:val="16"/>
              </w:rPr>
              <w:t>—</w:t>
            </w:r>
          </w:p>
        </w:tc>
        <w:tc>
          <w:tcPr>
            <w:tcW w:type="dxa" w:w="2016"/>
            <w:vAlign w:val="center"/>
          </w:tcPr>
          <w:p>
            <w:pPr>
              <w:spacing w:after="20"/>
            </w:pPr>
            <w:r>
              <w:rPr>
                <w:sz w:val="16"/>
              </w:rPr>
              <w:t>—</w:t>
            </w:r>
          </w:p>
        </w:tc>
        <w:tc>
          <w:tcPr>
            <w:tcW w:type="dxa" w:w="2016"/>
            <w:vAlign w:val="center"/>
          </w:tcPr>
          <w:p>
            <w:pPr>
              <w:spacing w:after="20"/>
            </w:pPr>
            <w:r>
              <w:rPr>
                <w:sz w:val="16"/>
              </w:rPr>
              <w:t>—</w:t>
            </w:r>
          </w:p>
        </w:tc>
        <w:tc>
          <w:tcPr>
            <w:tcW w:type="dxa" w:w="2016"/>
            <w:vAlign w:val="center"/>
          </w:tcPr>
          <w:p>
            <w:pPr>
              <w:spacing w:after="20"/>
            </w:pPr>
            <w:r>
              <w:rPr>
                <w:sz w:val="16"/>
              </w:rPr>
              <w:t>Reference error</w:t>
            </w:r>
          </w:p>
        </w:tc>
      </w:tr>
      <w:tr>
        <w:tc>
          <w:tcPr>
            <w:tcW w:type="dxa" w:w="2016"/>
            <w:vAlign w:val="center"/>
            <w:shd w:fill="EAF0F8"/>
          </w:tcPr>
          <w:p>
            <w:pPr>
              <w:spacing w:after="20"/>
            </w:pPr>
            <w:r>
              <w:rPr>
                <w:sz w:val="16"/>
              </w:rPr>
              <w:t>Linear / tree-based regressor</w:t>
            </w:r>
          </w:p>
        </w:tc>
        <w:tc>
          <w:tcPr>
            <w:tcW w:type="dxa" w:w="2016"/>
            <w:vAlign w:val="center"/>
            <w:shd w:fill="EAF0F8"/>
          </w:tcPr>
          <w:p>
            <w:pPr>
              <w:spacing w:after="20"/>
            </w:pPr>
            <w:r>
              <w:rPr>
                <w:sz w:val="16"/>
              </w:rPr>
              <w:t>—</w:t>
            </w:r>
          </w:p>
        </w:tc>
        <w:tc>
          <w:tcPr>
            <w:tcW w:type="dxa" w:w="2016"/>
            <w:vAlign w:val="center"/>
            <w:shd w:fill="EAF0F8"/>
          </w:tcPr>
          <w:p>
            <w:pPr>
              <w:spacing w:after="20"/>
            </w:pPr>
            <w:r>
              <w:rPr>
                <w:sz w:val="16"/>
              </w:rPr>
              <w:t>—</w:t>
            </w:r>
          </w:p>
        </w:tc>
        <w:tc>
          <w:tcPr>
            <w:tcW w:type="dxa" w:w="2016"/>
            <w:vAlign w:val="center"/>
            <w:shd w:fill="EAF0F8"/>
          </w:tcPr>
          <w:p>
            <w:pPr>
              <w:spacing w:after="20"/>
            </w:pPr>
            <w:r>
              <w:rPr>
                <w:sz w:val="16"/>
              </w:rPr>
              <w:t>—</w:t>
            </w:r>
          </w:p>
        </w:tc>
        <w:tc>
          <w:tcPr>
            <w:tcW w:type="dxa" w:w="2016"/>
            <w:vAlign w:val="center"/>
            <w:shd w:fill="EAF0F8"/>
          </w:tcPr>
          <w:p>
            <w:pPr>
              <w:spacing w:after="20"/>
            </w:pPr>
            <w:r>
              <w:rPr>
                <w:sz w:val="16"/>
              </w:rPr>
              <w:t>Compare error and business usefulness</w:t>
            </w:r>
          </w:p>
        </w:tc>
      </w:tr>
    </w:tbl>
    <w:p/>
    <w:p>
      <w:pPr>
        <w:pStyle w:val="Heading1"/>
      </w:pPr>
      <w:r>
        <w:t>9. Suggested Visualizations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03864"/>
          </w:tcPr>
          <w:p>
            <w:r>
              <w:rPr>
                <w:b/>
                <w:color w:val="FFFFFF"/>
                <w:sz w:val="16"/>
              </w:rPr>
              <w:t>Visual</w:t>
            </w:r>
          </w:p>
        </w:tc>
        <w:tc>
          <w:tcPr>
            <w:tcW w:type="dxa" w:w="3360"/>
            <w:shd w:fill="203864"/>
          </w:tcPr>
          <w:p>
            <w:r>
              <w:rPr>
                <w:b/>
                <w:color w:val="FFFFFF"/>
                <w:sz w:val="16"/>
              </w:rPr>
              <w:t>What to show</w:t>
            </w:r>
          </w:p>
        </w:tc>
        <w:tc>
          <w:tcPr>
            <w:tcW w:type="dxa" w:w="3360"/>
            <w:shd w:fill="203864"/>
          </w:tcPr>
          <w:p>
            <w:r>
              <w:rPr>
                <w:b/>
                <w:color w:val="FFFFFF"/>
                <w:sz w:val="16"/>
              </w:rPr>
              <w:t>Stakeholder interpretation</w:t>
            </w:r>
          </w:p>
        </w:tc>
      </w:tr>
      <w:tr>
        <w:tc>
          <w:tcPr>
            <w:tcW w:type="dxa" w:w="3360"/>
            <w:vAlign w:val="center"/>
          </w:tcPr>
          <w:p>
            <w:pPr>
              <w:spacing w:after="20"/>
            </w:pPr>
            <w:r>
              <w:rPr>
                <w:sz w:val="16"/>
              </w:rPr>
              <w:t>Metric comparison chart</w:t>
            </w:r>
          </w:p>
        </w:tc>
        <w:tc>
          <w:tcPr>
            <w:tcW w:type="dxa" w:w="3360"/>
            <w:vAlign w:val="center"/>
          </w:tcPr>
          <w:p>
            <w:pPr>
              <w:spacing w:after="20"/>
            </w:pPr>
            <w:r>
              <w:rPr>
                <w:sz w:val="16"/>
              </w:rPr>
              <w:t>F1, ROC-AUC and PR-AUC for each classifier</w:t>
            </w:r>
          </w:p>
        </w:tc>
        <w:tc>
          <w:tcPr>
            <w:tcW w:type="dxa" w:w="3360"/>
            <w:vAlign w:val="center"/>
          </w:tcPr>
          <w:p>
            <w:pPr>
              <w:spacing w:after="20"/>
            </w:pPr>
            <w:r>
              <w:rPr>
                <w:sz w:val="16"/>
              </w:rPr>
              <w:t>Compare models on the same test set.</w:t>
            </w:r>
          </w:p>
        </w:tc>
      </w:tr>
      <w:tr>
        <w:tc>
          <w:tcPr>
            <w:tcW w:type="dxa" w:w="3360"/>
            <w:vAlign w:val="center"/>
            <w:shd w:fill="EAF0F8"/>
          </w:tcPr>
          <w:p>
            <w:pPr>
              <w:spacing w:after="20"/>
            </w:pPr>
            <w:r>
              <w:rPr>
                <w:sz w:val="16"/>
              </w:rPr>
              <w:t>Confusion matrix heatmap</w:t>
            </w:r>
          </w:p>
        </w:tc>
        <w:tc>
          <w:tcPr>
            <w:tcW w:type="dxa" w:w="3360"/>
            <w:vAlign w:val="center"/>
            <w:shd w:fill="EAF0F8"/>
          </w:tcPr>
          <w:p>
            <w:pPr>
              <w:spacing w:after="20"/>
            </w:pPr>
            <w:r>
              <w:rPr>
                <w:sz w:val="16"/>
              </w:rPr>
              <w:t>Actual vs predicted classes</w:t>
            </w:r>
          </w:p>
        </w:tc>
        <w:tc>
          <w:tcPr>
            <w:tcW w:type="dxa" w:w="3360"/>
            <w:vAlign w:val="center"/>
            <w:shd w:fill="EAF0F8"/>
          </w:tcPr>
          <w:p>
            <w:pPr>
              <w:spacing w:after="20"/>
            </w:pPr>
            <w:r>
              <w:rPr>
                <w:sz w:val="16"/>
              </w:rPr>
              <w:t>See correct identifications, missed buyers and unnecessary targeting.</w:t>
            </w:r>
          </w:p>
        </w:tc>
      </w:tr>
      <w:tr>
        <w:tc>
          <w:tcPr>
            <w:tcW w:type="dxa" w:w="3360"/>
            <w:vAlign w:val="center"/>
          </w:tcPr>
          <w:p>
            <w:pPr>
              <w:spacing w:after="20"/>
            </w:pPr>
            <w:r>
              <w:rPr>
                <w:sz w:val="16"/>
              </w:rPr>
              <w:t>ROC curve</w:t>
            </w:r>
          </w:p>
        </w:tc>
        <w:tc>
          <w:tcPr>
            <w:tcW w:type="dxa" w:w="3360"/>
            <w:vAlign w:val="center"/>
          </w:tcPr>
          <w:p>
            <w:pPr>
              <w:spacing w:after="20"/>
            </w:pPr>
            <w:r>
              <w:rPr>
                <w:sz w:val="16"/>
              </w:rPr>
              <w:t>True-positive rate vs false-positive rate</w:t>
            </w:r>
          </w:p>
        </w:tc>
        <w:tc>
          <w:tcPr>
            <w:tcW w:type="dxa" w:w="3360"/>
            <w:vAlign w:val="center"/>
          </w:tcPr>
          <w:p>
            <w:pPr>
              <w:spacing w:after="20"/>
            </w:pPr>
            <w:r>
              <w:rPr>
                <w:sz w:val="16"/>
              </w:rPr>
              <w:t>Understand ranking trade-offs across thresholds.</w:t>
            </w:r>
          </w:p>
        </w:tc>
      </w:tr>
      <w:tr>
        <w:tc>
          <w:tcPr>
            <w:tcW w:type="dxa" w:w="3360"/>
            <w:vAlign w:val="center"/>
            <w:shd w:fill="EAF0F8"/>
          </w:tcPr>
          <w:p>
            <w:pPr>
              <w:spacing w:after="20"/>
            </w:pPr>
            <w:r>
              <w:rPr>
                <w:sz w:val="16"/>
              </w:rPr>
              <w:t>Precision-recall curve</w:t>
            </w:r>
          </w:p>
        </w:tc>
        <w:tc>
          <w:tcPr>
            <w:tcW w:type="dxa" w:w="3360"/>
            <w:vAlign w:val="center"/>
            <w:shd w:fill="EAF0F8"/>
          </w:tcPr>
          <w:p>
            <w:pPr>
              <w:spacing w:after="20"/>
            </w:pPr>
            <w:r>
              <w:rPr>
                <w:sz w:val="16"/>
              </w:rPr>
              <w:t>Precision against recall</w:t>
            </w:r>
          </w:p>
        </w:tc>
        <w:tc>
          <w:tcPr>
            <w:tcW w:type="dxa" w:w="3360"/>
            <w:vAlign w:val="center"/>
            <w:shd w:fill="EAF0F8"/>
          </w:tcPr>
          <w:p>
            <w:pPr>
              <w:spacing w:after="20"/>
            </w:pPr>
            <w:r>
              <w:rPr>
                <w:sz w:val="16"/>
              </w:rPr>
              <w:t>Choose between campaign efficiency and customer coverage.</w:t>
            </w:r>
          </w:p>
        </w:tc>
      </w:tr>
      <w:tr>
        <w:tc>
          <w:tcPr>
            <w:tcW w:type="dxa" w:w="3360"/>
            <w:vAlign w:val="center"/>
          </w:tcPr>
          <w:p>
            <w:pPr>
              <w:spacing w:after="20"/>
            </w:pPr>
            <w:r>
              <w:rPr>
                <w:sz w:val="16"/>
              </w:rPr>
              <w:t>Calibration plot</w:t>
            </w:r>
          </w:p>
        </w:tc>
        <w:tc>
          <w:tcPr>
            <w:tcW w:type="dxa" w:w="3360"/>
            <w:vAlign w:val="center"/>
          </w:tcPr>
          <w:p>
            <w:pPr>
              <w:spacing w:after="20"/>
            </w:pPr>
            <w:r>
              <w:rPr>
                <w:sz w:val="16"/>
              </w:rPr>
              <w:t>Predicted probability bands vs observed rate</w:t>
            </w:r>
          </w:p>
        </w:tc>
        <w:tc>
          <w:tcPr>
            <w:tcW w:type="dxa" w:w="3360"/>
            <w:vAlign w:val="center"/>
          </w:tcPr>
          <w:p>
            <w:pPr>
              <w:spacing w:after="20"/>
            </w:pPr>
            <w:r>
              <w:rPr>
                <w:sz w:val="16"/>
              </w:rPr>
              <w:t>Check whether stated probabilities are trustworthy.</w:t>
            </w:r>
          </w:p>
        </w:tc>
      </w:tr>
      <w:tr>
        <w:tc>
          <w:tcPr>
            <w:tcW w:type="dxa" w:w="3360"/>
            <w:vAlign w:val="center"/>
            <w:shd w:fill="EAF0F8"/>
          </w:tcPr>
          <w:p>
            <w:pPr>
              <w:spacing w:after="20"/>
            </w:pPr>
            <w:r>
              <w:rPr>
                <w:sz w:val="16"/>
              </w:rPr>
              <w:t>Feature importance chart</w:t>
            </w:r>
          </w:p>
        </w:tc>
        <w:tc>
          <w:tcPr>
            <w:tcW w:type="dxa" w:w="3360"/>
            <w:vAlign w:val="center"/>
            <w:shd w:fill="EAF0F8"/>
          </w:tcPr>
          <w:p>
            <w:pPr>
              <w:spacing w:after="20"/>
            </w:pPr>
            <w:r>
              <w:rPr>
                <w:sz w:val="16"/>
              </w:rPr>
              <w:t>Top predictive features</w:t>
            </w:r>
          </w:p>
        </w:tc>
        <w:tc>
          <w:tcPr>
            <w:tcW w:type="dxa" w:w="3360"/>
            <w:vAlign w:val="center"/>
            <w:shd w:fill="EAF0F8"/>
          </w:tcPr>
          <w:p>
            <w:pPr>
              <w:spacing w:after="20"/>
            </w:pPr>
            <w:r>
              <w:rPr>
                <w:sz w:val="16"/>
              </w:rPr>
              <w:t>Understand model patterns, without assuming causation.</w:t>
            </w:r>
          </w:p>
        </w:tc>
      </w:tr>
      <w:tr>
        <w:tc>
          <w:tcPr>
            <w:tcW w:type="dxa" w:w="3360"/>
            <w:vAlign w:val="center"/>
          </w:tcPr>
          <w:p>
            <w:pPr>
              <w:spacing w:after="20"/>
            </w:pPr>
            <w:r>
              <w:rPr>
                <w:sz w:val="16"/>
              </w:rPr>
              <w:t>Lift / gains chart</w:t>
            </w:r>
          </w:p>
        </w:tc>
        <w:tc>
          <w:tcPr>
            <w:tcW w:type="dxa" w:w="3360"/>
            <w:vAlign w:val="center"/>
          </w:tcPr>
          <w:p>
            <w:pPr>
              <w:spacing w:after="20"/>
            </w:pPr>
            <w:r>
              <w:rPr>
                <w:sz w:val="16"/>
              </w:rPr>
              <w:t>Purchase rate among top-ranked customers vs overall rate</w:t>
            </w:r>
          </w:p>
        </w:tc>
        <w:tc>
          <w:tcPr>
            <w:tcW w:type="dxa" w:w="3360"/>
            <w:vAlign w:val="center"/>
          </w:tcPr>
          <w:p>
            <w:pPr>
              <w:spacing w:after="20"/>
            </w:pPr>
            <w:r>
              <w:rPr>
                <w:sz w:val="16"/>
              </w:rPr>
              <w:t>Check whether prioritization beats untargeted outreach.</w:t>
            </w:r>
          </w:p>
        </w:tc>
      </w:tr>
    </w:tbl>
    <w:p/>
    <w:p>
      <w:pPr>
        <w:pStyle w:val="Heading1"/>
      </w:pPr>
      <w:r>
        <w:t>10. Business Impact</w:t>
      </w:r>
    </w:p>
    <w:p>
      <w:r>
        <w:t>Model quality matters when it improves a decision. Repeat-purchase scores can help prioritize replenishment reminders, loyalty messages, product recommendations or customer follow-up. A high score should not automatically trigger a discount: some customers would purchase anyway, so incentives may reduce margin without creating incremental sales.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03864"/>
          </w:tcPr>
          <w:p>
            <w:r>
              <w:rPr>
                <w:b/>
                <w:color w:val="FFFFFF"/>
                <w:sz w:val="16"/>
              </w:rPr>
              <w:t>Business area</w:t>
            </w:r>
          </w:p>
        </w:tc>
        <w:tc>
          <w:tcPr>
            <w:tcW w:type="dxa" w:w="3360"/>
            <w:shd w:fill="203864"/>
          </w:tcPr>
          <w:p>
            <w:r>
              <w:rPr>
                <w:b/>
                <w:color w:val="FFFFFF"/>
                <w:sz w:val="16"/>
              </w:rPr>
              <w:t>Potential action</w:t>
            </w:r>
          </w:p>
        </w:tc>
        <w:tc>
          <w:tcPr>
            <w:tcW w:type="dxa" w:w="3360"/>
            <w:shd w:fill="203864"/>
          </w:tcPr>
          <w:p>
            <w:r>
              <w:rPr>
                <w:b/>
                <w:color w:val="FFFFFF"/>
                <w:sz w:val="16"/>
              </w:rPr>
              <w:t>Measure of impact</w:t>
            </w:r>
          </w:p>
        </w:tc>
      </w:tr>
      <w:tr>
        <w:tc>
          <w:tcPr>
            <w:tcW w:type="dxa" w:w="3360"/>
            <w:vAlign w:val="center"/>
          </w:tcPr>
          <w:p>
            <w:pPr>
              <w:spacing w:after="20"/>
            </w:pPr>
            <w:r>
              <w:rPr>
                <w:sz w:val="16"/>
              </w:rPr>
              <w:t>CRM and retention</w:t>
            </w:r>
          </w:p>
        </w:tc>
        <w:tc>
          <w:tcPr>
            <w:tcW w:type="dxa" w:w="3360"/>
            <w:vAlign w:val="center"/>
          </w:tcPr>
          <w:p>
            <w:pPr>
              <w:spacing w:after="20"/>
            </w:pPr>
            <w:r>
              <w:rPr>
                <w:sz w:val="16"/>
              </w:rPr>
              <w:t>Prioritize relevant messages around likely purchase windows.</w:t>
            </w:r>
          </w:p>
        </w:tc>
        <w:tc>
          <w:tcPr>
            <w:tcW w:type="dxa" w:w="3360"/>
            <w:vAlign w:val="center"/>
          </w:tcPr>
          <w:p>
            <w:pPr>
              <w:spacing w:after="20"/>
            </w:pPr>
            <w:r>
              <w:rPr>
                <w:sz w:val="16"/>
              </w:rPr>
              <w:t>Incremental repeat rate, retention, unsubscribe rate.</w:t>
            </w:r>
          </w:p>
        </w:tc>
      </w:tr>
      <w:tr>
        <w:tc>
          <w:tcPr>
            <w:tcW w:type="dxa" w:w="3360"/>
            <w:vAlign w:val="center"/>
            <w:shd w:fill="EAF0F8"/>
          </w:tcPr>
          <w:p>
            <w:pPr>
              <w:spacing w:after="20"/>
            </w:pPr>
            <w:r>
              <w:rPr>
                <w:sz w:val="16"/>
              </w:rPr>
              <w:t>Marketing budget</w:t>
            </w:r>
          </w:p>
        </w:tc>
        <w:tc>
          <w:tcPr>
            <w:tcW w:type="dxa" w:w="3360"/>
            <w:vAlign w:val="center"/>
            <w:shd w:fill="EAF0F8"/>
          </w:tcPr>
          <w:p>
            <w:pPr>
              <w:spacing w:after="20"/>
            </w:pPr>
            <w:r>
              <w:rPr>
                <w:sz w:val="16"/>
              </w:rPr>
              <w:t>Compare targeted and broad campaigns; set a threshold that fits capacity.</w:t>
            </w:r>
          </w:p>
        </w:tc>
        <w:tc>
          <w:tcPr>
            <w:tcW w:type="dxa" w:w="3360"/>
            <w:vAlign w:val="center"/>
            <w:shd w:fill="EAF0F8"/>
          </w:tcPr>
          <w:p>
            <w:pPr>
              <w:spacing w:after="20"/>
            </w:pPr>
            <w:r>
              <w:rPr>
                <w:sz w:val="16"/>
              </w:rPr>
              <w:t>Cost per incremental purchase, conversion lift, marketing return.</w:t>
            </w:r>
          </w:p>
        </w:tc>
      </w:tr>
      <w:tr>
        <w:tc>
          <w:tcPr>
            <w:tcW w:type="dxa" w:w="3360"/>
            <w:vAlign w:val="center"/>
          </w:tcPr>
          <w:p>
            <w:pPr>
              <w:spacing w:after="20"/>
            </w:pPr>
            <w:r>
              <w:rPr>
                <w:sz w:val="16"/>
              </w:rPr>
              <w:t>Recommendations</w:t>
            </w:r>
          </w:p>
        </w:tc>
        <w:tc>
          <w:tcPr>
            <w:tcW w:type="dxa" w:w="3360"/>
            <w:vAlign w:val="center"/>
          </w:tcPr>
          <w:p>
            <w:pPr>
              <w:spacing w:after="20"/>
            </w:pPr>
            <w:r>
              <w:rPr>
                <w:sz w:val="16"/>
              </w:rPr>
              <w:t>Tailor suggestions to category preferences and purchase history.</w:t>
            </w:r>
          </w:p>
        </w:tc>
        <w:tc>
          <w:tcPr>
            <w:tcW w:type="dxa" w:w="3360"/>
            <w:vAlign w:val="center"/>
          </w:tcPr>
          <w:p>
            <w:pPr>
              <w:spacing w:after="20"/>
            </w:pPr>
            <w:r>
              <w:rPr>
                <w:sz w:val="16"/>
              </w:rPr>
              <w:t>Click-through, conversion, average order value, returns.</w:t>
            </w:r>
          </w:p>
        </w:tc>
      </w:tr>
      <w:tr>
        <w:tc>
          <w:tcPr>
            <w:tcW w:type="dxa" w:w="3360"/>
            <w:vAlign w:val="center"/>
            <w:shd w:fill="EAF0F8"/>
          </w:tcPr>
          <w:p>
            <w:pPr>
              <w:spacing w:after="20"/>
            </w:pPr>
            <w:r>
              <w:rPr>
                <w:sz w:val="16"/>
              </w:rPr>
              <w:t>Inventory</w:t>
            </w:r>
          </w:p>
        </w:tc>
        <w:tc>
          <w:tcPr>
            <w:tcW w:type="dxa" w:w="3360"/>
            <w:vAlign w:val="center"/>
            <w:shd w:fill="EAF0F8"/>
          </w:tcPr>
          <w:p>
            <w:pPr>
              <w:spacing w:after="20"/>
            </w:pPr>
            <w:r>
              <w:rPr>
                <w:sz w:val="16"/>
              </w:rPr>
              <w:t>Combine aggregated demand signals with operational forecasts.</w:t>
            </w:r>
          </w:p>
        </w:tc>
        <w:tc>
          <w:tcPr>
            <w:tcW w:type="dxa" w:w="3360"/>
            <w:vAlign w:val="center"/>
            <w:shd w:fill="EAF0F8"/>
          </w:tcPr>
          <w:p>
            <w:pPr>
              <w:spacing w:after="20"/>
            </w:pPr>
            <w:r>
              <w:rPr>
                <w:sz w:val="16"/>
              </w:rPr>
              <w:t>Stockouts, excess inventory, forecast error.</w:t>
            </w:r>
          </w:p>
        </w:tc>
      </w:tr>
      <w:tr>
        <w:tc>
          <w:tcPr>
            <w:tcW w:type="dxa" w:w="3360"/>
            <w:vAlign w:val="center"/>
          </w:tcPr>
          <w:p>
            <w:pPr>
              <w:spacing w:after="20"/>
            </w:pPr>
            <w:r>
              <w:rPr>
                <w:sz w:val="16"/>
              </w:rPr>
              <w:t>Brand strategy</w:t>
            </w:r>
          </w:p>
        </w:tc>
        <w:tc>
          <w:tcPr>
            <w:tcW w:type="dxa" w:w="3360"/>
            <w:vAlign w:val="center"/>
          </w:tcPr>
          <w:p>
            <w:pPr>
              <w:spacing w:after="20"/>
            </w:pPr>
            <w:r>
              <w:rPr>
                <w:sz w:val="16"/>
              </w:rPr>
              <w:t>Compare category and cohort patterns.</w:t>
            </w:r>
          </w:p>
        </w:tc>
        <w:tc>
          <w:tcPr>
            <w:tcW w:type="dxa" w:w="3360"/>
            <w:vAlign w:val="center"/>
          </w:tcPr>
          <w:p>
            <w:pPr>
              <w:spacing w:after="20"/>
            </w:pPr>
            <w:r>
              <w:rPr>
                <w:sz w:val="16"/>
              </w:rPr>
              <w:t>Repeat rate, margin and customer-value estimates.</w:t>
            </w:r>
          </w:p>
        </w:tc>
      </w:tr>
      <w:tr>
        <w:tc>
          <w:tcPr>
            <w:tcW w:type="dxa" w:w="3360"/>
            <w:vAlign w:val="center"/>
            <w:shd w:fill="EAF0F8"/>
          </w:tcPr>
          <w:p>
            <w:pPr>
              <w:spacing w:after="20"/>
            </w:pPr>
            <w:r>
              <w:rPr>
                <w:sz w:val="16"/>
              </w:rPr>
              <w:t>Customer experience</w:t>
            </w:r>
          </w:p>
        </w:tc>
        <w:tc>
          <w:tcPr>
            <w:tcW w:type="dxa" w:w="3360"/>
            <w:vAlign w:val="center"/>
            <w:shd w:fill="EAF0F8"/>
          </w:tcPr>
          <w:p>
            <w:pPr>
              <w:spacing w:after="20"/>
            </w:pPr>
            <w:r>
              <w:rPr>
                <w:sz w:val="16"/>
              </w:rPr>
              <w:t>Use sensible timing and contact-frequency limits.</w:t>
            </w:r>
          </w:p>
        </w:tc>
        <w:tc>
          <w:tcPr>
            <w:tcW w:type="dxa" w:w="3360"/>
            <w:vAlign w:val="center"/>
            <w:shd w:fill="EAF0F8"/>
          </w:tcPr>
          <w:p>
            <w:pPr>
              <w:spacing w:after="20"/>
            </w:pPr>
            <w:r>
              <w:rPr>
                <w:sz w:val="16"/>
              </w:rPr>
              <w:t>Engagement, complaints, opt-outs and satisfaction.</w:t>
            </w:r>
          </w:p>
        </w:tc>
      </w:tr>
    </w:tbl>
    <w:p/>
    <w:p>
      <w:r>
        <w:t>To determine whether a campaign caused additional purchases, use a randomized holdout or A/B test when feasible. Compare treatment and control outcomes and calculate incremental profit after discounts, advertising, messaging and fulfillment costs. Prediction likelihood is not the same as incremental response.</w:t>
      </w:r>
    </w:p>
    <w:p>
      <w:pPr>
        <w:pStyle w:val="Heading1"/>
      </w:pPr>
      <w:r>
        <w:t>11. Reliability, Risk and Fairness Controls</w:t>
      </w:r>
    </w:p>
    <w:p>
      <w:pPr>
        <w:pStyle w:val="ListBullet"/>
      </w:pPr>
      <w:r>
        <w:t>Prevent target leakage by excluding information created after the prediction date.</w:t>
      </w:r>
    </w:p>
    <w:p>
      <w:pPr>
        <w:pStyle w:val="ListBullet"/>
      </w:pPr>
      <w:r>
        <w:t>Reduce overfitting through validation, a baseline comparison and an untouched test set.</w:t>
      </w:r>
    </w:p>
    <w:p>
      <w:pPr>
        <w:pStyle w:val="ListBullet"/>
      </w:pPr>
      <w:r>
        <w:t>If classes are imbalanced, emphasize precision-recall metrics; apply weighting or resampling only within training data.</w:t>
      </w:r>
    </w:p>
    <w:p>
      <w:pPr>
        <w:pStyle w:val="ListBullet"/>
      </w:pPr>
      <w:r>
        <w:t>Review error rates across relevant customer groups and categories when lawful and sample sizes permit.</w:t>
      </w:r>
    </w:p>
    <w:p>
      <w:pPr>
        <w:pStyle w:val="ListBullet"/>
      </w:pPr>
      <w:r>
        <w:t>Protect customer information through access control, data minimization and appropriate retention.</w:t>
      </w:r>
    </w:p>
    <w:p>
      <w:pPr>
        <w:pStyle w:val="ListBullet"/>
      </w:pPr>
      <w:r>
        <w:t>Keep human oversight and avoid inappropriate targeting or exclusion based on sensitive attributes.</w:t>
      </w:r>
    </w:p>
    <w:p>
      <w:pPr>
        <w:pStyle w:val="ListBullet"/>
      </w:pPr>
      <w:r>
        <w:t>Monitor drift because customer behavior, prices, products and campaigns change over time.</w:t>
      </w:r>
    </w:p>
    <w:p>
      <w:pPr>
        <w:pStyle w:val="Heading1"/>
      </w:pPr>
      <w:r>
        <w:t>12. Recommendations and Decision Rules</w:t>
      </w:r>
    </w:p>
    <w:p>
      <w:pPr>
        <w:pStyle w:val="ListNumber"/>
      </w:pPr>
      <w:r>
        <w:t>Confirm the business target and prediction horizon with stakeholders.</w:t>
      </w:r>
    </w:p>
    <w:p>
      <w:pPr>
        <w:pStyle w:val="ListNumber"/>
      </w:pPr>
      <w:r>
        <w:t>Run Logistic Regression and Random Forest using the same time-aware evaluation.</w:t>
      </w:r>
    </w:p>
    <w:p>
      <w:pPr>
        <w:pStyle w:val="ListNumber"/>
      </w:pPr>
      <w:r>
        <w:t>Select a threshold using campaign capacity, margin, contact cost and missed-opportunity cost.</w:t>
      </w:r>
    </w:p>
    <w:p>
      <w:pPr>
        <w:pStyle w:val="ListNumber"/>
      </w:pPr>
      <w:r>
        <w:t>Conduct a limited controlled pilot with a holdout group and predefined success criteria.</w:t>
      </w:r>
    </w:p>
    <w:p>
      <w:pPr>
        <w:pStyle w:val="ListNumber"/>
      </w:pPr>
      <w:r>
        <w:t>Scale only if the pilot demonstrates incremental value and acceptable customer-experience outcomes.</w:t>
      </w:r>
    </w:p>
    <w:p>
      <w:pPr>
        <w:pStyle w:val="ListNumber"/>
      </w:pPr>
      <w:r>
        <w:t>Create a monitoring dashboard and review predictive quality and business outcomes regularly.</w:t>
      </w:r>
    </w:p>
    <w:p>
      <w:pPr>
        <w:pStyle w:val="Heading1"/>
      </w:pPr>
      <w:r>
        <w:t>13. Conclusion</w:t>
      </w:r>
    </w:p>
    <w:p>
      <w:r>
        <w:t>This framework connects predictive performance with practical decisions in beauty and wellness. Logistic Regression provides an interpretable baseline, while Random Forest offers a flexible comparison. Precision, recall, F1-score, ROC-AUC, PR-AUC, confusion matrices and calibration describe different aspects of classification quality; MAE and RMSE support a separate spending-prediction task. Time-aware validation, leakage prevention, robustness checks and monitoring are essential for reliable results.</w:t>
      </w:r>
    </w:p>
    <w:p>
      <w:r>
        <w:t>The recommended approach is to use model scores to prioritize and test customer engagement—not to assume predictions automatically cause purchases. A controlled pilot, incremental outcome measurement and margin-aware campaign design can establish whether predictive targeting creates value for the business and its customers. Update this report with measured test results and actual charts once the model has been run.</w:t>
      </w:r>
    </w:p>
    <w:p>
      <w:pPr>
        <w:pStyle w:val="Heading1"/>
      </w:pPr>
      <w:r>
        <w:t>14. Suggested Work Plan (30–35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03864"/>
          </w:tcPr>
          <w:p>
            <w:r>
              <w:rPr>
                <w:b/>
                <w:color w:val="FFFFFF"/>
                <w:sz w:val="16"/>
              </w:rPr>
              <w:t>Activity</w:t>
            </w:r>
          </w:p>
        </w:tc>
        <w:tc>
          <w:tcPr>
            <w:tcW w:type="dxa" w:w="3360"/>
            <w:shd w:fill="203864"/>
          </w:tcPr>
          <w:p>
            <w:r>
              <w:rPr>
                <w:b/>
                <w:color w:val="FFFFFF"/>
                <w:sz w:val="16"/>
              </w:rPr>
              <w:t>Hours</w:t>
            </w:r>
          </w:p>
        </w:tc>
        <w:tc>
          <w:tcPr>
            <w:tcW w:type="dxa" w:w="3360"/>
            <w:shd w:fill="203864"/>
          </w:tcPr>
          <w:p>
            <w:r>
              <w:rPr>
                <w:b/>
                <w:color w:val="FFFFFF"/>
                <w:sz w:val="16"/>
              </w:rPr>
              <w:t>Output</w:t>
            </w:r>
          </w:p>
        </w:tc>
      </w:tr>
      <w:tr>
        <w:tc>
          <w:tcPr>
            <w:tcW w:type="dxa" w:w="3360"/>
            <w:vAlign w:val="center"/>
          </w:tcPr>
          <w:p>
            <w:pPr>
              <w:spacing w:after="20"/>
            </w:pPr>
            <w:r>
              <w:rPr>
                <w:sz w:val="16"/>
              </w:rPr>
              <w:t>Confirm target and business costs</w:t>
            </w:r>
          </w:p>
        </w:tc>
        <w:tc>
          <w:tcPr>
            <w:tcW w:type="dxa" w:w="3360"/>
            <w:vAlign w:val="center"/>
          </w:tcPr>
          <w:p>
            <w:pPr>
              <w:spacing w:after="20"/>
            </w:pPr>
            <w:r>
              <w:rPr>
                <w:sz w:val="16"/>
              </w:rPr>
              <w:t>3</w:t>
            </w:r>
          </w:p>
        </w:tc>
        <w:tc>
          <w:tcPr>
            <w:tcW w:type="dxa" w:w="3360"/>
            <w:vAlign w:val="center"/>
          </w:tcPr>
          <w:p>
            <w:pPr>
              <w:spacing w:after="20"/>
            </w:pPr>
            <w:r>
              <w:rPr>
                <w:sz w:val="16"/>
              </w:rPr>
              <w:t>Evaluation plan</w:t>
            </w:r>
          </w:p>
        </w:tc>
      </w:tr>
      <w:tr>
        <w:tc>
          <w:tcPr>
            <w:tcW w:type="dxa" w:w="3360"/>
            <w:vAlign w:val="center"/>
            <w:shd w:fill="EAF0F8"/>
          </w:tcPr>
          <w:p>
            <w:pPr>
              <w:spacing w:after="20"/>
            </w:pPr>
            <w:r>
              <w:rPr>
                <w:sz w:val="16"/>
              </w:rPr>
              <w:t>Audit data and preprocessing</w:t>
            </w:r>
          </w:p>
        </w:tc>
        <w:tc>
          <w:tcPr>
            <w:tcW w:type="dxa" w:w="3360"/>
            <w:vAlign w:val="center"/>
            <w:shd w:fill="EAF0F8"/>
          </w:tcPr>
          <w:p>
            <w:pPr>
              <w:spacing w:after="20"/>
            </w:pPr>
            <w:r>
              <w:rPr>
                <w:sz w:val="16"/>
              </w:rPr>
              <w:t>5</w:t>
            </w:r>
          </w:p>
        </w:tc>
        <w:tc>
          <w:tcPr>
            <w:tcW w:type="dxa" w:w="3360"/>
            <w:vAlign w:val="center"/>
            <w:shd w:fill="EAF0F8"/>
          </w:tcPr>
          <w:p>
            <w:pPr>
              <w:spacing w:after="20"/>
            </w:pPr>
            <w:r>
              <w:rPr>
                <w:sz w:val="16"/>
              </w:rPr>
              <w:t>Quality and leakage checks</w:t>
            </w:r>
          </w:p>
        </w:tc>
      </w:tr>
      <w:tr>
        <w:tc>
          <w:tcPr>
            <w:tcW w:type="dxa" w:w="3360"/>
            <w:vAlign w:val="center"/>
          </w:tcPr>
          <w:p>
            <w:pPr>
              <w:spacing w:after="20"/>
            </w:pPr>
            <w:r>
              <w:rPr>
                <w:sz w:val="16"/>
              </w:rPr>
              <w:t>Train baseline and candidate models</w:t>
            </w:r>
          </w:p>
        </w:tc>
        <w:tc>
          <w:tcPr>
            <w:tcW w:type="dxa" w:w="3360"/>
            <w:vAlign w:val="center"/>
          </w:tcPr>
          <w:p>
            <w:pPr>
              <w:spacing w:after="20"/>
            </w:pPr>
            <w:r>
              <w:rPr>
                <w:sz w:val="16"/>
              </w:rPr>
              <w:t>6</w:t>
            </w:r>
          </w:p>
        </w:tc>
        <w:tc>
          <w:tcPr>
            <w:tcW w:type="dxa" w:w="3360"/>
            <w:vAlign w:val="center"/>
          </w:tcPr>
          <w:p>
            <w:pPr>
              <w:spacing w:after="20"/>
            </w:pPr>
            <w:r>
              <w:rPr>
                <w:sz w:val="16"/>
              </w:rPr>
              <w:t>Model pipelines</w:t>
            </w:r>
          </w:p>
        </w:tc>
      </w:tr>
      <w:tr>
        <w:tc>
          <w:tcPr>
            <w:tcW w:type="dxa" w:w="3360"/>
            <w:vAlign w:val="center"/>
            <w:shd w:fill="EAF0F8"/>
          </w:tcPr>
          <w:p>
            <w:pPr>
              <w:spacing w:after="20"/>
            </w:pPr>
            <w:r>
              <w:rPr>
                <w:sz w:val="16"/>
              </w:rPr>
              <w:t>Tune models and select threshold</w:t>
            </w:r>
          </w:p>
        </w:tc>
        <w:tc>
          <w:tcPr>
            <w:tcW w:type="dxa" w:w="3360"/>
            <w:vAlign w:val="center"/>
            <w:shd w:fill="EAF0F8"/>
          </w:tcPr>
          <w:p>
            <w:pPr>
              <w:spacing w:after="20"/>
            </w:pPr>
            <w:r>
              <w:rPr>
                <w:sz w:val="16"/>
              </w:rPr>
              <w:t>5</w:t>
            </w:r>
          </w:p>
        </w:tc>
        <w:tc>
          <w:tcPr>
            <w:tcW w:type="dxa" w:w="3360"/>
            <w:vAlign w:val="center"/>
            <w:shd w:fill="EAF0F8"/>
          </w:tcPr>
          <w:p>
            <w:pPr>
              <w:spacing w:after="20"/>
            </w:pPr>
            <w:r>
              <w:rPr>
                <w:sz w:val="16"/>
              </w:rPr>
              <w:t>Validation results</w:t>
            </w:r>
          </w:p>
        </w:tc>
      </w:tr>
      <w:tr>
        <w:tc>
          <w:tcPr>
            <w:tcW w:type="dxa" w:w="3360"/>
            <w:vAlign w:val="center"/>
          </w:tcPr>
          <w:p>
            <w:pPr>
              <w:spacing w:after="20"/>
            </w:pPr>
            <w:r>
              <w:rPr>
                <w:sz w:val="16"/>
              </w:rPr>
              <w:t>Final test and robustness checks</w:t>
            </w:r>
          </w:p>
        </w:tc>
        <w:tc>
          <w:tcPr>
            <w:tcW w:type="dxa" w:w="3360"/>
            <w:vAlign w:val="center"/>
          </w:tcPr>
          <w:p>
            <w:pPr>
              <w:spacing w:after="20"/>
            </w:pPr>
            <w:r>
              <w:rPr>
                <w:sz w:val="16"/>
              </w:rPr>
              <w:t>5</w:t>
            </w:r>
          </w:p>
        </w:tc>
        <w:tc>
          <w:tcPr>
            <w:tcW w:type="dxa" w:w="3360"/>
            <w:vAlign w:val="center"/>
          </w:tcPr>
          <w:p>
            <w:pPr>
              <w:spacing w:after="20"/>
            </w:pPr>
            <w:r>
              <w:rPr>
                <w:sz w:val="16"/>
              </w:rPr>
              <w:t>Completed metric tables</w:t>
            </w:r>
          </w:p>
        </w:tc>
      </w:tr>
      <w:tr>
        <w:tc>
          <w:tcPr>
            <w:tcW w:type="dxa" w:w="3360"/>
            <w:vAlign w:val="center"/>
            <w:shd w:fill="EAF0F8"/>
          </w:tcPr>
          <w:p>
            <w:pPr>
              <w:spacing w:after="20"/>
            </w:pPr>
            <w:r>
              <w:rPr>
                <w:sz w:val="16"/>
              </w:rPr>
              <w:t>Create charts and interpretation</w:t>
            </w:r>
          </w:p>
        </w:tc>
        <w:tc>
          <w:tcPr>
            <w:tcW w:type="dxa" w:w="3360"/>
            <w:vAlign w:val="center"/>
            <w:shd w:fill="EAF0F8"/>
          </w:tcPr>
          <w:p>
            <w:pPr>
              <w:spacing w:after="20"/>
            </w:pPr>
            <w:r>
              <w:rPr>
                <w:sz w:val="16"/>
              </w:rPr>
              <w:t>4</w:t>
            </w:r>
          </w:p>
        </w:tc>
        <w:tc>
          <w:tcPr>
            <w:tcW w:type="dxa" w:w="3360"/>
            <w:vAlign w:val="center"/>
            <w:shd w:fill="EAF0F8"/>
          </w:tcPr>
          <w:p>
            <w:pPr>
              <w:spacing w:after="20"/>
            </w:pPr>
            <w:r>
              <w:rPr>
                <w:sz w:val="16"/>
              </w:rPr>
              <w:t>Visualizations and narrative</w:t>
            </w:r>
          </w:p>
        </w:tc>
      </w:tr>
      <w:tr>
        <w:tc>
          <w:tcPr>
            <w:tcW w:type="dxa" w:w="3360"/>
            <w:vAlign w:val="center"/>
          </w:tcPr>
          <w:p>
            <w:pPr>
              <w:spacing w:after="20"/>
            </w:pPr>
            <w:r>
              <w:rPr>
                <w:sz w:val="16"/>
              </w:rPr>
              <w:t>Write and review report</w:t>
            </w:r>
          </w:p>
        </w:tc>
        <w:tc>
          <w:tcPr>
            <w:tcW w:type="dxa" w:w="3360"/>
            <w:vAlign w:val="center"/>
          </w:tcPr>
          <w:p>
            <w:pPr>
              <w:spacing w:after="20"/>
            </w:pPr>
            <w:r>
              <w:rPr>
                <w:sz w:val="16"/>
              </w:rPr>
              <w:t>4</w:t>
            </w:r>
          </w:p>
        </w:tc>
        <w:tc>
          <w:tcPr>
            <w:tcW w:type="dxa" w:w="3360"/>
            <w:vAlign w:val="center"/>
          </w:tcPr>
          <w:p>
            <w:pPr>
              <w:spacing w:after="20"/>
            </w:pPr>
            <w:r>
              <w:rPr>
                <w:sz w:val="16"/>
              </w:rPr>
              <w:t>Final report</w:t>
            </w:r>
          </w:p>
        </w:tc>
      </w:tr>
      <w:tr>
        <w:tc>
          <w:tcPr>
            <w:tcW w:type="dxa" w:w="3360"/>
            <w:vAlign w:val="center"/>
            <w:shd w:fill="EAF0F8"/>
          </w:tcPr>
          <w:p>
            <w:pPr>
              <w:spacing w:after="20"/>
            </w:pPr>
            <w:r>
              <w:rPr>
                <w:sz w:val="16"/>
              </w:rPr>
              <w:t>Total</w:t>
            </w:r>
          </w:p>
        </w:tc>
        <w:tc>
          <w:tcPr>
            <w:tcW w:type="dxa" w:w="3360"/>
            <w:vAlign w:val="center"/>
            <w:shd w:fill="EAF0F8"/>
          </w:tcPr>
          <w:p>
            <w:pPr>
              <w:spacing w:after="20"/>
            </w:pPr>
            <w:r>
              <w:rPr>
                <w:sz w:val="16"/>
              </w:rPr>
              <w:t>32</w:t>
            </w:r>
          </w:p>
        </w:tc>
        <w:tc>
          <w:tcPr>
            <w:tcW w:type="dxa" w:w="3360"/>
            <w:vAlign w:val="center"/>
            <w:shd w:fill="EAF0F8"/>
          </w:tcPr>
          <w:p>
            <w:pPr>
              <w:spacing w:after="20"/>
            </w:pPr>
            <w:r>
              <w:rPr>
                <w:sz w:val="16"/>
              </w:rPr>
              <w:t>Evaluation package</w:t>
            </w:r>
          </w:p>
        </w:tc>
      </w:tr>
    </w:tbl>
    <w:p/>
    <w:p>
      <w:pPr>
        <w:pStyle w:val="Heading1"/>
      </w:pPr>
      <w:r>
        <w:t>Appendix A. Metric Glossary</w:t>
      </w:r>
    </w:p>
    <w:p>
      <w:r>
        <w:t>True positive (TP): predicted repeat buyer who repeats. False positive (FP): predicted repeat buyer who does not repeat. True negative (TN): predicted non-buyer who does not repeat. False negative (FN): predicted non-buyer who does repeat. Precision = TP/(TP+FP). Recall = TP/(TP+FN). F1 is the harmonic mean of precision and recall. ROC-AUC summarizes ranking across thresholds; PR-AUC focuses on precision and recall. MAE is average absolute error; RMSE gives greater weight to large errors.</w:t>
      </w:r>
    </w:p>
    <w:p>
      <w:pPr>
        <w:pStyle w:val="Heading1"/>
      </w:pPr>
      <w:r>
        <w:t>Appendix B. Submission Checklist</w:t>
      </w:r>
    </w:p>
    <w:p>
      <w:r>
        <w:t>☐ Target and prediction horizon documented</w:t>
      </w:r>
    </w:p>
    <w:p>
      <w:r>
        <w:t>☐ Data split and dates documented</w:t>
      </w:r>
    </w:p>
    <w:p>
      <w:r>
        <w:t>☐ Baseline included</w:t>
      </w:r>
    </w:p>
    <w:p>
      <w:r>
        <w:t>☐ Metrics calculated on the same untouched test set</w:t>
      </w:r>
    </w:p>
    <w:p>
      <w:r>
        <w:t>☐ Threshold and business rationale documented</w:t>
      </w:r>
    </w:p>
    <w:p>
      <w:r>
        <w:t>☐ Charts use actual results and clear labels</w:t>
      </w:r>
    </w:p>
    <w:p>
      <w:r>
        <w:t>☐ Robustness checks reviewed</w:t>
      </w:r>
    </w:p>
    <w:p>
      <w:r>
        <w:t>☐ Pilot success criteria and monitoring plan defined</w:t>
      </w:r>
    </w:p>
    <w:p>
      <w:r>
        <w:t>☐ No illustrative values presented as actual findings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6 | Beauty &amp; Wellness Market Analytics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0386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