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A22CA3" w14:textId="77777777" w:rsidR="006E25DC" w:rsidRDefault="006E25DC">
      <w:pPr>
        <w:spacing w:after="600"/>
      </w:pPr>
    </w:p>
    <w:p w14:paraId="4F9735B7" w14:textId="77777777" w:rsidR="006E25DC" w:rsidRDefault="00000000">
      <w:pPr>
        <w:spacing w:after="100"/>
        <w:jc w:val="center"/>
      </w:pPr>
      <w:r>
        <w:rPr>
          <w:b/>
          <w:bCs/>
          <w:color w:val="666666"/>
          <w:sz w:val="26"/>
          <w:szCs w:val="26"/>
        </w:rPr>
        <w:t>DATA SCIENCE ORIENTATION &amp; PROBLEM DEFINITION</w:t>
      </w:r>
    </w:p>
    <w:p w14:paraId="76F498C6" w14:textId="77777777" w:rsidR="006E25DC" w:rsidRDefault="00000000">
      <w:pPr>
        <w:spacing w:after="400"/>
        <w:jc w:val="center"/>
      </w:pPr>
      <w:r>
        <w:rPr>
          <w:b/>
          <w:bCs/>
          <w:color w:val="666666"/>
          <w:sz w:val="26"/>
          <w:szCs w:val="26"/>
        </w:rPr>
        <w:t>IN BEAUTY &amp; WELLNESS</w:t>
      </w:r>
    </w:p>
    <w:p w14:paraId="2095E855" w14:textId="77777777" w:rsidR="006E25DC" w:rsidRDefault="00000000">
      <w:pPr>
        <w:spacing w:after="200"/>
        <w:jc w:val="center"/>
      </w:pPr>
      <w:r>
        <w:rPr>
          <w:b/>
          <w:bCs/>
          <w:color w:val="1F3864"/>
          <w:sz w:val="34"/>
          <w:szCs w:val="34"/>
        </w:rPr>
        <w:t>Predicting Customer Churn in Beauty &amp; Wellness Subscription Services:</w:t>
      </w:r>
    </w:p>
    <w:p w14:paraId="31FEB6DB" w14:textId="77777777" w:rsidR="006E25DC" w:rsidRDefault="00000000">
      <w:pPr>
        <w:spacing w:after="500"/>
        <w:jc w:val="center"/>
      </w:pPr>
      <w:r>
        <w:rPr>
          <w:b/>
          <w:bCs/>
          <w:color w:val="1F3864"/>
          <w:sz w:val="34"/>
          <w:szCs w:val="34"/>
        </w:rPr>
        <w:t>A Data-Driven Retention Framework</w:t>
      </w:r>
    </w:p>
    <w:p w14:paraId="13B9CF52" w14:textId="77777777" w:rsidR="006E25DC" w:rsidRDefault="006E25DC">
      <w:pPr>
        <w:spacing w:after="800"/>
      </w:pPr>
    </w:p>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5200"/>
      </w:tblGrid>
      <w:tr w:rsidR="006E25DC" w14:paraId="29C49A9D" w14:textId="77777777">
        <w:tblPrEx>
          <w:tblCellMar>
            <w:top w:w="0" w:type="dxa"/>
            <w:bottom w:w="0" w:type="dxa"/>
          </w:tblCellMar>
        </w:tblPrEx>
        <w:tc>
          <w:tcPr>
            <w:tcW w:w="3200" w:type="dxa"/>
            <w:shd w:val="clear" w:color="auto" w:fill="1F3864"/>
          </w:tcPr>
          <w:p w14:paraId="5A533582" w14:textId="77777777" w:rsidR="006E25DC" w:rsidRDefault="00000000">
            <w:r>
              <w:rPr>
                <w:b/>
                <w:bCs/>
                <w:color w:val="FFFFFF"/>
              </w:rPr>
              <w:t>Field</w:t>
            </w:r>
          </w:p>
        </w:tc>
        <w:tc>
          <w:tcPr>
            <w:tcW w:w="5200" w:type="dxa"/>
            <w:shd w:val="clear" w:color="auto" w:fill="1F3864"/>
          </w:tcPr>
          <w:p w14:paraId="4538A952" w14:textId="77777777" w:rsidR="006E25DC" w:rsidRDefault="00000000">
            <w:r>
              <w:rPr>
                <w:b/>
                <w:bCs/>
                <w:color w:val="FFFFFF"/>
              </w:rPr>
              <w:t>Details</w:t>
            </w:r>
          </w:p>
        </w:tc>
      </w:tr>
      <w:tr w:rsidR="006E25DC" w14:paraId="71FFDF7B" w14:textId="77777777">
        <w:tblPrEx>
          <w:tblCellMar>
            <w:top w:w="0" w:type="dxa"/>
            <w:bottom w:w="0" w:type="dxa"/>
          </w:tblCellMar>
        </w:tblPrEx>
        <w:tc>
          <w:tcPr>
            <w:tcW w:w="3200" w:type="dxa"/>
          </w:tcPr>
          <w:p w14:paraId="766C3B1E" w14:textId="77777777" w:rsidR="006E25DC" w:rsidRDefault="00000000">
            <w:r>
              <w:t>Submitted By</w:t>
            </w:r>
          </w:p>
        </w:tc>
        <w:tc>
          <w:tcPr>
            <w:tcW w:w="5200" w:type="dxa"/>
          </w:tcPr>
          <w:p w14:paraId="3124F60B" w14:textId="540F5FFF" w:rsidR="006E25DC" w:rsidRDefault="00000000">
            <w:r>
              <w:t>[</w:t>
            </w:r>
            <w:r w:rsidR="003E63B7">
              <w:t>Naveen Sharma</w:t>
            </w:r>
            <w:r>
              <w:t>]</w:t>
            </w:r>
          </w:p>
        </w:tc>
      </w:tr>
      <w:tr w:rsidR="006E25DC" w14:paraId="1D6CA53F" w14:textId="77777777">
        <w:tblPrEx>
          <w:tblCellMar>
            <w:top w:w="0" w:type="dxa"/>
            <w:bottom w:w="0" w:type="dxa"/>
          </w:tblCellMar>
        </w:tblPrEx>
        <w:tc>
          <w:tcPr>
            <w:tcW w:w="3200" w:type="dxa"/>
            <w:shd w:val="clear" w:color="auto" w:fill="F2F2F2"/>
          </w:tcPr>
          <w:p w14:paraId="002D6993" w14:textId="77777777" w:rsidR="006E25DC" w:rsidRDefault="00000000">
            <w:r>
              <w:t>Enrollment / Roll No.</w:t>
            </w:r>
          </w:p>
        </w:tc>
        <w:tc>
          <w:tcPr>
            <w:tcW w:w="5200" w:type="dxa"/>
            <w:shd w:val="clear" w:color="auto" w:fill="F2F2F2"/>
          </w:tcPr>
          <w:p w14:paraId="6937D17D" w14:textId="29278ED6" w:rsidR="006E25DC" w:rsidRDefault="00000000">
            <w:r>
              <w:t>[</w:t>
            </w:r>
            <w:r w:rsidR="003E63B7">
              <w:t>A9932234000</w:t>
            </w:r>
            <w:r>
              <w:t>]</w:t>
            </w:r>
          </w:p>
        </w:tc>
      </w:tr>
      <w:tr w:rsidR="006E25DC" w14:paraId="42D3808D" w14:textId="77777777">
        <w:tblPrEx>
          <w:tblCellMar>
            <w:top w:w="0" w:type="dxa"/>
            <w:bottom w:w="0" w:type="dxa"/>
          </w:tblCellMar>
        </w:tblPrEx>
        <w:tc>
          <w:tcPr>
            <w:tcW w:w="3200" w:type="dxa"/>
          </w:tcPr>
          <w:p w14:paraId="6C0C14E9" w14:textId="77777777" w:rsidR="006E25DC" w:rsidRDefault="00000000">
            <w:r>
              <w:t>Institution / Organization</w:t>
            </w:r>
          </w:p>
        </w:tc>
        <w:tc>
          <w:tcPr>
            <w:tcW w:w="5200" w:type="dxa"/>
          </w:tcPr>
          <w:p w14:paraId="268B233C" w14:textId="14D4EDF3" w:rsidR="006E25DC" w:rsidRDefault="003E63B7">
            <w:r>
              <w:t>[Amity University noida</w:t>
            </w:r>
            <w:r w:rsidR="00000000">
              <w:t>]</w:t>
            </w:r>
          </w:p>
        </w:tc>
      </w:tr>
      <w:tr w:rsidR="006E25DC" w14:paraId="340C76AA" w14:textId="77777777">
        <w:tblPrEx>
          <w:tblCellMar>
            <w:top w:w="0" w:type="dxa"/>
            <w:bottom w:w="0" w:type="dxa"/>
          </w:tblCellMar>
        </w:tblPrEx>
        <w:tc>
          <w:tcPr>
            <w:tcW w:w="3200" w:type="dxa"/>
            <w:shd w:val="clear" w:color="auto" w:fill="F2F2F2"/>
          </w:tcPr>
          <w:p w14:paraId="46F76D33" w14:textId="77777777" w:rsidR="006E25DC" w:rsidRDefault="00000000">
            <w:r>
              <w:t>Program / Course</w:t>
            </w:r>
          </w:p>
        </w:tc>
        <w:tc>
          <w:tcPr>
            <w:tcW w:w="5200" w:type="dxa"/>
            <w:shd w:val="clear" w:color="auto" w:fill="F2F2F2"/>
          </w:tcPr>
          <w:p w14:paraId="1D251E69" w14:textId="370FE46D" w:rsidR="006E25DC" w:rsidRDefault="00000000">
            <w:r>
              <w:t>[</w:t>
            </w:r>
            <w:r w:rsidR="003E63B7">
              <w:t>Bachelor of computer application (B.C.A)</w:t>
            </w:r>
            <w:r>
              <w:t>]</w:t>
            </w:r>
          </w:p>
        </w:tc>
      </w:tr>
      <w:tr w:rsidR="006E25DC" w14:paraId="31D24920" w14:textId="77777777">
        <w:tblPrEx>
          <w:tblCellMar>
            <w:top w:w="0" w:type="dxa"/>
            <w:bottom w:w="0" w:type="dxa"/>
          </w:tblCellMar>
        </w:tblPrEx>
        <w:tc>
          <w:tcPr>
            <w:tcW w:w="3200" w:type="dxa"/>
          </w:tcPr>
          <w:p w14:paraId="5D312D66" w14:textId="77777777" w:rsidR="006E25DC" w:rsidRDefault="00000000">
            <w:r>
              <w:t>Submission Date</w:t>
            </w:r>
          </w:p>
        </w:tc>
        <w:tc>
          <w:tcPr>
            <w:tcW w:w="5200" w:type="dxa"/>
          </w:tcPr>
          <w:p w14:paraId="42A7937F" w14:textId="4C8538A3" w:rsidR="006E25DC" w:rsidRDefault="003E63B7">
            <w:r>
              <w:t>[09/10/2026</w:t>
            </w:r>
            <w:r w:rsidR="00000000">
              <w:t>]</w:t>
            </w:r>
          </w:p>
        </w:tc>
      </w:tr>
    </w:tbl>
    <w:p w14:paraId="6B4C303B" w14:textId="77777777" w:rsidR="006E25DC" w:rsidRDefault="00000000">
      <w:r>
        <w:br w:type="page"/>
      </w:r>
    </w:p>
    <w:p w14:paraId="64E33EF1" w14:textId="77777777" w:rsidR="006E25DC" w:rsidRDefault="00000000">
      <w:pPr>
        <w:pStyle w:val="Heading1"/>
        <w:spacing w:before="300" w:after="160"/>
      </w:pPr>
      <w:r>
        <w:rPr>
          <w:b/>
          <w:bCs/>
          <w:color w:val="1F3864"/>
          <w:sz w:val="30"/>
          <w:szCs w:val="30"/>
        </w:rPr>
        <w:lastRenderedPageBreak/>
        <w:t>Table of Contents</w:t>
      </w:r>
    </w:p>
    <w:p w14:paraId="7CF298F6" w14:textId="77777777" w:rsidR="006E25DC" w:rsidRDefault="00000000">
      <w:pPr>
        <w:spacing w:after="140"/>
      </w:pPr>
      <w:r>
        <w:rPr>
          <w:sz w:val="23"/>
          <w:szCs w:val="23"/>
        </w:rPr>
        <w:t>1.  Executive Summary</w:t>
      </w:r>
    </w:p>
    <w:p w14:paraId="01E3076A" w14:textId="77777777" w:rsidR="006E25DC" w:rsidRDefault="00000000">
      <w:pPr>
        <w:spacing w:after="140"/>
      </w:pPr>
      <w:r>
        <w:rPr>
          <w:sz w:val="23"/>
          <w:szCs w:val="23"/>
        </w:rPr>
        <w:t>2.  Industry Research: The Beauty &amp; Wellness Landscape</w:t>
      </w:r>
    </w:p>
    <w:p w14:paraId="7DA00C4D" w14:textId="77777777" w:rsidR="006E25DC" w:rsidRDefault="00000000">
      <w:pPr>
        <w:spacing w:after="140"/>
      </w:pPr>
      <w:r>
        <w:rPr>
          <w:sz w:val="23"/>
          <w:szCs w:val="23"/>
        </w:rPr>
        <w:t>3.  Business Problem Definition</w:t>
      </w:r>
    </w:p>
    <w:p w14:paraId="0004D8EB" w14:textId="77777777" w:rsidR="006E25DC" w:rsidRDefault="00000000">
      <w:pPr>
        <w:spacing w:after="140"/>
      </w:pPr>
      <w:r>
        <w:rPr>
          <w:sz w:val="23"/>
          <w:szCs w:val="23"/>
        </w:rPr>
        <w:t>4.  Relevance to the Beauty &amp; Wellness Sector</w:t>
      </w:r>
    </w:p>
    <w:p w14:paraId="55026BFD" w14:textId="77777777" w:rsidR="006E25DC" w:rsidRDefault="00000000">
      <w:pPr>
        <w:spacing w:after="140"/>
      </w:pPr>
      <w:r>
        <w:rPr>
          <w:sz w:val="23"/>
          <w:szCs w:val="23"/>
        </w:rPr>
        <w:t>5.  Research Questions &amp; Hypotheses</w:t>
      </w:r>
    </w:p>
    <w:p w14:paraId="58F5A0BA" w14:textId="77777777" w:rsidR="006E25DC" w:rsidRDefault="00000000">
      <w:pPr>
        <w:spacing w:after="140"/>
      </w:pPr>
      <w:r>
        <w:rPr>
          <w:sz w:val="23"/>
          <w:szCs w:val="23"/>
        </w:rPr>
        <w:t>6.  Data Requirements: Variables &amp; Sources</w:t>
      </w:r>
    </w:p>
    <w:p w14:paraId="6223E2C6" w14:textId="77777777" w:rsidR="006E25DC" w:rsidRDefault="00000000">
      <w:pPr>
        <w:spacing w:after="140"/>
      </w:pPr>
      <w:r>
        <w:rPr>
          <w:sz w:val="23"/>
          <w:szCs w:val="23"/>
        </w:rPr>
        <w:t>7.  Analysis Plan</w:t>
      </w:r>
    </w:p>
    <w:p w14:paraId="15BFB2A7" w14:textId="77777777" w:rsidR="006E25DC" w:rsidRDefault="00000000">
      <w:pPr>
        <w:spacing w:after="140"/>
      </w:pPr>
      <w:r>
        <w:rPr>
          <w:sz w:val="23"/>
          <w:szCs w:val="23"/>
        </w:rPr>
        <w:t>8.  Anticipated Step-by-Step Approach &amp; Timeline</w:t>
      </w:r>
    </w:p>
    <w:p w14:paraId="763579A5" w14:textId="77777777" w:rsidR="006E25DC" w:rsidRDefault="00000000">
      <w:pPr>
        <w:spacing w:after="140"/>
      </w:pPr>
      <w:r>
        <w:rPr>
          <w:sz w:val="23"/>
          <w:szCs w:val="23"/>
        </w:rPr>
        <w:t>9.  Expected Deliverables &amp; Success Metrics</w:t>
      </w:r>
    </w:p>
    <w:p w14:paraId="7C88ABFE" w14:textId="77777777" w:rsidR="006E25DC" w:rsidRDefault="00000000">
      <w:pPr>
        <w:spacing w:after="140"/>
      </w:pPr>
      <w:r>
        <w:rPr>
          <w:sz w:val="23"/>
          <w:szCs w:val="23"/>
        </w:rPr>
        <w:t>10. Limitations &amp; Risks</w:t>
      </w:r>
    </w:p>
    <w:p w14:paraId="223B359F" w14:textId="77777777" w:rsidR="006E25DC" w:rsidRDefault="00000000">
      <w:pPr>
        <w:spacing w:after="140"/>
      </w:pPr>
      <w:r>
        <w:rPr>
          <w:sz w:val="23"/>
          <w:szCs w:val="23"/>
        </w:rPr>
        <w:t>11. Conclusion</w:t>
      </w:r>
    </w:p>
    <w:p w14:paraId="5484E276" w14:textId="77777777" w:rsidR="006E25DC" w:rsidRDefault="00000000">
      <w:pPr>
        <w:spacing w:after="140"/>
      </w:pPr>
      <w:r>
        <w:rPr>
          <w:sz w:val="23"/>
          <w:szCs w:val="23"/>
        </w:rPr>
        <w:t>12. References</w:t>
      </w:r>
    </w:p>
    <w:p w14:paraId="08F0B092" w14:textId="77777777" w:rsidR="006E25DC" w:rsidRDefault="00000000">
      <w:pPr>
        <w:spacing w:after="140"/>
      </w:pPr>
      <w:r>
        <w:rPr>
          <w:sz w:val="23"/>
          <w:szCs w:val="23"/>
        </w:rPr>
        <w:t>Appendix A: Data Dictionary</w:t>
      </w:r>
    </w:p>
    <w:p w14:paraId="14B29381" w14:textId="77777777" w:rsidR="006E25DC" w:rsidRDefault="00000000">
      <w:r>
        <w:br w:type="page"/>
      </w:r>
    </w:p>
    <w:p w14:paraId="21D173C3" w14:textId="77777777" w:rsidR="006E25DC" w:rsidRDefault="00000000">
      <w:pPr>
        <w:pStyle w:val="Heading1"/>
        <w:spacing w:before="300" w:after="160"/>
      </w:pPr>
      <w:r>
        <w:rPr>
          <w:b/>
          <w:bCs/>
          <w:color w:val="1F3864"/>
          <w:sz w:val="30"/>
          <w:szCs w:val="30"/>
        </w:rPr>
        <w:lastRenderedPageBreak/>
        <w:t>1. Executive Summary</w:t>
      </w:r>
    </w:p>
    <w:p w14:paraId="7B52C6A5" w14:textId="77777777" w:rsidR="006E25DC" w:rsidRDefault="00000000">
      <w:pPr>
        <w:spacing w:after="160" w:line="300" w:lineRule="auto"/>
        <w:jc w:val="both"/>
      </w:pPr>
      <w:r>
        <w:rPr>
          <w:sz w:val="22"/>
          <w:szCs w:val="22"/>
        </w:rPr>
        <w:t>The global beauty and wellness market has grown into a multi-trillion-dollar industry, increasingly shaped by subscription commerce, personalization, and e-commerce. Within this landscape, subscription-based beauty and wellness services (subscription boxes, membership skincare programs, salon and spa loyalty schemes) face a distinctive and costly challenge: high customer churn. Industry benchmarks place monthly churn for e-commerce subscription boxes at 10-15%, with roughly 40% of subscribers cancelling their subscription eventually and a third of those cancelling within the first three months.</w:t>
      </w:r>
    </w:p>
    <w:p w14:paraId="319B9ABC" w14:textId="77777777" w:rsidR="006E25DC" w:rsidRDefault="00000000">
      <w:pPr>
        <w:spacing w:after="160" w:line="300" w:lineRule="auto"/>
        <w:jc w:val="both"/>
      </w:pPr>
      <w:r>
        <w:rPr>
          <w:sz w:val="22"/>
          <w:szCs w:val="22"/>
        </w:rPr>
        <w:t>This document defines a business problem for a data science engagement: predicting which beauty and wellness subscribers are at risk of churning, and understanding the behavioural and transactional signals that precede cancellation. It lays out the industry context that motivates this problem, the specific research questions and hypotheses to be tested, the variables and data required, and a step-by-step analysis plan combining exploratory data analysis, customer segmentation (RFM), and predictive modelling. The intent is to produce a conceptual foundation that is directly actionable for the marketing and retention teams of a beauty and wellness business, not merely a modelling exercise.</w:t>
      </w:r>
    </w:p>
    <w:p w14:paraId="398BDC43" w14:textId="77777777" w:rsidR="006E25DC" w:rsidRDefault="00000000">
      <w:r>
        <w:br w:type="page"/>
      </w:r>
    </w:p>
    <w:p w14:paraId="458DD87F" w14:textId="77777777" w:rsidR="006E25DC" w:rsidRDefault="00000000">
      <w:pPr>
        <w:pStyle w:val="Heading1"/>
        <w:spacing w:before="300" w:after="160"/>
      </w:pPr>
      <w:r>
        <w:rPr>
          <w:b/>
          <w:bCs/>
          <w:color w:val="1F3864"/>
          <w:sz w:val="30"/>
          <w:szCs w:val="30"/>
        </w:rPr>
        <w:lastRenderedPageBreak/>
        <w:t>2. Industry Research: The Beauty &amp; Wellness Landscape</w:t>
      </w:r>
    </w:p>
    <w:p w14:paraId="6DB75806" w14:textId="77777777" w:rsidR="006E25DC" w:rsidRDefault="00000000">
      <w:pPr>
        <w:pStyle w:val="Heading2"/>
        <w:spacing w:before="220" w:after="120"/>
      </w:pPr>
      <w:r>
        <w:rPr>
          <w:b/>
          <w:bCs/>
          <w:sz w:val="25"/>
          <w:szCs w:val="25"/>
        </w:rPr>
        <w:t>2.1 Market Size and Growth</w:t>
      </w:r>
    </w:p>
    <w:p w14:paraId="2DB8E0DB" w14:textId="77777777" w:rsidR="006E25DC" w:rsidRDefault="00000000">
      <w:pPr>
        <w:spacing w:after="160" w:line="300" w:lineRule="auto"/>
        <w:jc w:val="both"/>
      </w:pPr>
      <w:r>
        <w:rPr>
          <w:sz w:val="22"/>
          <w:szCs w:val="22"/>
        </w:rPr>
        <w:t>The global beauty and wellness market was valued at approximately $1.87-1.88 trillion in 2026 and is projected to reach $2.63 trillion by 2030, growing at a compound annual growth rate (CAGR) of 8.9% (The Business Research Company, 2026). Within this broader market, the core beauty and personal care segment (skincare, haircare, colour cosmetics, and fragrance) is valued in the range of $646-698 billion, with skincare alone commanding an estimated 42-48% share of total beauty revenue (Capital Counselor, 2026; Attest, 2026). E-commerce is projected to account for roughly 30% of total beauty and personal care revenue by 2026, up from around 15% pre-pandemic, and is forecast to keep growing at approximately 12% annually through 2027 (DemandSage, 2026).</w:t>
      </w:r>
    </w:p>
    <w:p w14:paraId="28970302" w14:textId="77777777" w:rsidR="006E25DC" w:rsidRDefault="00000000">
      <w:pPr>
        <w:pStyle w:val="Heading2"/>
        <w:spacing w:before="220" w:after="120"/>
      </w:pPr>
      <w:r>
        <w:rPr>
          <w:b/>
          <w:bCs/>
          <w:sz w:val="25"/>
          <w:szCs w:val="25"/>
        </w:rPr>
        <w:t>2.2 The Rise of Subscription and Personalization Models</w:t>
      </w:r>
    </w:p>
    <w:p w14:paraId="445B2836" w14:textId="77777777" w:rsidR="006E25DC" w:rsidRDefault="00000000">
      <w:pPr>
        <w:spacing w:after="160" w:line="300" w:lineRule="auto"/>
        <w:jc w:val="both"/>
      </w:pPr>
      <w:r>
        <w:rPr>
          <w:sz w:val="22"/>
          <w:szCs w:val="22"/>
        </w:rPr>
        <w:t>A defining trend of the past decade has been the shift toward subscription and personalization-based business models in beauty and wellness: curated subscription boxes, personalized skincare and nutrition plans, and digital wellness membership platforms. The global subscription box market reached approximately $49.7 billion in 2026, growing from just $57 million in 2011 (Ringly, 2026, citing IMARC and Recharge data). Consumer appetite for the model is real but shallow: 54% of US online shoppers have tried at least one subscription box, yet only 15% currently maintain an active subscription — implying that roughly 72% of people who try a subscription box eventually cancel it (Roots Analysis / Swell, via Ringly, 2026).</w:t>
      </w:r>
    </w:p>
    <w:p w14:paraId="78227A34" w14:textId="77777777" w:rsidR="006E25DC" w:rsidRDefault="00000000">
      <w:pPr>
        <w:pStyle w:val="Heading2"/>
        <w:spacing w:before="220" w:after="120"/>
      </w:pPr>
      <w:r>
        <w:rPr>
          <w:b/>
          <w:bCs/>
          <w:sz w:val="25"/>
          <w:szCs w:val="25"/>
        </w:rPr>
        <w:t>2.3 The Churn Challenge in Subscription Commerce</w:t>
      </w:r>
    </w:p>
    <w:p w14:paraId="5DB70DE2" w14:textId="77777777" w:rsidR="006E25DC" w:rsidRDefault="00000000">
      <w:pPr>
        <w:spacing w:after="160" w:line="300" w:lineRule="auto"/>
        <w:jc w:val="both"/>
      </w:pPr>
      <w:r>
        <w:rPr>
          <w:sz w:val="22"/>
          <w:szCs w:val="22"/>
        </w:rPr>
        <w:t>Churn is the central economic threat to any subscription-based beauty or wellness business. Published industry benchmarks place average monthly churn for e-commerce subscription boxes at 10-15%, notably higher than SaaS (4-6%) or telecom (1-2%) subscriptions (Churnkey, 2026). McKinsey research cited in industry press indicates that about 40% of subscribers cancel their subscription eventually, with roughly a third of all cancellations occurring within the first three months — pointing to onboarding and early engagement as a critical retention window (AccountancyCloud, citing McKinsey).</w:t>
      </w:r>
    </w:p>
    <w:p w14:paraId="529C6DA5" w14:textId="77777777" w:rsidR="006E25DC" w:rsidRDefault="00000000">
      <w:pPr>
        <w:spacing w:after="160" w:line="300" w:lineRule="auto"/>
        <w:jc w:val="both"/>
      </w:pPr>
      <w:r>
        <w:rPr>
          <w:sz w:val="22"/>
          <w:szCs w:val="22"/>
        </w:rPr>
        <w:t>The economic case for addressing churn analytically is strong. Acquiring a new customer is estimated to cost 5 to 25 times more than retaining an existing one (Harvard Business Review, via Yotpo/Invesp), and Bain &amp; Company research indicates that a 5-percentage-point improvement in customer retention can increase profits by 25% to 95% (Harvard Business Review, 2014). For a subscription-based beauty or wellness business, this means even a modest, well-targeted reduction in churn — driven by early identification of at-risk subscribers — can materially outperform equivalent spend on new-customer acquisition.</w:t>
      </w:r>
    </w:p>
    <w:p w14:paraId="562724E9" w14:textId="77777777" w:rsidR="006E25DC" w:rsidRDefault="00000000">
      <w:r>
        <w:br w:type="page"/>
      </w:r>
    </w:p>
    <w:p w14:paraId="36BFF3E8" w14:textId="77777777" w:rsidR="006E25DC" w:rsidRDefault="00000000">
      <w:pPr>
        <w:pStyle w:val="Heading1"/>
        <w:spacing w:before="300" w:after="160"/>
      </w:pPr>
      <w:r>
        <w:rPr>
          <w:b/>
          <w:bCs/>
          <w:color w:val="1F3864"/>
          <w:sz w:val="30"/>
          <w:szCs w:val="30"/>
        </w:rPr>
        <w:lastRenderedPageBreak/>
        <w:t>3. Business Problem Definition</w:t>
      </w:r>
    </w:p>
    <w:p w14:paraId="7CFCEF62" w14:textId="77777777" w:rsidR="006E25DC" w:rsidRDefault="00000000">
      <w:pPr>
        <w:pStyle w:val="Heading2"/>
        <w:spacing w:before="220" w:after="120"/>
      </w:pPr>
      <w:r>
        <w:rPr>
          <w:b/>
          <w:bCs/>
          <w:sz w:val="25"/>
          <w:szCs w:val="25"/>
        </w:rPr>
        <w:t>3.1 Problem Statement</w:t>
      </w:r>
    </w:p>
    <w:p w14:paraId="0E787638" w14:textId="77777777" w:rsidR="006E25DC" w:rsidRDefault="00000000">
      <w:pPr>
        <w:spacing w:after="160" w:line="300" w:lineRule="auto"/>
        <w:jc w:val="both"/>
      </w:pPr>
      <w:r>
        <w:rPr>
          <w:b/>
          <w:bCs/>
          <w:i/>
          <w:iCs/>
          <w:sz w:val="22"/>
          <w:szCs w:val="22"/>
        </w:rPr>
        <w:t>How can a beauty and wellness subscription business use historical subscriber behaviour and transaction data to identify, ahead of time, which customers are at high risk of cancelling their subscription — and which behavioural or product-related factors are most strongly associated with that risk?</w:t>
      </w:r>
    </w:p>
    <w:p w14:paraId="3E5C004F" w14:textId="77777777" w:rsidR="006E25DC" w:rsidRDefault="00000000">
      <w:pPr>
        <w:spacing w:after="160" w:line="300" w:lineRule="auto"/>
        <w:jc w:val="both"/>
      </w:pPr>
      <w:r>
        <w:rPr>
          <w:sz w:val="22"/>
          <w:szCs w:val="22"/>
        </w:rPr>
        <w:t>This is framed deliberately as a churn prediction and driver-analysis problem rather than a pure forecasting exercise: the goal is not only to produce a risk score per customer, but to surface the underlying behavioural signals (e.g. declining engagement, product mismatch, support complaints) that the marketing and customer-success teams can act on directly.</w:t>
      </w:r>
    </w:p>
    <w:p w14:paraId="6A84B8DA" w14:textId="77777777" w:rsidR="006E25DC" w:rsidRDefault="00000000">
      <w:pPr>
        <w:pStyle w:val="Heading2"/>
        <w:spacing w:before="220" w:after="120"/>
      </w:pPr>
      <w:r>
        <w:rPr>
          <w:b/>
          <w:bCs/>
          <w:sz w:val="25"/>
          <w:szCs w:val="25"/>
        </w:rPr>
        <w:t>3.2 Why This Problem, Why Now</w:t>
      </w:r>
    </w:p>
    <w:p w14:paraId="00B48174" w14:textId="77777777" w:rsidR="006E25DC" w:rsidRDefault="00000000">
      <w:pPr>
        <w:pStyle w:val="ListParagraph"/>
        <w:numPr>
          <w:ilvl w:val="0"/>
          <w:numId w:val="2"/>
        </w:numPr>
        <w:spacing w:after="90"/>
      </w:pPr>
      <w:r>
        <w:rPr>
          <w:sz w:val="22"/>
          <w:szCs w:val="22"/>
        </w:rPr>
        <w:t>Subscription and membership models are now a structurally important — and structurally leaky — part of the beauty and wellness revenue mix (Section 2.2, 2.3).</w:t>
      </w:r>
    </w:p>
    <w:p w14:paraId="27D6F517" w14:textId="77777777" w:rsidR="006E25DC" w:rsidRDefault="00000000">
      <w:pPr>
        <w:pStyle w:val="ListParagraph"/>
        <w:numPr>
          <w:ilvl w:val="0"/>
          <w:numId w:val="2"/>
        </w:numPr>
        <w:spacing w:after="90"/>
      </w:pPr>
      <w:r>
        <w:rPr>
          <w:sz w:val="22"/>
          <w:szCs w:val="22"/>
        </w:rPr>
        <w:t>The cost asymmetry between acquisition and retention (5-25x) means churn reduction offers a disproportionately high return relative to acquisition marketing spend.</w:t>
      </w:r>
    </w:p>
    <w:p w14:paraId="7C8544CD" w14:textId="77777777" w:rsidR="006E25DC" w:rsidRDefault="00000000">
      <w:pPr>
        <w:pStyle w:val="ListParagraph"/>
        <w:numPr>
          <w:ilvl w:val="0"/>
          <w:numId w:val="2"/>
        </w:numPr>
        <w:spacing w:after="90"/>
      </w:pPr>
      <w:r>
        <w:rPr>
          <w:sz w:val="22"/>
          <w:szCs w:val="22"/>
        </w:rPr>
        <w:t>A large share of churn happens early (within the first three months), meaning a predictive, early-warning approach is far more useful to the business than a retrospective churn report.</w:t>
      </w:r>
    </w:p>
    <w:p w14:paraId="1FAD62D3" w14:textId="77777777" w:rsidR="006E25DC" w:rsidRDefault="00000000">
      <w:pPr>
        <w:pStyle w:val="ListParagraph"/>
        <w:numPr>
          <w:ilvl w:val="0"/>
          <w:numId w:val="2"/>
        </w:numPr>
        <w:spacing w:after="90"/>
      </w:pPr>
      <w:r>
        <w:rPr>
          <w:sz w:val="22"/>
          <w:szCs w:val="22"/>
        </w:rPr>
        <w:t>Beauty and wellness purchases are highly personal (skin type, concerns, preferences), which means engagement and product-fit data — not just recency/frequency of purchase — likely carry real predictive signal, distinguishing this problem from generic e-commerce churn.</w:t>
      </w:r>
    </w:p>
    <w:p w14:paraId="59B4FB90" w14:textId="77777777" w:rsidR="006E25DC" w:rsidRDefault="00000000">
      <w:r>
        <w:br w:type="page"/>
      </w:r>
    </w:p>
    <w:p w14:paraId="0F23A506" w14:textId="77777777" w:rsidR="006E25DC" w:rsidRDefault="00000000">
      <w:pPr>
        <w:pStyle w:val="Heading1"/>
        <w:spacing w:before="300" w:after="160"/>
      </w:pPr>
      <w:r>
        <w:rPr>
          <w:b/>
          <w:bCs/>
          <w:color w:val="1F3864"/>
          <w:sz w:val="30"/>
          <w:szCs w:val="30"/>
        </w:rPr>
        <w:lastRenderedPageBreak/>
        <w:t>4. Relevance to the Beauty &amp; Wellness Sector</w:t>
      </w:r>
    </w:p>
    <w:p w14:paraId="657E8542" w14:textId="77777777" w:rsidR="006E25DC" w:rsidRDefault="00000000">
      <w:pPr>
        <w:spacing w:after="160" w:line="300" w:lineRule="auto"/>
        <w:jc w:val="both"/>
      </w:pPr>
      <w:r>
        <w:rPr>
          <w:sz w:val="22"/>
          <w:szCs w:val="22"/>
        </w:rPr>
        <w:t>This problem is directly relevant to three groups of stakeholders within a beauty and wellness business:</w:t>
      </w:r>
    </w:p>
    <w:p w14:paraId="41CB2A04" w14:textId="77777777" w:rsidR="006E25DC" w:rsidRDefault="00000000">
      <w:pPr>
        <w:pStyle w:val="ListParagraph"/>
        <w:numPr>
          <w:ilvl w:val="0"/>
          <w:numId w:val="2"/>
        </w:numPr>
        <w:spacing w:after="90"/>
      </w:pPr>
      <w:r>
        <w:rPr>
          <w:sz w:val="22"/>
          <w:szCs w:val="22"/>
        </w:rPr>
        <w:t>Marketing teams, who need to allocate retention budget (personalized offers, loyalty perks, win-back campaigns) toward the subscribers where it will have the greatest effect, rather than applying blanket discounts to the entire base.</w:t>
      </w:r>
    </w:p>
    <w:p w14:paraId="2A17AAA7" w14:textId="77777777" w:rsidR="006E25DC" w:rsidRDefault="00000000">
      <w:pPr>
        <w:pStyle w:val="ListParagraph"/>
        <w:numPr>
          <w:ilvl w:val="0"/>
          <w:numId w:val="2"/>
        </w:numPr>
        <w:spacing w:after="90"/>
      </w:pPr>
      <w:r>
        <w:rPr>
          <w:sz w:val="22"/>
          <w:szCs w:val="22"/>
        </w:rPr>
        <w:t>Product and merchandising teams, who benefit from understanding which product categories, box compositions, or personalization mismatches correlate with disengagement and cancellation.</w:t>
      </w:r>
    </w:p>
    <w:p w14:paraId="68FAA248" w14:textId="77777777" w:rsidR="006E25DC" w:rsidRDefault="00000000">
      <w:pPr>
        <w:pStyle w:val="ListParagraph"/>
        <w:numPr>
          <w:ilvl w:val="0"/>
          <w:numId w:val="2"/>
        </w:numPr>
        <w:spacing w:after="90"/>
      </w:pPr>
      <w:r>
        <w:rPr>
          <w:sz w:val="22"/>
          <w:szCs w:val="22"/>
        </w:rPr>
        <w:t>Customer success/support teams, who can use early-warning risk scores to proactively intervene (outreach, box customization, pause options) before a subscriber cancels outright.</w:t>
      </w:r>
    </w:p>
    <w:p w14:paraId="72308749" w14:textId="77777777" w:rsidR="006E25DC" w:rsidRDefault="00000000">
      <w:pPr>
        <w:spacing w:after="160" w:line="300" w:lineRule="auto"/>
        <w:jc w:val="both"/>
      </w:pPr>
      <w:r>
        <w:rPr>
          <w:sz w:val="22"/>
          <w:szCs w:val="22"/>
        </w:rPr>
        <w:t>Because the beauty and wellness sector sits at the intersection of e-commerce, personal care, and personalization-driven marketing, findings from this analysis generalize well: the same RFM-plus-engagement framework used here can be extended to adjacent contexts such as spa/salon membership programs, wellness app subscriptions, and loyalty-point-based retail beauty programs.</w:t>
      </w:r>
    </w:p>
    <w:p w14:paraId="4AC2E146" w14:textId="77777777" w:rsidR="006E25DC" w:rsidRDefault="00000000">
      <w:r>
        <w:br w:type="page"/>
      </w:r>
    </w:p>
    <w:p w14:paraId="314907AF" w14:textId="77777777" w:rsidR="006E25DC" w:rsidRDefault="00000000">
      <w:pPr>
        <w:pStyle w:val="Heading1"/>
        <w:spacing w:before="300" w:after="160"/>
      </w:pPr>
      <w:r>
        <w:rPr>
          <w:b/>
          <w:bCs/>
          <w:color w:val="1F3864"/>
          <w:sz w:val="30"/>
          <w:szCs w:val="30"/>
        </w:rPr>
        <w:lastRenderedPageBreak/>
        <w:t>5. Research Questions &amp; Hypotheses</w:t>
      </w:r>
    </w:p>
    <w:p w14:paraId="59B88277" w14:textId="77777777" w:rsidR="006E25DC" w:rsidRDefault="00000000">
      <w:pPr>
        <w:pStyle w:val="Heading2"/>
        <w:spacing w:before="220" w:after="120"/>
      </w:pPr>
      <w:r>
        <w:rPr>
          <w:b/>
          <w:bCs/>
          <w:sz w:val="25"/>
          <w:szCs w:val="25"/>
        </w:rPr>
        <w:t>5.1 Primary Research Questions</w:t>
      </w:r>
    </w:p>
    <w:p w14:paraId="1671EA6C" w14:textId="77777777" w:rsidR="006E25DC" w:rsidRDefault="00000000">
      <w:pPr>
        <w:pStyle w:val="ListParagraph"/>
        <w:numPr>
          <w:ilvl w:val="0"/>
          <w:numId w:val="2"/>
        </w:numPr>
        <w:spacing w:after="90"/>
      </w:pPr>
      <w:r>
        <w:rPr>
          <w:sz w:val="22"/>
          <w:szCs w:val="22"/>
        </w:rPr>
        <w:t>RQ1: Can subscriber-level transactional and engagement data predict churn (cancellation within the next billing cycle) with useful accuracy?</w:t>
      </w:r>
    </w:p>
    <w:p w14:paraId="2B3AE6E2" w14:textId="77777777" w:rsidR="006E25DC" w:rsidRDefault="00000000">
      <w:pPr>
        <w:pStyle w:val="ListParagraph"/>
        <w:numPr>
          <w:ilvl w:val="0"/>
          <w:numId w:val="2"/>
        </w:numPr>
        <w:spacing w:after="90"/>
      </w:pPr>
      <w:r>
        <w:rPr>
          <w:sz w:val="22"/>
          <w:szCs w:val="22"/>
        </w:rPr>
        <w:t>RQ2: Which behavioural signals (recency of last order, order frequency, monetary value, product category fit, email/app engagement, support ticket volume) are the strongest predictors of churn?</w:t>
      </w:r>
    </w:p>
    <w:p w14:paraId="0DB8480B" w14:textId="77777777" w:rsidR="006E25DC" w:rsidRDefault="00000000">
      <w:pPr>
        <w:pStyle w:val="ListParagraph"/>
        <w:numPr>
          <w:ilvl w:val="0"/>
          <w:numId w:val="2"/>
        </w:numPr>
        <w:spacing w:after="90"/>
      </w:pPr>
      <w:r>
        <w:rPr>
          <w:sz w:val="22"/>
          <w:szCs w:val="22"/>
        </w:rPr>
        <w:t>RQ3: Do customers naturally fall into distinct behavioural segments (e.g. highly engaged "champions" vs. "at-risk" vs. "dormant"), and does churn risk differ meaningfully across these segments?</w:t>
      </w:r>
    </w:p>
    <w:p w14:paraId="71B07C99" w14:textId="77777777" w:rsidR="006E25DC" w:rsidRDefault="00000000">
      <w:pPr>
        <w:pStyle w:val="ListParagraph"/>
        <w:numPr>
          <w:ilvl w:val="0"/>
          <w:numId w:val="2"/>
        </w:numPr>
        <w:spacing w:after="90"/>
      </w:pPr>
      <w:r>
        <w:rPr>
          <w:sz w:val="22"/>
          <w:szCs w:val="22"/>
        </w:rPr>
        <w:t>RQ4: Does the timing of churn risk differ by customer lifecycle stage — i.e. is early-tenure (first 90 days) churn driven by different factors than long-tenure churn?</w:t>
      </w:r>
    </w:p>
    <w:p w14:paraId="1AA8F90A" w14:textId="77777777" w:rsidR="006E25DC" w:rsidRDefault="00000000">
      <w:pPr>
        <w:pStyle w:val="Heading2"/>
        <w:spacing w:before="220" w:after="120"/>
      </w:pPr>
      <w:r>
        <w:rPr>
          <w:b/>
          <w:bCs/>
          <w:sz w:val="25"/>
          <w:szCs w:val="25"/>
        </w:rPr>
        <w:t>5.2 Hypotheses</w:t>
      </w:r>
    </w:p>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7500"/>
      </w:tblGrid>
      <w:tr w:rsidR="006E25DC" w14:paraId="78956C63" w14:textId="77777777">
        <w:tblPrEx>
          <w:tblCellMar>
            <w:top w:w="0" w:type="dxa"/>
            <w:bottom w:w="0" w:type="dxa"/>
          </w:tblCellMar>
        </w:tblPrEx>
        <w:tc>
          <w:tcPr>
            <w:tcW w:w="900" w:type="dxa"/>
            <w:shd w:val="clear" w:color="auto" w:fill="1F3864"/>
          </w:tcPr>
          <w:p w14:paraId="5F66A70F" w14:textId="77777777" w:rsidR="006E25DC" w:rsidRDefault="00000000">
            <w:r>
              <w:rPr>
                <w:b/>
                <w:bCs/>
                <w:color w:val="FFFFFF"/>
              </w:rPr>
              <w:t>ID</w:t>
            </w:r>
          </w:p>
        </w:tc>
        <w:tc>
          <w:tcPr>
            <w:tcW w:w="7500" w:type="dxa"/>
            <w:shd w:val="clear" w:color="auto" w:fill="1F3864"/>
          </w:tcPr>
          <w:p w14:paraId="0023CDA9" w14:textId="77777777" w:rsidR="006E25DC" w:rsidRDefault="00000000">
            <w:r>
              <w:rPr>
                <w:b/>
                <w:bCs/>
                <w:color w:val="FFFFFF"/>
              </w:rPr>
              <w:t>Hypothesis</w:t>
            </w:r>
          </w:p>
        </w:tc>
      </w:tr>
      <w:tr w:rsidR="006E25DC" w14:paraId="7E726567" w14:textId="77777777">
        <w:tblPrEx>
          <w:tblCellMar>
            <w:top w:w="0" w:type="dxa"/>
            <w:bottom w:w="0" w:type="dxa"/>
          </w:tblCellMar>
        </w:tblPrEx>
        <w:tc>
          <w:tcPr>
            <w:tcW w:w="900" w:type="dxa"/>
          </w:tcPr>
          <w:p w14:paraId="176C0150" w14:textId="77777777" w:rsidR="006E25DC" w:rsidRDefault="00000000">
            <w:r>
              <w:t>H1</w:t>
            </w:r>
          </w:p>
        </w:tc>
        <w:tc>
          <w:tcPr>
            <w:tcW w:w="7500" w:type="dxa"/>
          </w:tcPr>
          <w:p w14:paraId="257B18C8" w14:textId="77777777" w:rsidR="006E25DC" w:rsidRDefault="00000000">
            <w:r>
              <w:t>Customers with declining order frequency and reduced email/app engagement over the most recent 60-90 days have significantly higher churn probability than customers with stable engagement.</w:t>
            </w:r>
          </w:p>
        </w:tc>
      </w:tr>
      <w:tr w:rsidR="006E25DC" w14:paraId="04BDF396" w14:textId="77777777">
        <w:tblPrEx>
          <w:tblCellMar>
            <w:top w:w="0" w:type="dxa"/>
            <w:bottom w:w="0" w:type="dxa"/>
          </w:tblCellMar>
        </w:tblPrEx>
        <w:tc>
          <w:tcPr>
            <w:tcW w:w="900" w:type="dxa"/>
            <w:shd w:val="clear" w:color="auto" w:fill="F2F2F2"/>
          </w:tcPr>
          <w:p w14:paraId="05A91BD4" w14:textId="77777777" w:rsidR="006E25DC" w:rsidRDefault="00000000">
            <w:r>
              <w:t>H2</w:t>
            </w:r>
          </w:p>
        </w:tc>
        <w:tc>
          <w:tcPr>
            <w:tcW w:w="7500" w:type="dxa"/>
            <w:shd w:val="clear" w:color="auto" w:fill="F2F2F2"/>
          </w:tcPr>
          <w:p w14:paraId="439D4DC9" w14:textId="77777777" w:rsidR="006E25DC" w:rsidRDefault="00000000">
            <w:r>
              <w:t>Product-category mismatch (e.g. repeated receipt of items outside a subscriber's stated preferences) is positively associated with churn.</w:t>
            </w:r>
          </w:p>
        </w:tc>
      </w:tr>
      <w:tr w:rsidR="006E25DC" w14:paraId="4706098F" w14:textId="77777777">
        <w:tblPrEx>
          <w:tblCellMar>
            <w:top w:w="0" w:type="dxa"/>
            <w:bottom w:w="0" w:type="dxa"/>
          </w:tblCellMar>
        </w:tblPrEx>
        <w:tc>
          <w:tcPr>
            <w:tcW w:w="900" w:type="dxa"/>
          </w:tcPr>
          <w:p w14:paraId="063673A0" w14:textId="77777777" w:rsidR="006E25DC" w:rsidRDefault="00000000">
            <w:r>
              <w:t>H3</w:t>
            </w:r>
          </w:p>
        </w:tc>
        <w:tc>
          <w:tcPr>
            <w:tcW w:w="7500" w:type="dxa"/>
          </w:tcPr>
          <w:p w14:paraId="71FE6217" w14:textId="77777777" w:rsidR="006E25DC" w:rsidRDefault="00000000">
            <w:r>
              <w:t>Customers who contact support with complaints (product dissatisfaction, billing issues) in a given period have a higher churn rate in the following period than those who do not.</w:t>
            </w:r>
          </w:p>
        </w:tc>
      </w:tr>
      <w:tr w:rsidR="006E25DC" w14:paraId="6B52142C" w14:textId="77777777">
        <w:tblPrEx>
          <w:tblCellMar>
            <w:top w:w="0" w:type="dxa"/>
            <w:bottom w:w="0" w:type="dxa"/>
          </w:tblCellMar>
        </w:tblPrEx>
        <w:tc>
          <w:tcPr>
            <w:tcW w:w="900" w:type="dxa"/>
            <w:shd w:val="clear" w:color="auto" w:fill="F2F2F2"/>
          </w:tcPr>
          <w:p w14:paraId="4DA9A0DE" w14:textId="77777777" w:rsidR="006E25DC" w:rsidRDefault="00000000">
            <w:r>
              <w:t>H4</w:t>
            </w:r>
          </w:p>
        </w:tc>
        <w:tc>
          <w:tcPr>
            <w:tcW w:w="7500" w:type="dxa"/>
            <w:shd w:val="clear" w:color="auto" w:fill="F2F2F2"/>
          </w:tcPr>
          <w:p w14:paraId="7F8D5064" w14:textId="77777777" w:rsidR="006E25DC" w:rsidRDefault="00000000">
            <w:r>
              <w:t>Early-tenure churn (within the first 3 months) is more strongly associated with onboarding/first-box experience variables, while long-tenure churn is more strongly associated with monetary value decline and engagement fatigue.</w:t>
            </w:r>
          </w:p>
        </w:tc>
      </w:tr>
    </w:tbl>
    <w:p w14:paraId="46DCC1F6" w14:textId="77777777" w:rsidR="006E25DC" w:rsidRDefault="00000000">
      <w:r>
        <w:br w:type="page"/>
      </w:r>
    </w:p>
    <w:p w14:paraId="1E09DC73" w14:textId="77777777" w:rsidR="006E25DC" w:rsidRDefault="00000000">
      <w:pPr>
        <w:pStyle w:val="Heading1"/>
        <w:spacing w:before="300" w:after="160"/>
      </w:pPr>
      <w:r>
        <w:rPr>
          <w:b/>
          <w:bCs/>
          <w:color w:val="1F3864"/>
          <w:sz w:val="30"/>
          <w:szCs w:val="30"/>
        </w:rPr>
        <w:lastRenderedPageBreak/>
        <w:t>6. Data Requirements: Variables &amp; Sources</w:t>
      </w:r>
    </w:p>
    <w:p w14:paraId="7B5AF8B2" w14:textId="77777777" w:rsidR="006E25DC" w:rsidRDefault="00000000">
      <w:pPr>
        <w:spacing w:after="160" w:line="300" w:lineRule="auto"/>
        <w:jc w:val="both"/>
      </w:pPr>
      <w:r>
        <w:rPr>
          <w:sz w:val="22"/>
          <w:szCs w:val="22"/>
        </w:rPr>
        <w:t>Addressing the research questions above requires subscriber-level data spanning transactions, engagement, product fit, and support history. The table below outlines the core variable groups anticipated for this analysis.</w:t>
      </w:r>
    </w:p>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3600"/>
        <w:gridCol w:w="3200"/>
      </w:tblGrid>
      <w:tr w:rsidR="006E25DC" w14:paraId="1F8C5F8B" w14:textId="77777777">
        <w:tblPrEx>
          <w:tblCellMar>
            <w:top w:w="0" w:type="dxa"/>
            <w:bottom w:w="0" w:type="dxa"/>
          </w:tblCellMar>
        </w:tblPrEx>
        <w:tc>
          <w:tcPr>
            <w:tcW w:w="1600" w:type="dxa"/>
            <w:shd w:val="clear" w:color="auto" w:fill="1F3864"/>
          </w:tcPr>
          <w:p w14:paraId="6C03CB75" w14:textId="77777777" w:rsidR="006E25DC" w:rsidRDefault="00000000">
            <w:r>
              <w:rPr>
                <w:b/>
                <w:bCs/>
                <w:color w:val="FFFFFF"/>
              </w:rPr>
              <w:t>Category</w:t>
            </w:r>
          </w:p>
        </w:tc>
        <w:tc>
          <w:tcPr>
            <w:tcW w:w="3600" w:type="dxa"/>
            <w:shd w:val="clear" w:color="auto" w:fill="1F3864"/>
          </w:tcPr>
          <w:p w14:paraId="68A13F03" w14:textId="77777777" w:rsidR="006E25DC" w:rsidRDefault="00000000">
            <w:r>
              <w:rPr>
                <w:b/>
                <w:bCs/>
                <w:color w:val="FFFFFF"/>
              </w:rPr>
              <w:t>Example Variables</w:t>
            </w:r>
          </w:p>
        </w:tc>
        <w:tc>
          <w:tcPr>
            <w:tcW w:w="3200" w:type="dxa"/>
            <w:shd w:val="clear" w:color="auto" w:fill="1F3864"/>
          </w:tcPr>
          <w:p w14:paraId="0CFB4B82" w14:textId="77777777" w:rsidR="006E25DC" w:rsidRDefault="00000000">
            <w:r>
              <w:rPr>
                <w:b/>
                <w:bCs/>
                <w:color w:val="FFFFFF"/>
              </w:rPr>
              <w:t>Purpose</w:t>
            </w:r>
          </w:p>
        </w:tc>
      </w:tr>
      <w:tr w:rsidR="006E25DC" w14:paraId="6DDE49E9" w14:textId="77777777">
        <w:tblPrEx>
          <w:tblCellMar>
            <w:top w:w="0" w:type="dxa"/>
            <w:bottom w:w="0" w:type="dxa"/>
          </w:tblCellMar>
        </w:tblPrEx>
        <w:tc>
          <w:tcPr>
            <w:tcW w:w="1600" w:type="dxa"/>
          </w:tcPr>
          <w:p w14:paraId="673A1C81" w14:textId="77777777" w:rsidR="006E25DC" w:rsidRDefault="00000000">
            <w:r>
              <w:t>Identifiers</w:t>
            </w:r>
          </w:p>
        </w:tc>
        <w:tc>
          <w:tcPr>
            <w:tcW w:w="3600" w:type="dxa"/>
          </w:tcPr>
          <w:p w14:paraId="3B6465DE" w14:textId="77777777" w:rsidR="006E25DC" w:rsidRDefault="00000000">
            <w:r>
              <w:t>customer_id, subscription_id, signup_date</w:t>
            </w:r>
          </w:p>
        </w:tc>
        <w:tc>
          <w:tcPr>
            <w:tcW w:w="3200" w:type="dxa"/>
          </w:tcPr>
          <w:p w14:paraId="15A4C9CC" w14:textId="77777777" w:rsidR="006E25DC" w:rsidRDefault="00000000">
            <w:r>
              <w:t>Core keys; signup_date anchors tenure calculations</w:t>
            </w:r>
          </w:p>
        </w:tc>
      </w:tr>
      <w:tr w:rsidR="006E25DC" w14:paraId="233064BB" w14:textId="77777777">
        <w:tblPrEx>
          <w:tblCellMar>
            <w:top w:w="0" w:type="dxa"/>
            <w:bottom w:w="0" w:type="dxa"/>
          </w:tblCellMar>
        </w:tblPrEx>
        <w:tc>
          <w:tcPr>
            <w:tcW w:w="1600" w:type="dxa"/>
            <w:shd w:val="clear" w:color="auto" w:fill="F2F2F2"/>
          </w:tcPr>
          <w:p w14:paraId="03C64F55" w14:textId="77777777" w:rsidR="006E25DC" w:rsidRDefault="00000000">
            <w:r>
              <w:t>Transactional</w:t>
            </w:r>
          </w:p>
        </w:tc>
        <w:tc>
          <w:tcPr>
            <w:tcW w:w="3600" w:type="dxa"/>
            <w:shd w:val="clear" w:color="auto" w:fill="F2F2F2"/>
          </w:tcPr>
          <w:p w14:paraId="69DE21B4" w14:textId="77777777" w:rsidR="006E25DC" w:rsidRDefault="00000000">
            <w:r>
              <w:t>order_date, box/plan tier, price paid, discount used, payment method</w:t>
            </w:r>
          </w:p>
        </w:tc>
        <w:tc>
          <w:tcPr>
            <w:tcW w:w="3200" w:type="dxa"/>
            <w:shd w:val="clear" w:color="auto" w:fill="F2F2F2"/>
          </w:tcPr>
          <w:p w14:paraId="09BFEE94" w14:textId="77777777" w:rsidR="006E25DC" w:rsidRDefault="00000000">
            <w:r>
              <w:t>Basis for Recency, Frequency, Monetary (RFM) features</w:t>
            </w:r>
          </w:p>
        </w:tc>
      </w:tr>
      <w:tr w:rsidR="006E25DC" w14:paraId="4DBCE8BC" w14:textId="77777777">
        <w:tblPrEx>
          <w:tblCellMar>
            <w:top w:w="0" w:type="dxa"/>
            <w:bottom w:w="0" w:type="dxa"/>
          </w:tblCellMar>
        </w:tblPrEx>
        <w:tc>
          <w:tcPr>
            <w:tcW w:w="1600" w:type="dxa"/>
          </w:tcPr>
          <w:p w14:paraId="12951FEB" w14:textId="77777777" w:rsidR="006E25DC" w:rsidRDefault="00000000">
            <w:r>
              <w:t>Subscription status</w:t>
            </w:r>
          </w:p>
        </w:tc>
        <w:tc>
          <w:tcPr>
            <w:tcW w:w="3600" w:type="dxa"/>
          </w:tcPr>
          <w:p w14:paraId="7DF646DF" w14:textId="77777777" w:rsidR="006E25DC" w:rsidRDefault="00000000">
            <w:r>
              <w:t>subscription_status (active/paused/cancelled), cancellation_date, cancellation_reason</w:t>
            </w:r>
          </w:p>
        </w:tc>
        <w:tc>
          <w:tcPr>
            <w:tcW w:w="3200" w:type="dxa"/>
          </w:tcPr>
          <w:p w14:paraId="6C09C44F" w14:textId="77777777" w:rsidR="006E25DC" w:rsidRDefault="00000000">
            <w:r>
              <w:t>Target variable (churn) and reason-code context</w:t>
            </w:r>
          </w:p>
        </w:tc>
      </w:tr>
      <w:tr w:rsidR="006E25DC" w14:paraId="5439D63A" w14:textId="77777777">
        <w:tblPrEx>
          <w:tblCellMar>
            <w:top w:w="0" w:type="dxa"/>
            <w:bottom w:w="0" w:type="dxa"/>
          </w:tblCellMar>
        </w:tblPrEx>
        <w:tc>
          <w:tcPr>
            <w:tcW w:w="1600" w:type="dxa"/>
            <w:shd w:val="clear" w:color="auto" w:fill="F2F2F2"/>
          </w:tcPr>
          <w:p w14:paraId="63394CA3" w14:textId="77777777" w:rsidR="006E25DC" w:rsidRDefault="00000000">
            <w:r>
              <w:t>Product fit</w:t>
            </w:r>
          </w:p>
        </w:tc>
        <w:tc>
          <w:tcPr>
            <w:tcW w:w="3600" w:type="dxa"/>
            <w:shd w:val="clear" w:color="auto" w:fill="F2F2F2"/>
          </w:tcPr>
          <w:p w14:paraId="283DE8FA" w14:textId="77777777" w:rsidR="006E25DC" w:rsidRDefault="00000000">
            <w:r>
              <w:t>stated preferences (skin type, concerns, product category interest), products received, ratings/reviews given</w:t>
            </w:r>
          </w:p>
        </w:tc>
        <w:tc>
          <w:tcPr>
            <w:tcW w:w="3200" w:type="dxa"/>
            <w:shd w:val="clear" w:color="auto" w:fill="F2F2F2"/>
          </w:tcPr>
          <w:p w14:paraId="6A1F778A" w14:textId="77777777" w:rsidR="006E25DC" w:rsidRDefault="00000000">
            <w:r>
              <w:t>Captures personalization mismatch (H2)</w:t>
            </w:r>
          </w:p>
        </w:tc>
      </w:tr>
      <w:tr w:rsidR="006E25DC" w14:paraId="7C06E0D0" w14:textId="77777777">
        <w:tblPrEx>
          <w:tblCellMar>
            <w:top w:w="0" w:type="dxa"/>
            <w:bottom w:w="0" w:type="dxa"/>
          </w:tblCellMar>
        </w:tblPrEx>
        <w:tc>
          <w:tcPr>
            <w:tcW w:w="1600" w:type="dxa"/>
          </w:tcPr>
          <w:p w14:paraId="49DC5AE4" w14:textId="77777777" w:rsidR="006E25DC" w:rsidRDefault="00000000">
            <w:r>
              <w:t>Engagement</w:t>
            </w:r>
          </w:p>
        </w:tc>
        <w:tc>
          <w:tcPr>
            <w:tcW w:w="3600" w:type="dxa"/>
          </w:tcPr>
          <w:p w14:paraId="2597C548" w14:textId="77777777" w:rsidR="006E25DC" w:rsidRDefault="00000000">
            <w:r>
              <w:t>email open/click rate, app/site login frequency, box "unboxing" or review activity</w:t>
            </w:r>
          </w:p>
        </w:tc>
        <w:tc>
          <w:tcPr>
            <w:tcW w:w="3200" w:type="dxa"/>
          </w:tcPr>
          <w:p w14:paraId="4A781693" w14:textId="77777777" w:rsidR="006E25DC" w:rsidRDefault="00000000">
            <w:r>
              <w:t>Leading indicator of disengagement (H1)</w:t>
            </w:r>
          </w:p>
        </w:tc>
      </w:tr>
      <w:tr w:rsidR="006E25DC" w14:paraId="75FA96F4" w14:textId="77777777">
        <w:tblPrEx>
          <w:tblCellMar>
            <w:top w:w="0" w:type="dxa"/>
            <w:bottom w:w="0" w:type="dxa"/>
          </w:tblCellMar>
        </w:tblPrEx>
        <w:tc>
          <w:tcPr>
            <w:tcW w:w="1600" w:type="dxa"/>
            <w:shd w:val="clear" w:color="auto" w:fill="F2F2F2"/>
          </w:tcPr>
          <w:p w14:paraId="2EEB7C7B" w14:textId="77777777" w:rsidR="006E25DC" w:rsidRDefault="00000000">
            <w:r>
              <w:t>Support interactions</w:t>
            </w:r>
          </w:p>
        </w:tc>
        <w:tc>
          <w:tcPr>
            <w:tcW w:w="3600" w:type="dxa"/>
            <w:shd w:val="clear" w:color="auto" w:fill="F2F2F2"/>
          </w:tcPr>
          <w:p w14:paraId="1B134A56" w14:textId="77777777" w:rsidR="006E25DC" w:rsidRDefault="00000000">
            <w:r>
              <w:t>number of support tickets, ticket category, resolution time, satisfaction score</w:t>
            </w:r>
          </w:p>
        </w:tc>
        <w:tc>
          <w:tcPr>
            <w:tcW w:w="3200" w:type="dxa"/>
            <w:shd w:val="clear" w:color="auto" w:fill="F2F2F2"/>
          </w:tcPr>
          <w:p w14:paraId="4E177BF0" w14:textId="77777777" w:rsidR="006E25DC" w:rsidRDefault="00000000">
            <w:r>
              <w:t>Captures dissatisfaction signal (H3)</w:t>
            </w:r>
          </w:p>
        </w:tc>
      </w:tr>
      <w:tr w:rsidR="006E25DC" w14:paraId="53FB1453" w14:textId="77777777">
        <w:tblPrEx>
          <w:tblCellMar>
            <w:top w:w="0" w:type="dxa"/>
            <w:bottom w:w="0" w:type="dxa"/>
          </w:tblCellMar>
        </w:tblPrEx>
        <w:tc>
          <w:tcPr>
            <w:tcW w:w="1600" w:type="dxa"/>
          </w:tcPr>
          <w:p w14:paraId="297DF6A5" w14:textId="77777777" w:rsidR="006E25DC" w:rsidRDefault="00000000">
            <w:r>
              <w:t>Demographic / firmographic</w:t>
            </w:r>
          </w:p>
        </w:tc>
        <w:tc>
          <w:tcPr>
            <w:tcW w:w="3600" w:type="dxa"/>
          </w:tcPr>
          <w:p w14:paraId="606BCFE9" w14:textId="77777777" w:rsidR="006E25DC" w:rsidRDefault="00000000">
            <w:r>
              <w:t>region, age band (if available), acquisition channel</w:t>
            </w:r>
          </w:p>
        </w:tc>
        <w:tc>
          <w:tcPr>
            <w:tcW w:w="3200" w:type="dxa"/>
          </w:tcPr>
          <w:p w14:paraId="231411C9" w14:textId="77777777" w:rsidR="006E25DC" w:rsidRDefault="00000000">
            <w:r>
              <w:t>Segmentation and confound control, used cautiously</w:t>
            </w:r>
          </w:p>
        </w:tc>
      </w:tr>
    </w:tbl>
    <w:p w14:paraId="624798DB" w14:textId="77777777" w:rsidR="006E25DC" w:rsidRDefault="00000000">
      <w:pPr>
        <w:spacing w:after="160" w:line="300" w:lineRule="auto"/>
        <w:jc w:val="both"/>
      </w:pPr>
      <w:r>
        <w:rPr>
          <w:sz w:val="22"/>
          <w:szCs w:val="22"/>
        </w:rPr>
        <w:t>Where a live company dataset is not yet available, a synthetically generated dataset with realistic distributions (skewed tenure, Poisson-like engagement counts, a churn base rate consistent with the 10-15% monthly industry benchmark) can be used to validate the analysis pipeline before applying it to real data — this mirrors standard practice in applied data science projects where access to production data is delayed or restricted.</w:t>
      </w:r>
    </w:p>
    <w:p w14:paraId="6FBFE831" w14:textId="77777777" w:rsidR="006E25DC" w:rsidRDefault="00000000">
      <w:r>
        <w:br w:type="page"/>
      </w:r>
    </w:p>
    <w:p w14:paraId="303B8973" w14:textId="77777777" w:rsidR="006E25DC" w:rsidRDefault="00000000">
      <w:pPr>
        <w:pStyle w:val="Heading1"/>
        <w:spacing w:before="300" w:after="160"/>
      </w:pPr>
      <w:r>
        <w:rPr>
          <w:b/>
          <w:bCs/>
          <w:color w:val="1F3864"/>
          <w:sz w:val="30"/>
          <w:szCs w:val="30"/>
        </w:rPr>
        <w:lastRenderedPageBreak/>
        <w:t>7. Analysis Plan</w:t>
      </w:r>
    </w:p>
    <w:p w14:paraId="7714DF1C" w14:textId="77777777" w:rsidR="006E25DC" w:rsidRDefault="00000000">
      <w:pPr>
        <w:pStyle w:val="Heading2"/>
        <w:spacing w:before="220" w:after="120"/>
      </w:pPr>
      <w:r>
        <w:rPr>
          <w:b/>
          <w:bCs/>
          <w:sz w:val="25"/>
          <w:szCs w:val="25"/>
        </w:rPr>
        <w:t>7.1 Data Collection &amp; Preparation</w:t>
      </w:r>
    </w:p>
    <w:p w14:paraId="76C0294F" w14:textId="77777777" w:rsidR="006E25DC" w:rsidRDefault="00000000">
      <w:pPr>
        <w:pStyle w:val="ListParagraph"/>
        <w:numPr>
          <w:ilvl w:val="0"/>
          <w:numId w:val="2"/>
        </w:numPr>
        <w:spacing w:after="90"/>
      </w:pPr>
      <w:r>
        <w:rPr>
          <w:sz w:val="22"/>
          <w:szCs w:val="22"/>
        </w:rPr>
        <w:t>Consolidate transactional, engagement, and support data into a single subscriber-level table, keyed by customer_id.</w:t>
      </w:r>
    </w:p>
    <w:p w14:paraId="44FDAA85" w14:textId="77777777" w:rsidR="006E25DC" w:rsidRDefault="00000000">
      <w:pPr>
        <w:pStyle w:val="ListParagraph"/>
        <w:numPr>
          <w:ilvl w:val="0"/>
          <w:numId w:val="2"/>
        </w:numPr>
        <w:spacing w:after="90"/>
      </w:pPr>
      <w:r>
        <w:rPr>
          <w:sz w:val="22"/>
          <w:szCs w:val="22"/>
        </w:rPr>
        <w:t>Define the churn label precisely: e.g. "cancelled or lapsed within the next 30/60-day window", to avoid ambiguity in what the model is predicting.</w:t>
      </w:r>
    </w:p>
    <w:p w14:paraId="52837CAB" w14:textId="77777777" w:rsidR="006E25DC" w:rsidRDefault="00000000">
      <w:pPr>
        <w:pStyle w:val="ListParagraph"/>
        <w:numPr>
          <w:ilvl w:val="0"/>
          <w:numId w:val="2"/>
        </w:numPr>
        <w:spacing w:after="90"/>
      </w:pPr>
      <w:r>
        <w:rPr>
          <w:sz w:val="22"/>
          <w:szCs w:val="22"/>
        </w:rPr>
        <w:t>Handle missing values (e.g. unanswered engagement surveys) via appropriate imputation, and check for and remove duplicate records.</w:t>
      </w:r>
    </w:p>
    <w:p w14:paraId="1952897C" w14:textId="77777777" w:rsidR="006E25DC" w:rsidRDefault="00000000">
      <w:pPr>
        <w:pStyle w:val="Heading2"/>
        <w:spacing w:before="220" w:after="120"/>
      </w:pPr>
      <w:r>
        <w:rPr>
          <w:b/>
          <w:bCs/>
          <w:sz w:val="25"/>
          <w:szCs w:val="25"/>
        </w:rPr>
        <w:t>7.2 Exploratory Data Analysis (EDA)</w:t>
      </w:r>
    </w:p>
    <w:p w14:paraId="0E7119F7" w14:textId="77777777" w:rsidR="006E25DC" w:rsidRDefault="00000000">
      <w:pPr>
        <w:pStyle w:val="ListParagraph"/>
        <w:numPr>
          <w:ilvl w:val="0"/>
          <w:numId w:val="2"/>
        </w:numPr>
        <w:spacing w:after="90"/>
      </w:pPr>
      <w:r>
        <w:rPr>
          <w:sz w:val="22"/>
          <w:szCs w:val="22"/>
        </w:rPr>
        <w:t>Churn rate over time and by cohort (signup month) to check consistency with the 10-15% industry benchmark.</w:t>
      </w:r>
    </w:p>
    <w:p w14:paraId="23FDC9E3" w14:textId="77777777" w:rsidR="006E25DC" w:rsidRDefault="00000000">
      <w:pPr>
        <w:pStyle w:val="ListParagraph"/>
        <w:numPr>
          <w:ilvl w:val="0"/>
          <w:numId w:val="2"/>
        </w:numPr>
        <w:spacing w:after="90"/>
      </w:pPr>
      <w:r>
        <w:rPr>
          <w:sz w:val="22"/>
          <w:szCs w:val="22"/>
        </w:rPr>
        <w:t>Distribution of tenure, order frequency, and monetary value split by churned vs. retained customers.</w:t>
      </w:r>
    </w:p>
    <w:p w14:paraId="5A36C2EF" w14:textId="77777777" w:rsidR="006E25DC" w:rsidRDefault="00000000">
      <w:pPr>
        <w:pStyle w:val="ListParagraph"/>
        <w:numPr>
          <w:ilvl w:val="0"/>
          <w:numId w:val="2"/>
        </w:numPr>
        <w:spacing w:after="90"/>
      </w:pPr>
      <w:r>
        <w:rPr>
          <w:sz w:val="22"/>
          <w:szCs w:val="22"/>
        </w:rPr>
        <w:t>Correlation analysis between engagement/support variables and churn, to narrow down candidate predictors before modelling.</w:t>
      </w:r>
    </w:p>
    <w:p w14:paraId="01E130E1" w14:textId="77777777" w:rsidR="006E25DC" w:rsidRDefault="00000000">
      <w:pPr>
        <w:pStyle w:val="Heading2"/>
        <w:spacing w:before="220" w:after="120"/>
      </w:pPr>
      <w:r>
        <w:rPr>
          <w:b/>
          <w:bCs/>
          <w:sz w:val="25"/>
          <w:szCs w:val="25"/>
        </w:rPr>
        <w:t>7.3 Feature Engineering: RFM + Engagement</w:t>
      </w:r>
    </w:p>
    <w:p w14:paraId="371CEA5A" w14:textId="77777777" w:rsidR="006E25DC" w:rsidRDefault="00000000">
      <w:pPr>
        <w:spacing w:after="160" w:line="300" w:lineRule="auto"/>
        <w:jc w:val="both"/>
      </w:pPr>
      <w:r>
        <w:rPr>
          <w:sz w:val="22"/>
          <w:szCs w:val="22"/>
        </w:rPr>
        <w:t>Beyond classical Recency, Frequency, and Monetary (RFM) features, this analysis will engineer engagement-decay features (e.g. change in login/email activity over the last 60 days vs. the prior 60 days) and a simple product-fit score (overlap between stated preferences and products actually received). These additional features are what differentiate a beauty/wellness-specific churn model from a generic RFM churn model, and directly test H1 and H2.</w:t>
      </w:r>
    </w:p>
    <w:p w14:paraId="6B574487" w14:textId="77777777" w:rsidR="006E25DC" w:rsidRDefault="00000000">
      <w:pPr>
        <w:pStyle w:val="Heading2"/>
        <w:spacing w:before="220" w:after="120"/>
      </w:pPr>
      <w:r>
        <w:rPr>
          <w:b/>
          <w:bCs/>
          <w:sz w:val="25"/>
          <w:szCs w:val="25"/>
        </w:rPr>
        <w:t>7.4 Modelling Approach</w:t>
      </w:r>
    </w:p>
    <w:p w14:paraId="0DECEAFA" w14:textId="77777777" w:rsidR="006E25DC" w:rsidRDefault="00000000">
      <w:pPr>
        <w:pStyle w:val="ListParagraph"/>
        <w:numPr>
          <w:ilvl w:val="0"/>
          <w:numId w:val="2"/>
        </w:numPr>
        <w:spacing w:after="90"/>
      </w:pPr>
      <w:r>
        <w:rPr>
          <w:sz w:val="22"/>
          <w:szCs w:val="22"/>
        </w:rPr>
        <w:t>Unsupervised: K-Means clustering on standardized RFM + engagement features to surface natural customer segments (addresses RQ3).</w:t>
      </w:r>
    </w:p>
    <w:p w14:paraId="54FF3D14" w14:textId="77777777" w:rsidR="006E25DC" w:rsidRDefault="00000000">
      <w:pPr>
        <w:pStyle w:val="ListParagraph"/>
        <w:numPr>
          <w:ilvl w:val="0"/>
          <w:numId w:val="2"/>
        </w:numPr>
        <w:spacing w:after="90"/>
      </w:pPr>
      <w:r>
        <w:rPr>
          <w:sz w:val="22"/>
          <w:szCs w:val="22"/>
        </w:rPr>
        <w:t>Supervised baseline: Logistic Regression for an interpretable churn model, useful for explaining drivers to a non-technical marketing audience.</w:t>
      </w:r>
    </w:p>
    <w:p w14:paraId="5ED71450" w14:textId="77777777" w:rsidR="006E25DC" w:rsidRDefault="00000000">
      <w:pPr>
        <w:pStyle w:val="ListParagraph"/>
        <w:numPr>
          <w:ilvl w:val="0"/>
          <w:numId w:val="2"/>
        </w:numPr>
        <w:spacing w:after="90"/>
      </w:pPr>
      <w:r>
        <w:rPr>
          <w:sz w:val="22"/>
          <w:szCs w:val="22"/>
        </w:rPr>
        <w:t>Supervised comparison: a tree-based model (Random Forest or Gradient Boosting) to capture non-linear interactions and rank feature importance.</w:t>
      </w:r>
    </w:p>
    <w:p w14:paraId="7C33180D" w14:textId="77777777" w:rsidR="006E25DC" w:rsidRDefault="00000000">
      <w:pPr>
        <w:pStyle w:val="ListParagraph"/>
        <w:numPr>
          <w:ilvl w:val="0"/>
          <w:numId w:val="2"/>
        </w:numPr>
        <w:spacing w:after="90"/>
      </w:pPr>
      <w:r>
        <w:rPr>
          <w:sz w:val="22"/>
          <w:szCs w:val="22"/>
        </w:rPr>
        <w:t>Evaluation: ROC-AUC, precision/recall (favouring recall given the asymmetric cost of missing a churner vs. a false alarm), and a train/test split stratified by churn status given the class imbalance typical of churn data.</w:t>
      </w:r>
    </w:p>
    <w:p w14:paraId="4F2EA681" w14:textId="77777777" w:rsidR="006E25DC" w:rsidRDefault="00000000">
      <w:pPr>
        <w:pStyle w:val="Heading2"/>
        <w:spacing w:before="220" w:after="120"/>
      </w:pPr>
      <w:r>
        <w:rPr>
          <w:b/>
          <w:bCs/>
          <w:sz w:val="25"/>
          <w:szCs w:val="25"/>
        </w:rPr>
        <w:t>7.5 Tools &amp; Technology Stack</w:t>
      </w:r>
    </w:p>
    <w:p w14:paraId="4BB67F66" w14:textId="77777777" w:rsidR="006E25DC" w:rsidRDefault="00000000">
      <w:pPr>
        <w:pStyle w:val="ListParagraph"/>
        <w:numPr>
          <w:ilvl w:val="0"/>
          <w:numId w:val="2"/>
        </w:numPr>
        <w:spacing w:after="90"/>
      </w:pPr>
      <w:r>
        <w:rPr>
          <w:sz w:val="22"/>
          <w:szCs w:val="22"/>
        </w:rPr>
        <w:t>Python (Pandas, NumPy) for data preparation and feature engineering.</w:t>
      </w:r>
    </w:p>
    <w:p w14:paraId="33425268" w14:textId="77777777" w:rsidR="006E25DC" w:rsidRDefault="00000000">
      <w:pPr>
        <w:pStyle w:val="ListParagraph"/>
        <w:numPr>
          <w:ilvl w:val="0"/>
          <w:numId w:val="2"/>
        </w:numPr>
        <w:spacing w:after="90"/>
      </w:pPr>
      <w:r>
        <w:rPr>
          <w:sz w:val="22"/>
          <w:szCs w:val="22"/>
        </w:rPr>
        <w:t>Matplotlib / Seaborn for exploratory visualization.</w:t>
      </w:r>
    </w:p>
    <w:p w14:paraId="12603E45" w14:textId="77777777" w:rsidR="006E25DC" w:rsidRDefault="00000000">
      <w:pPr>
        <w:pStyle w:val="ListParagraph"/>
        <w:numPr>
          <w:ilvl w:val="0"/>
          <w:numId w:val="2"/>
        </w:numPr>
        <w:spacing w:after="90"/>
      </w:pPr>
      <w:r>
        <w:rPr>
          <w:sz w:val="22"/>
          <w:szCs w:val="22"/>
        </w:rPr>
        <w:t>scikit-learn for clustering (KMeans), classification (LogisticRegression, RandomForestClassifier), and evaluation metrics.</w:t>
      </w:r>
    </w:p>
    <w:p w14:paraId="1141926B" w14:textId="77777777" w:rsidR="006E25DC" w:rsidRDefault="00000000">
      <w:pPr>
        <w:pStyle w:val="ListParagraph"/>
        <w:numPr>
          <w:ilvl w:val="0"/>
          <w:numId w:val="2"/>
        </w:numPr>
        <w:spacing w:after="90"/>
      </w:pPr>
      <w:r>
        <w:rPr>
          <w:sz w:val="22"/>
          <w:szCs w:val="22"/>
        </w:rPr>
        <w:t>SQL for data extraction if working against a live transactional database.</w:t>
      </w:r>
    </w:p>
    <w:p w14:paraId="1B9AD2F0" w14:textId="77777777" w:rsidR="006E25DC" w:rsidRDefault="00000000">
      <w:pPr>
        <w:pStyle w:val="ListParagraph"/>
        <w:numPr>
          <w:ilvl w:val="0"/>
          <w:numId w:val="2"/>
        </w:numPr>
        <w:spacing w:after="90"/>
      </w:pPr>
      <w:r>
        <w:rPr>
          <w:sz w:val="22"/>
          <w:szCs w:val="22"/>
        </w:rPr>
        <w:t>A BI layer (Power BI / Tableau, or a lightweight Python dashboard) for presenting segment and risk-score outputs to non-technical stakeholders.</w:t>
      </w:r>
    </w:p>
    <w:p w14:paraId="1D9B0048" w14:textId="77777777" w:rsidR="006E25DC" w:rsidRDefault="00000000">
      <w:r>
        <w:lastRenderedPageBreak/>
        <w:br w:type="page"/>
      </w:r>
    </w:p>
    <w:p w14:paraId="5E667B62" w14:textId="77777777" w:rsidR="006E25DC" w:rsidRDefault="00000000">
      <w:pPr>
        <w:pStyle w:val="Heading1"/>
        <w:spacing w:before="300" w:after="160"/>
      </w:pPr>
      <w:r>
        <w:rPr>
          <w:b/>
          <w:bCs/>
          <w:color w:val="1F3864"/>
          <w:sz w:val="30"/>
          <w:szCs w:val="30"/>
        </w:rPr>
        <w:lastRenderedPageBreak/>
        <w:t>8. Anticipated Step-by-Step Approach &amp; Timeline</w:t>
      </w:r>
    </w:p>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5700"/>
        <w:gridCol w:w="2000"/>
      </w:tblGrid>
      <w:tr w:rsidR="006E25DC" w14:paraId="5CF3D0E2" w14:textId="77777777">
        <w:tblPrEx>
          <w:tblCellMar>
            <w:top w:w="0" w:type="dxa"/>
            <w:bottom w:w="0" w:type="dxa"/>
          </w:tblCellMar>
        </w:tblPrEx>
        <w:tc>
          <w:tcPr>
            <w:tcW w:w="700" w:type="dxa"/>
            <w:shd w:val="clear" w:color="auto" w:fill="1F3864"/>
          </w:tcPr>
          <w:p w14:paraId="1C984568" w14:textId="77777777" w:rsidR="006E25DC" w:rsidRDefault="00000000">
            <w:r>
              <w:rPr>
                <w:b/>
                <w:bCs/>
                <w:color w:val="FFFFFF"/>
              </w:rPr>
              <w:t>Step</w:t>
            </w:r>
          </w:p>
        </w:tc>
        <w:tc>
          <w:tcPr>
            <w:tcW w:w="5700" w:type="dxa"/>
            <w:shd w:val="clear" w:color="auto" w:fill="1F3864"/>
          </w:tcPr>
          <w:p w14:paraId="18AB625A" w14:textId="77777777" w:rsidR="006E25DC" w:rsidRDefault="00000000">
            <w:r>
              <w:rPr>
                <w:b/>
                <w:bCs/>
                <w:color w:val="FFFFFF"/>
              </w:rPr>
              <w:t>Activity</w:t>
            </w:r>
          </w:p>
        </w:tc>
        <w:tc>
          <w:tcPr>
            <w:tcW w:w="2000" w:type="dxa"/>
            <w:shd w:val="clear" w:color="auto" w:fill="1F3864"/>
          </w:tcPr>
          <w:p w14:paraId="01E8D9AF" w14:textId="77777777" w:rsidR="006E25DC" w:rsidRDefault="00000000">
            <w:r>
              <w:rPr>
                <w:b/>
                <w:bCs/>
                <w:color w:val="FFFFFF"/>
              </w:rPr>
              <w:t>Estimated Time</w:t>
            </w:r>
          </w:p>
        </w:tc>
      </w:tr>
      <w:tr w:rsidR="006E25DC" w14:paraId="756085CE" w14:textId="77777777">
        <w:tblPrEx>
          <w:tblCellMar>
            <w:top w:w="0" w:type="dxa"/>
            <w:bottom w:w="0" w:type="dxa"/>
          </w:tblCellMar>
        </w:tblPrEx>
        <w:tc>
          <w:tcPr>
            <w:tcW w:w="700" w:type="dxa"/>
          </w:tcPr>
          <w:p w14:paraId="10A164CB" w14:textId="77777777" w:rsidR="006E25DC" w:rsidRDefault="00000000">
            <w:r>
              <w:t>1</w:t>
            </w:r>
          </w:p>
        </w:tc>
        <w:tc>
          <w:tcPr>
            <w:tcW w:w="5700" w:type="dxa"/>
          </w:tcPr>
          <w:p w14:paraId="1AA47F70" w14:textId="77777777" w:rsidR="006E25DC" w:rsidRDefault="00000000">
            <w:r>
              <w:t>Industry &amp; literature research; finalize problem statement and hypotheses</w:t>
            </w:r>
          </w:p>
        </w:tc>
        <w:tc>
          <w:tcPr>
            <w:tcW w:w="2000" w:type="dxa"/>
          </w:tcPr>
          <w:p w14:paraId="33B9AE4D" w14:textId="77777777" w:rsidR="006E25DC" w:rsidRDefault="00000000">
            <w:r>
              <w:t>4-5 hrs</w:t>
            </w:r>
          </w:p>
        </w:tc>
      </w:tr>
      <w:tr w:rsidR="006E25DC" w14:paraId="789A5BE0" w14:textId="77777777">
        <w:tblPrEx>
          <w:tblCellMar>
            <w:top w:w="0" w:type="dxa"/>
            <w:bottom w:w="0" w:type="dxa"/>
          </w:tblCellMar>
        </w:tblPrEx>
        <w:tc>
          <w:tcPr>
            <w:tcW w:w="700" w:type="dxa"/>
            <w:shd w:val="clear" w:color="auto" w:fill="F2F2F2"/>
          </w:tcPr>
          <w:p w14:paraId="12FA14C4" w14:textId="77777777" w:rsidR="006E25DC" w:rsidRDefault="00000000">
            <w:r>
              <w:t>2</w:t>
            </w:r>
          </w:p>
        </w:tc>
        <w:tc>
          <w:tcPr>
            <w:tcW w:w="5700" w:type="dxa"/>
            <w:shd w:val="clear" w:color="auto" w:fill="F2F2F2"/>
          </w:tcPr>
          <w:p w14:paraId="1EFB7075" w14:textId="77777777" w:rsidR="006E25DC" w:rsidRDefault="00000000">
            <w:r>
              <w:t>Data sourcing / synthetic data generation and schema design</w:t>
            </w:r>
          </w:p>
        </w:tc>
        <w:tc>
          <w:tcPr>
            <w:tcW w:w="2000" w:type="dxa"/>
            <w:shd w:val="clear" w:color="auto" w:fill="F2F2F2"/>
          </w:tcPr>
          <w:p w14:paraId="2F15F665" w14:textId="77777777" w:rsidR="006E25DC" w:rsidRDefault="00000000">
            <w:r>
              <w:t>4-5 hrs</w:t>
            </w:r>
          </w:p>
        </w:tc>
      </w:tr>
      <w:tr w:rsidR="006E25DC" w14:paraId="7D141484" w14:textId="77777777">
        <w:tblPrEx>
          <w:tblCellMar>
            <w:top w:w="0" w:type="dxa"/>
            <w:bottom w:w="0" w:type="dxa"/>
          </w:tblCellMar>
        </w:tblPrEx>
        <w:tc>
          <w:tcPr>
            <w:tcW w:w="700" w:type="dxa"/>
          </w:tcPr>
          <w:p w14:paraId="54C3A2C0" w14:textId="77777777" w:rsidR="006E25DC" w:rsidRDefault="00000000">
            <w:r>
              <w:t>3</w:t>
            </w:r>
          </w:p>
        </w:tc>
        <w:tc>
          <w:tcPr>
            <w:tcW w:w="5700" w:type="dxa"/>
          </w:tcPr>
          <w:p w14:paraId="70477BAF" w14:textId="77777777" w:rsidR="006E25DC" w:rsidRDefault="00000000">
            <w:r>
              <w:t>Data cleaning, validation, and merging into a single analysis table</w:t>
            </w:r>
          </w:p>
        </w:tc>
        <w:tc>
          <w:tcPr>
            <w:tcW w:w="2000" w:type="dxa"/>
          </w:tcPr>
          <w:p w14:paraId="0160E3E9" w14:textId="77777777" w:rsidR="006E25DC" w:rsidRDefault="00000000">
            <w:r>
              <w:t>4 hrs</w:t>
            </w:r>
          </w:p>
        </w:tc>
      </w:tr>
      <w:tr w:rsidR="006E25DC" w14:paraId="0EEDFE38" w14:textId="77777777">
        <w:tblPrEx>
          <w:tblCellMar>
            <w:top w:w="0" w:type="dxa"/>
            <w:bottom w:w="0" w:type="dxa"/>
          </w:tblCellMar>
        </w:tblPrEx>
        <w:tc>
          <w:tcPr>
            <w:tcW w:w="700" w:type="dxa"/>
            <w:shd w:val="clear" w:color="auto" w:fill="F2F2F2"/>
          </w:tcPr>
          <w:p w14:paraId="066418F9" w14:textId="77777777" w:rsidR="006E25DC" w:rsidRDefault="00000000">
            <w:r>
              <w:t>4</w:t>
            </w:r>
          </w:p>
        </w:tc>
        <w:tc>
          <w:tcPr>
            <w:tcW w:w="5700" w:type="dxa"/>
            <w:shd w:val="clear" w:color="auto" w:fill="F2F2F2"/>
          </w:tcPr>
          <w:p w14:paraId="491EC1A1" w14:textId="77777777" w:rsidR="006E25DC" w:rsidRDefault="00000000">
            <w:r>
              <w:t>Exploratory data analysis and visualization</w:t>
            </w:r>
          </w:p>
        </w:tc>
        <w:tc>
          <w:tcPr>
            <w:tcW w:w="2000" w:type="dxa"/>
            <w:shd w:val="clear" w:color="auto" w:fill="F2F2F2"/>
          </w:tcPr>
          <w:p w14:paraId="3BF707AB" w14:textId="77777777" w:rsidR="006E25DC" w:rsidRDefault="00000000">
            <w:r>
              <w:t>5-6 hrs</w:t>
            </w:r>
          </w:p>
        </w:tc>
      </w:tr>
      <w:tr w:rsidR="006E25DC" w14:paraId="69D99E52" w14:textId="77777777">
        <w:tblPrEx>
          <w:tblCellMar>
            <w:top w:w="0" w:type="dxa"/>
            <w:bottom w:w="0" w:type="dxa"/>
          </w:tblCellMar>
        </w:tblPrEx>
        <w:tc>
          <w:tcPr>
            <w:tcW w:w="700" w:type="dxa"/>
          </w:tcPr>
          <w:p w14:paraId="5B3E6EAD" w14:textId="77777777" w:rsidR="006E25DC" w:rsidRDefault="00000000">
            <w:r>
              <w:t>5</w:t>
            </w:r>
          </w:p>
        </w:tc>
        <w:tc>
          <w:tcPr>
            <w:tcW w:w="5700" w:type="dxa"/>
          </w:tcPr>
          <w:p w14:paraId="0528D5DE" w14:textId="77777777" w:rsidR="006E25DC" w:rsidRDefault="00000000">
            <w:r>
              <w:t>Feature engineering (RFM + engagement decay + product-fit score)</w:t>
            </w:r>
          </w:p>
        </w:tc>
        <w:tc>
          <w:tcPr>
            <w:tcW w:w="2000" w:type="dxa"/>
          </w:tcPr>
          <w:p w14:paraId="0AA15229" w14:textId="77777777" w:rsidR="006E25DC" w:rsidRDefault="00000000">
            <w:r>
              <w:t>4 hrs</w:t>
            </w:r>
          </w:p>
        </w:tc>
      </w:tr>
      <w:tr w:rsidR="006E25DC" w14:paraId="18C8A955" w14:textId="77777777">
        <w:tblPrEx>
          <w:tblCellMar>
            <w:top w:w="0" w:type="dxa"/>
            <w:bottom w:w="0" w:type="dxa"/>
          </w:tblCellMar>
        </w:tblPrEx>
        <w:tc>
          <w:tcPr>
            <w:tcW w:w="700" w:type="dxa"/>
            <w:shd w:val="clear" w:color="auto" w:fill="F2F2F2"/>
          </w:tcPr>
          <w:p w14:paraId="5C9BAF2A" w14:textId="77777777" w:rsidR="006E25DC" w:rsidRDefault="00000000">
            <w:r>
              <w:t>6</w:t>
            </w:r>
          </w:p>
        </w:tc>
        <w:tc>
          <w:tcPr>
            <w:tcW w:w="5700" w:type="dxa"/>
            <w:shd w:val="clear" w:color="auto" w:fill="F2F2F2"/>
          </w:tcPr>
          <w:p w14:paraId="5B9BD65E" w14:textId="77777777" w:rsidR="006E25DC" w:rsidRDefault="00000000">
            <w:r>
              <w:t>Clustering (customer segmentation) and interpretation</w:t>
            </w:r>
          </w:p>
        </w:tc>
        <w:tc>
          <w:tcPr>
            <w:tcW w:w="2000" w:type="dxa"/>
            <w:shd w:val="clear" w:color="auto" w:fill="F2F2F2"/>
          </w:tcPr>
          <w:p w14:paraId="047BB483" w14:textId="77777777" w:rsidR="006E25DC" w:rsidRDefault="00000000">
            <w:r>
              <w:t>3-4 hrs</w:t>
            </w:r>
          </w:p>
        </w:tc>
      </w:tr>
      <w:tr w:rsidR="006E25DC" w14:paraId="7158913C" w14:textId="77777777">
        <w:tblPrEx>
          <w:tblCellMar>
            <w:top w:w="0" w:type="dxa"/>
            <w:bottom w:w="0" w:type="dxa"/>
          </w:tblCellMar>
        </w:tblPrEx>
        <w:tc>
          <w:tcPr>
            <w:tcW w:w="700" w:type="dxa"/>
          </w:tcPr>
          <w:p w14:paraId="6514EE01" w14:textId="77777777" w:rsidR="006E25DC" w:rsidRDefault="00000000">
            <w:r>
              <w:t>7</w:t>
            </w:r>
          </w:p>
        </w:tc>
        <w:tc>
          <w:tcPr>
            <w:tcW w:w="5700" w:type="dxa"/>
          </w:tcPr>
          <w:p w14:paraId="6EFB8B2E" w14:textId="77777777" w:rsidR="006E25DC" w:rsidRDefault="00000000">
            <w:r>
              <w:t>Predictive modelling (logistic regression + tree-based model) and evaluation</w:t>
            </w:r>
          </w:p>
        </w:tc>
        <w:tc>
          <w:tcPr>
            <w:tcW w:w="2000" w:type="dxa"/>
          </w:tcPr>
          <w:p w14:paraId="4317565A" w14:textId="77777777" w:rsidR="006E25DC" w:rsidRDefault="00000000">
            <w:r>
              <w:t>5-6 hrs</w:t>
            </w:r>
          </w:p>
        </w:tc>
      </w:tr>
      <w:tr w:rsidR="006E25DC" w14:paraId="33F360F6" w14:textId="77777777">
        <w:tblPrEx>
          <w:tblCellMar>
            <w:top w:w="0" w:type="dxa"/>
            <w:bottom w:w="0" w:type="dxa"/>
          </w:tblCellMar>
        </w:tblPrEx>
        <w:tc>
          <w:tcPr>
            <w:tcW w:w="700" w:type="dxa"/>
            <w:shd w:val="clear" w:color="auto" w:fill="F2F2F2"/>
          </w:tcPr>
          <w:p w14:paraId="6DC8A321" w14:textId="77777777" w:rsidR="006E25DC" w:rsidRDefault="00000000">
            <w:r>
              <w:t>8</w:t>
            </w:r>
          </w:p>
        </w:tc>
        <w:tc>
          <w:tcPr>
            <w:tcW w:w="5700" w:type="dxa"/>
            <w:shd w:val="clear" w:color="auto" w:fill="F2F2F2"/>
          </w:tcPr>
          <w:p w14:paraId="45271E67" w14:textId="77777777" w:rsidR="006E25DC" w:rsidRDefault="00000000">
            <w:r>
              <w:t>Findings synthesis, business recommendations, and documentation</w:t>
            </w:r>
          </w:p>
        </w:tc>
        <w:tc>
          <w:tcPr>
            <w:tcW w:w="2000" w:type="dxa"/>
            <w:shd w:val="clear" w:color="auto" w:fill="F2F2F2"/>
          </w:tcPr>
          <w:p w14:paraId="08C6212D" w14:textId="77777777" w:rsidR="006E25DC" w:rsidRDefault="00000000">
            <w:r>
              <w:t>4-5 hrs</w:t>
            </w:r>
          </w:p>
        </w:tc>
      </w:tr>
    </w:tbl>
    <w:p w14:paraId="1ADB9E41" w14:textId="77777777" w:rsidR="006E25DC" w:rsidRDefault="00000000">
      <w:pPr>
        <w:spacing w:after="160" w:line="300" w:lineRule="auto"/>
        <w:jc w:val="both"/>
      </w:pPr>
      <w:r>
        <w:rPr>
          <w:sz w:val="22"/>
          <w:szCs w:val="22"/>
        </w:rPr>
        <w:t>Total estimated effort: approximately 33-35 hours, aligned with the task's expected scope. This orientation and problem-definition document itself corresponds to Steps 1 (and partially 2), with Steps 3-8 forming the subsequent hands-on analysis phase.</w:t>
      </w:r>
    </w:p>
    <w:p w14:paraId="7652D1C4" w14:textId="77777777" w:rsidR="006E25DC" w:rsidRDefault="00000000">
      <w:r>
        <w:br w:type="page"/>
      </w:r>
    </w:p>
    <w:p w14:paraId="62464835" w14:textId="77777777" w:rsidR="006E25DC" w:rsidRDefault="00000000">
      <w:pPr>
        <w:pStyle w:val="Heading1"/>
        <w:spacing w:before="300" w:after="160"/>
      </w:pPr>
      <w:r>
        <w:rPr>
          <w:b/>
          <w:bCs/>
          <w:color w:val="1F3864"/>
          <w:sz w:val="30"/>
          <w:szCs w:val="30"/>
        </w:rPr>
        <w:lastRenderedPageBreak/>
        <w:t>9. Expected Deliverables &amp; Success Metrics</w:t>
      </w:r>
    </w:p>
    <w:p w14:paraId="3D4D0AC5" w14:textId="77777777" w:rsidR="006E25DC" w:rsidRDefault="00000000">
      <w:pPr>
        <w:pStyle w:val="Heading2"/>
        <w:spacing w:before="220" w:after="120"/>
      </w:pPr>
      <w:r>
        <w:rPr>
          <w:b/>
          <w:bCs/>
          <w:sz w:val="25"/>
          <w:szCs w:val="25"/>
        </w:rPr>
        <w:t>9.1 Deliverables</w:t>
      </w:r>
    </w:p>
    <w:p w14:paraId="4FA30886" w14:textId="77777777" w:rsidR="006E25DC" w:rsidRDefault="00000000">
      <w:pPr>
        <w:pStyle w:val="ListParagraph"/>
        <w:numPr>
          <w:ilvl w:val="0"/>
          <w:numId w:val="2"/>
        </w:numPr>
        <w:spacing w:after="90"/>
      </w:pPr>
      <w:r>
        <w:rPr>
          <w:sz w:val="22"/>
          <w:szCs w:val="22"/>
        </w:rPr>
        <w:t>A cleaned, documented subscriber-level dataset (real or realistically synthetic).</w:t>
      </w:r>
    </w:p>
    <w:p w14:paraId="3C8AD82B" w14:textId="77777777" w:rsidR="006E25DC" w:rsidRDefault="00000000">
      <w:pPr>
        <w:pStyle w:val="ListParagraph"/>
        <w:numPr>
          <w:ilvl w:val="0"/>
          <w:numId w:val="2"/>
        </w:numPr>
        <w:spacing w:after="90"/>
      </w:pPr>
      <w:r>
        <w:rPr>
          <w:sz w:val="22"/>
          <w:szCs w:val="22"/>
        </w:rPr>
        <w:t>An EDA report covering churn trends, cohort behaviour, and correlation analysis.</w:t>
      </w:r>
    </w:p>
    <w:p w14:paraId="3593BB25" w14:textId="77777777" w:rsidR="006E25DC" w:rsidRDefault="00000000">
      <w:pPr>
        <w:pStyle w:val="ListParagraph"/>
        <w:numPr>
          <w:ilvl w:val="0"/>
          <w:numId w:val="2"/>
        </w:numPr>
        <w:spacing w:after="90"/>
      </w:pPr>
      <w:r>
        <w:rPr>
          <w:sz w:val="22"/>
          <w:szCs w:val="22"/>
        </w:rPr>
        <w:t>A customer segmentation (RFM + engagement clusters) with business-friendly segment labels and recommended actions per segment.</w:t>
      </w:r>
    </w:p>
    <w:p w14:paraId="7F7F45E4" w14:textId="77777777" w:rsidR="006E25DC" w:rsidRDefault="00000000">
      <w:pPr>
        <w:pStyle w:val="ListParagraph"/>
        <w:numPr>
          <w:ilvl w:val="0"/>
          <w:numId w:val="2"/>
        </w:numPr>
        <w:spacing w:after="90"/>
      </w:pPr>
      <w:r>
        <w:rPr>
          <w:sz w:val="22"/>
          <w:szCs w:val="22"/>
        </w:rPr>
        <w:t>A churn prediction model with documented performance (ROC-AUC, precision/recall) and a ranked list of the strongest churn drivers.</w:t>
      </w:r>
    </w:p>
    <w:p w14:paraId="50A938A8" w14:textId="77777777" w:rsidR="006E25DC" w:rsidRDefault="00000000">
      <w:pPr>
        <w:pStyle w:val="ListParagraph"/>
        <w:numPr>
          <w:ilvl w:val="0"/>
          <w:numId w:val="2"/>
        </w:numPr>
        <w:spacing w:after="90"/>
      </w:pPr>
      <w:r>
        <w:rPr>
          <w:sz w:val="22"/>
          <w:szCs w:val="22"/>
        </w:rPr>
        <w:t>A findings and recommendations report translating model output into concrete retention actions.</w:t>
      </w:r>
    </w:p>
    <w:p w14:paraId="06EF768D" w14:textId="77777777" w:rsidR="006E25DC" w:rsidRDefault="00000000">
      <w:pPr>
        <w:pStyle w:val="Heading2"/>
        <w:spacing w:before="220" w:after="120"/>
      </w:pPr>
      <w:r>
        <w:rPr>
          <w:b/>
          <w:bCs/>
          <w:sz w:val="25"/>
          <w:szCs w:val="25"/>
        </w:rPr>
        <w:t>9.2 Success Metrics</w:t>
      </w:r>
    </w:p>
    <w:p w14:paraId="2BA3B9D1" w14:textId="77777777" w:rsidR="006E25DC" w:rsidRDefault="00000000">
      <w:pPr>
        <w:pStyle w:val="ListParagraph"/>
        <w:numPr>
          <w:ilvl w:val="0"/>
          <w:numId w:val="2"/>
        </w:numPr>
        <w:spacing w:after="90"/>
      </w:pPr>
      <w:r>
        <w:rPr>
          <w:sz w:val="22"/>
          <w:szCs w:val="22"/>
        </w:rPr>
        <w:t>Model achieves meaningfully better-than-random churn discrimination (ROC-AUC materially above 0.5, targeting 0.70+ as a reasonable applied benchmark).</w:t>
      </w:r>
    </w:p>
    <w:p w14:paraId="431C626A" w14:textId="77777777" w:rsidR="006E25DC" w:rsidRDefault="00000000">
      <w:pPr>
        <w:pStyle w:val="ListParagraph"/>
        <w:numPr>
          <w:ilvl w:val="0"/>
          <w:numId w:val="2"/>
        </w:numPr>
        <w:spacing w:after="90"/>
      </w:pPr>
      <w:r>
        <w:rPr>
          <w:sz w:val="22"/>
          <w:szCs w:val="22"/>
        </w:rPr>
        <w:t>At least 2-3 clearly interpretable churn drivers identified and validated against the stated hypotheses (H1-H4).</w:t>
      </w:r>
    </w:p>
    <w:p w14:paraId="32F84E08" w14:textId="77777777" w:rsidR="006E25DC" w:rsidRDefault="00000000">
      <w:pPr>
        <w:pStyle w:val="ListParagraph"/>
        <w:numPr>
          <w:ilvl w:val="0"/>
          <w:numId w:val="2"/>
        </w:numPr>
        <w:spacing w:after="90"/>
      </w:pPr>
      <w:r>
        <w:rPr>
          <w:sz w:val="22"/>
          <w:szCs w:val="22"/>
        </w:rPr>
        <w:t>Segment definitions are distinct and actionable enough that a marketing stakeholder could assign a differentiated retention tactic to each one without further analysis.</w:t>
      </w:r>
    </w:p>
    <w:p w14:paraId="7AD6545B" w14:textId="77777777" w:rsidR="006E25DC" w:rsidRDefault="00000000">
      <w:r>
        <w:br w:type="page"/>
      </w:r>
    </w:p>
    <w:p w14:paraId="0B6F23E5" w14:textId="77777777" w:rsidR="006E25DC" w:rsidRDefault="00000000">
      <w:pPr>
        <w:pStyle w:val="Heading1"/>
        <w:spacing w:before="300" w:after="160"/>
      </w:pPr>
      <w:r>
        <w:rPr>
          <w:b/>
          <w:bCs/>
          <w:color w:val="1F3864"/>
          <w:sz w:val="30"/>
          <w:szCs w:val="30"/>
        </w:rPr>
        <w:lastRenderedPageBreak/>
        <w:t>10. Limitations &amp; Risks</w:t>
      </w:r>
    </w:p>
    <w:p w14:paraId="41C0ACFB" w14:textId="77777777" w:rsidR="006E25DC" w:rsidRDefault="00000000">
      <w:pPr>
        <w:pStyle w:val="ListParagraph"/>
        <w:numPr>
          <w:ilvl w:val="0"/>
          <w:numId w:val="2"/>
        </w:numPr>
        <w:spacing w:after="90"/>
      </w:pPr>
      <w:r>
        <w:rPr>
          <w:sz w:val="22"/>
          <w:szCs w:val="22"/>
        </w:rPr>
        <w:t>Data availability: engagement data (email/app activity) is often held in separate marketing-automation systems and may be harder to access or join cleanly than transactional data.</w:t>
      </w:r>
    </w:p>
    <w:p w14:paraId="17B8FA25" w14:textId="77777777" w:rsidR="006E25DC" w:rsidRDefault="00000000">
      <w:pPr>
        <w:pStyle w:val="ListParagraph"/>
        <w:numPr>
          <w:ilvl w:val="0"/>
          <w:numId w:val="2"/>
        </w:numPr>
        <w:spacing w:after="90"/>
      </w:pPr>
      <w:r>
        <w:rPr>
          <w:sz w:val="22"/>
          <w:szCs w:val="22"/>
        </w:rPr>
        <w:t>Label leakage risk: care must be taken that features used to predict churn (e.g. "customer paused account") are not themselves just a restatement of the churn event.</w:t>
      </w:r>
    </w:p>
    <w:p w14:paraId="2E611291" w14:textId="77777777" w:rsidR="006E25DC" w:rsidRDefault="00000000">
      <w:pPr>
        <w:pStyle w:val="ListParagraph"/>
        <w:numPr>
          <w:ilvl w:val="0"/>
          <w:numId w:val="2"/>
        </w:numPr>
        <w:spacing w:after="90"/>
      </w:pPr>
      <w:r>
        <w:rPr>
          <w:sz w:val="22"/>
          <w:szCs w:val="22"/>
        </w:rPr>
        <w:t>Class imbalance: churners are typically a minority class, requiring stratified sampling, class-weighting, or resampling techniques and evaluation metrics beyond raw accuracy.</w:t>
      </w:r>
    </w:p>
    <w:p w14:paraId="5D121632" w14:textId="77777777" w:rsidR="006E25DC" w:rsidRDefault="00000000">
      <w:pPr>
        <w:pStyle w:val="ListParagraph"/>
        <w:numPr>
          <w:ilvl w:val="0"/>
          <w:numId w:val="2"/>
        </w:numPr>
        <w:spacing w:after="90"/>
      </w:pPr>
      <w:r>
        <w:rPr>
          <w:sz w:val="22"/>
          <w:szCs w:val="22"/>
        </w:rPr>
        <w:t>External validity: because industry benchmark figures (churn rates, market size) are drawn from secondary/aggregated industry sources rather than a single company's ground truth, they should be treated as directional context, not exact targets for any specific business.</w:t>
      </w:r>
    </w:p>
    <w:p w14:paraId="19EA6DFC" w14:textId="77777777" w:rsidR="006E25DC" w:rsidRDefault="00000000">
      <w:pPr>
        <w:pStyle w:val="ListParagraph"/>
        <w:numPr>
          <w:ilvl w:val="0"/>
          <w:numId w:val="2"/>
        </w:numPr>
        <w:spacing w:after="90"/>
      </w:pPr>
      <w:r>
        <w:rPr>
          <w:sz w:val="22"/>
          <w:szCs w:val="22"/>
        </w:rPr>
        <w:t>If working with a synthetically generated dataset, findings should be explicitly framed as a proof-of-concept for the analytical approach, to be re-validated once real subscriber data is available.</w:t>
      </w:r>
    </w:p>
    <w:p w14:paraId="518A0CA6" w14:textId="77777777" w:rsidR="006E25DC" w:rsidRDefault="00000000">
      <w:r>
        <w:br w:type="page"/>
      </w:r>
    </w:p>
    <w:p w14:paraId="38142DAC" w14:textId="77777777" w:rsidR="006E25DC" w:rsidRDefault="00000000">
      <w:pPr>
        <w:pStyle w:val="Heading1"/>
        <w:spacing w:before="300" w:after="160"/>
      </w:pPr>
      <w:r>
        <w:rPr>
          <w:b/>
          <w:bCs/>
          <w:color w:val="1F3864"/>
          <w:sz w:val="30"/>
          <w:szCs w:val="30"/>
        </w:rPr>
        <w:lastRenderedPageBreak/>
        <w:t>11. Conclusion</w:t>
      </w:r>
    </w:p>
    <w:p w14:paraId="7928F280" w14:textId="77777777" w:rsidR="006E25DC" w:rsidRDefault="00000000">
      <w:pPr>
        <w:spacing w:after="160" w:line="300" w:lineRule="auto"/>
        <w:jc w:val="both"/>
      </w:pPr>
      <w:r>
        <w:rPr>
          <w:sz w:val="22"/>
          <w:szCs w:val="22"/>
        </w:rPr>
        <w:t>The beauty and wellness industry's rapid shift toward subscription and personalization-based business models has created a well-documented and economically significant churn problem — one where the cost of inaction (10-15% monthly churn, 5-25x more expensive replacement acquisition) is high and well quantified in industry research. This document has defined a focused, data-science-tractable version of that problem: predicting subscriber churn from transactional and engagement data, and identifying the behavioural drivers behind it. The proposed approach — combining RFM-based segmentation with supervised churn modelling — is deliberately chosen to produce outputs (segments, risk scores, ranked drivers) that translate directly into marketing and retention action, rather than a purely academic modelling exercise. This orientation and problem-definition phase establishes the conceptual and methodological foundation for the hands-on data analysis work to follow.</w:t>
      </w:r>
    </w:p>
    <w:p w14:paraId="32EC2298" w14:textId="77777777" w:rsidR="006E25DC" w:rsidRDefault="00000000">
      <w:r>
        <w:br w:type="page"/>
      </w:r>
    </w:p>
    <w:p w14:paraId="27F7F211" w14:textId="77777777" w:rsidR="006E25DC" w:rsidRDefault="00000000">
      <w:pPr>
        <w:pStyle w:val="Heading1"/>
        <w:spacing w:before="300" w:after="160"/>
      </w:pPr>
      <w:r>
        <w:rPr>
          <w:b/>
          <w:bCs/>
          <w:color w:val="1F3864"/>
          <w:sz w:val="30"/>
          <w:szCs w:val="30"/>
        </w:rPr>
        <w:lastRenderedPageBreak/>
        <w:t>12. References</w:t>
      </w:r>
    </w:p>
    <w:p w14:paraId="6E0E4FA3" w14:textId="77777777" w:rsidR="006E25DC" w:rsidRDefault="00000000">
      <w:pPr>
        <w:pStyle w:val="ListParagraph"/>
        <w:numPr>
          <w:ilvl w:val="0"/>
          <w:numId w:val="2"/>
        </w:numPr>
        <w:spacing w:after="90"/>
      </w:pPr>
      <w:r>
        <w:rPr>
          <w:sz w:val="22"/>
          <w:szCs w:val="22"/>
        </w:rPr>
        <w:t>The Business Research Company (2026). Beauty And Wellness Global Market Report 2026.</w:t>
      </w:r>
    </w:p>
    <w:p w14:paraId="36121BC6" w14:textId="77777777" w:rsidR="006E25DC" w:rsidRDefault="00000000">
      <w:pPr>
        <w:pStyle w:val="ListParagraph"/>
        <w:numPr>
          <w:ilvl w:val="0"/>
          <w:numId w:val="2"/>
        </w:numPr>
        <w:spacing w:after="90"/>
      </w:pPr>
      <w:r>
        <w:rPr>
          <w:sz w:val="22"/>
          <w:szCs w:val="22"/>
        </w:rPr>
        <w:t>Attest (2026). Beauty Industry Market Size &amp; Trends 2026.</w:t>
      </w:r>
    </w:p>
    <w:p w14:paraId="6FC042A2" w14:textId="77777777" w:rsidR="006E25DC" w:rsidRDefault="00000000">
      <w:pPr>
        <w:pStyle w:val="ListParagraph"/>
        <w:numPr>
          <w:ilvl w:val="0"/>
          <w:numId w:val="2"/>
        </w:numPr>
        <w:spacing w:after="90"/>
      </w:pPr>
      <w:r>
        <w:rPr>
          <w:sz w:val="22"/>
          <w:szCs w:val="22"/>
        </w:rPr>
        <w:t>Capital Counselor (2026). How Much Is the Beauty Industry Worth in 2026?</w:t>
      </w:r>
    </w:p>
    <w:p w14:paraId="3DC93A89" w14:textId="77777777" w:rsidR="006E25DC" w:rsidRDefault="00000000">
      <w:pPr>
        <w:pStyle w:val="ListParagraph"/>
        <w:numPr>
          <w:ilvl w:val="0"/>
          <w:numId w:val="2"/>
        </w:numPr>
        <w:spacing w:after="90"/>
      </w:pPr>
      <w:r>
        <w:rPr>
          <w:sz w:val="22"/>
          <w:szCs w:val="22"/>
        </w:rPr>
        <w:t>DemandSage (2026). Beauty Industry Statistics 2026 (Cosmetic Market Size &amp; Growth).</w:t>
      </w:r>
    </w:p>
    <w:p w14:paraId="6BD77302" w14:textId="77777777" w:rsidR="006E25DC" w:rsidRDefault="00000000">
      <w:pPr>
        <w:pStyle w:val="ListParagraph"/>
        <w:numPr>
          <w:ilvl w:val="0"/>
          <w:numId w:val="2"/>
        </w:numPr>
        <w:spacing w:after="90"/>
      </w:pPr>
      <w:r>
        <w:rPr>
          <w:sz w:val="22"/>
          <w:szCs w:val="22"/>
        </w:rPr>
        <w:t>Ringly (2026). 38 Subscription Box Statistics You Need to Know in 2026 (citing IMARC Group and Recharge).</w:t>
      </w:r>
    </w:p>
    <w:p w14:paraId="4363FA61" w14:textId="77777777" w:rsidR="006E25DC" w:rsidRDefault="00000000">
      <w:pPr>
        <w:pStyle w:val="ListParagraph"/>
        <w:numPr>
          <w:ilvl w:val="0"/>
          <w:numId w:val="2"/>
        </w:numPr>
        <w:spacing w:after="90"/>
      </w:pPr>
      <w:r>
        <w:rPr>
          <w:sz w:val="22"/>
          <w:szCs w:val="22"/>
        </w:rPr>
        <w:t>Churnkey (2026). Average Churn Rates for Subscription Services: Data From 8 Industries.</w:t>
      </w:r>
    </w:p>
    <w:p w14:paraId="6D892F61" w14:textId="77777777" w:rsidR="006E25DC" w:rsidRDefault="00000000">
      <w:pPr>
        <w:pStyle w:val="ListParagraph"/>
        <w:numPr>
          <w:ilvl w:val="0"/>
          <w:numId w:val="2"/>
        </w:numPr>
        <w:spacing w:after="90"/>
      </w:pPr>
      <w:r>
        <w:rPr>
          <w:sz w:val="22"/>
          <w:szCs w:val="22"/>
        </w:rPr>
        <w:t>AccountancyCloud. Customer Retention Post Lockdown: Stopping the Subscription Box Churn (citing McKinsey &amp; Company).</w:t>
      </w:r>
    </w:p>
    <w:p w14:paraId="42EB9BC4" w14:textId="77777777" w:rsidR="006E25DC" w:rsidRDefault="00000000">
      <w:pPr>
        <w:pStyle w:val="ListParagraph"/>
        <w:numPr>
          <w:ilvl w:val="0"/>
          <w:numId w:val="2"/>
        </w:numPr>
        <w:spacing w:after="90"/>
      </w:pPr>
      <w:r>
        <w:rPr>
          <w:sz w:val="22"/>
          <w:szCs w:val="22"/>
        </w:rPr>
        <w:t>Yotpo / Invesp, citing Harvard Business Review (2014). The Value of Keeping the Right Customers.</w:t>
      </w:r>
    </w:p>
    <w:p w14:paraId="63C38E09" w14:textId="77777777" w:rsidR="006E25DC" w:rsidRDefault="00000000">
      <w:r>
        <w:br w:type="page"/>
      </w:r>
    </w:p>
    <w:p w14:paraId="602CD552" w14:textId="77777777" w:rsidR="006E25DC" w:rsidRDefault="00000000">
      <w:pPr>
        <w:pStyle w:val="Heading1"/>
        <w:spacing w:before="300" w:after="160"/>
      </w:pPr>
      <w:r>
        <w:rPr>
          <w:b/>
          <w:bCs/>
          <w:color w:val="1F3864"/>
          <w:sz w:val="30"/>
          <w:szCs w:val="30"/>
        </w:rPr>
        <w:lastRenderedPageBreak/>
        <w:t>Appendix A: Data Dictionary</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800"/>
        <w:gridCol w:w="4400"/>
      </w:tblGrid>
      <w:tr w:rsidR="006E25DC" w14:paraId="33B7E3B4" w14:textId="77777777">
        <w:tblPrEx>
          <w:tblCellMar>
            <w:top w:w="0" w:type="dxa"/>
            <w:bottom w:w="0" w:type="dxa"/>
          </w:tblCellMar>
        </w:tblPrEx>
        <w:tc>
          <w:tcPr>
            <w:tcW w:w="2400" w:type="dxa"/>
            <w:shd w:val="clear" w:color="auto" w:fill="1F3864"/>
          </w:tcPr>
          <w:p w14:paraId="330093C4" w14:textId="77777777" w:rsidR="006E25DC" w:rsidRDefault="00000000">
            <w:r>
              <w:rPr>
                <w:b/>
                <w:bCs/>
                <w:color w:val="FFFFFF"/>
              </w:rPr>
              <w:t>Field</w:t>
            </w:r>
          </w:p>
        </w:tc>
        <w:tc>
          <w:tcPr>
            <w:tcW w:w="1800" w:type="dxa"/>
            <w:shd w:val="clear" w:color="auto" w:fill="1F3864"/>
          </w:tcPr>
          <w:p w14:paraId="38318C09" w14:textId="77777777" w:rsidR="006E25DC" w:rsidRDefault="00000000">
            <w:r>
              <w:rPr>
                <w:b/>
                <w:bCs/>
                <w:color w:val="FFFFFF"/>
              </w:rPr>
              <w:t>Type</w:t>
            </w:r>
          </w:p>
        </w:tc>
        <w:tc>
          <w:tcPr>
            <w:tcW w:w="4400" w:type="dxa"/>
            <w:shd w:val="clear" w:color="auto" w:fill="1F3864"/>
          </w:tcPr>
          <w:p w14:paraId="5FD61A32" w14:textId="77777777" w:rsidR="006E25DC" w:rsidRDefault="00000000">
            <w:r>
              <w:rPr>
                <w:b/>
                <w:bCs/>
                <w:color w:val="FFFFFF"/>
              </w:rPr>
              <w:t>Description</w:t>
            </w:r>
          </w:p>
        </w:tc>
      </w:tr>
      <w:tr w:rsidR="006E25DC" w14:paraId="05C73015" w14:textId="77777777">
        <w:tblPrEx>
          <w:tblCellMar>
            <w:top w:w="0" w:type="dxa"/>
            <w:bottom w:w="0" w:type="dxa"/>
          </w:tblCellMar>
        </w:tblPrEx>
        <w:tc>
          <w:tcPr>
            <w:tcW w:w="2400" w:type="dxa"/>
          </w:tcPr>
          <w:p w14:paraId="30A74DAD" w14:textId="77777777" w:rsidR="006E25DC" w:rsidRDefault="00000000">
            <w:r>
              <w:t>customer_id</w:t>
            </w:r>
          </w:p>
        </w:tc>
        <w:tc>
          <w:tcPr>
            <w:tcW w:w="1800" w:type="dxa"/>
          </w:tcPr>
          <w:p w14:paraId="1D5BC529" w14:textId="77777777" w:rsidR="006E25DC" w:rsidRDefault="00000000">
            <w:r>
              <w:t>String</w:t>
            </w:r>
          </w:p>
        </w:tc>
        <w:tc>
          <w:tcPr>
            <w:tcW w:w="4400" w:type="dxa"/>
          </w:tcPr>
          <w:p w14:paraId="64A76B2B" w14:textId="77777777" w:rsidR="006E25DC" w:rsidRDefault="00000000">
            <w:r>
              <w:t>Unique subscriber identifier</w:t>
            </w:r>
          </w:p>
        </w:tc>
      </w:tr>
      <w:tr w:rsidR="006E25DC" w14:paraId="04E28BB6" w14:textId="77777777">
        <w:tblPrEx>
          <w:tblCellMar>
            <w:top w:w="0" w:type="dxa"/>
            <w:bottom w:w="0" w:type="dxa"/>
          </w:tblCellMar>
        </w:tblPrEx>
        <w:tc>
          <w:tcPr>
            <w:tcW w:w="2400" w:type="dxa"/>
            <w:shd w:val="clear" w:color="auto" w:fill="F2F2F2"/>
          </w:tcPr>
          <w:p w14:paraId="458C58D7" w14:textId="77777777" w:rsidR="006E25DC" w:rsidRDefault="00000000">
            <w:r>
              <w:t>signup_date</w:t>
            </w:r>
          </w:p>
        </w:tc>
        <w:tc>
          <w:tcPr>
            <w:tcW w:w="1800" w:type="dxa"/>
            <w:shd w:val="clear" w:color="auto" w:fill="F2F2F2"/>
          </w:tcPr>
          <w:p w14:paraId="34390753" w14:textId="77777777" w:rsidR="006E25DC" w:rsidRDefault="00000000">
            <w:r>
              <w:t>Date</w:t>
            </w:r>
          </w:p>
        </w:tc>
        <w:tc>
          <w:tcPr>
            <w:tcW w:w="4400" w:type="dxa"/>
            <w:shd w:val="clear" w:color="auto" w:fill="F2F2F2"/>
          </w:tcPr>
          <w:p w14:paraId="0ADABF1E" w14:textId="77777777" w:rsidR="006E25DC" w:rsidRDefault="00000000">
            <w:r>
              <w:t>Date subscriber joined</w:t>
            </w:r>
          </w:p>
        </w:tc>
      </w:tr>
      <w:tr w:rsidR="006E25DC" w14:paraId="4C5D727A" w14:textId="77777777">
        <w:tblPrEx>
          <w:tblCellMar>
            <w:top w:w="0" w:type="dxa"/>
            <w:bottom w:w="0" w:type="dxa"/>
          </w:tblCellMar>
        </w:tblPrEx>
        <w:tc>
          <w:tcPr>
            <w:tcW w:w="2400" w:type="dxa"/>
          </w:tcPr>
          <w:p w14:paraId="0216863C" w14:textId="77777777" w:rsidR="006E25DC" w:rsidRDefault="00000000">
            <w:r>
              <w:t>order_date</w:t>
            </w:r>
          </w:p>
        </w:tc>
        <w:tc>
          <w:tcPr>
            <w:tcW w:w="1800" w:type="dxa"/>
          </w:tcPr>
          <w:p w14:paraId="3528595B" w14:textId="77777777" w:rsidR="006E25DC" w:rsidRDefault="00000000">
            <w:r>
              <w:t>Date</w:t>
            </w:r>
          </w:p>
        </w:tc>
        <w:tc>
          <w:tcPr>
            <w:tcW w:w="4400" w:type="dxa"/>
          </w:tcPr>
          <w:p w14:paraId="67F8BC52" w14:textId="77777777" w:rsidR="006E25DC" w:rsidRDefault="00000000">
            <w:r>
              <w:t>Date of each billing/shipment event</w:t>
            </w:r>
          </w:p>
        </w:tc>
      </w:tr>
      <w:tr w:rsidR="006E25DC" w14:paraId="69063029" w14:textId="77777777">
        <w:tblPrEx>
          <w:tblCellMar>
            <w:top w:w="0" w:type="dxa"/>
            <w:bottom w:w="0" w:type="dxa"/>
          </w:tblCellMar>
        </w:tblPrEx>
        <w:tc>
          <w:tcPr>
            <w:tcW w:w="2400" w:type="dxa"/>
            <w:shd w:val="clear" w:color="auto" w:fill="F2F2F2"/>
          </w:tcPr>
          <w:p w14:paraId="37FD803F" w14:textId="77777777" w:rsidR="006E25DC" w:rsidRDefault="00000000">
            <w:r>
              <w:t>plan_tier</w:t>
            </w:r>
          </w:p>
        </w:tc>
        <w:tc>
          <w:tcPr>
            <w:tcW w:w="1800" w:type="dxa"/>
            <w:shd w:val="clear" w:color="auto" w:fill="F2F2F2"/>
          </w:tcPr>
          <w:p w14:paraId="132DC722" w14:textId="77777777" w:rsidR="006E25DC" w:rsidRDefault="00000000">
            <w:r>
              <w:t>String</w:t>
            </w:r>
          </w:p>
        </w:tc>
        <w:tc>
          <w:tcPr>
            <w:tcW w:w="4400" w:type="dxa"/>
            <w:shd w:val="clear" w:color="auto" w:fill="F2F2F2"/>
          </w:tcPr>
          <w:p w14:paraId="5E3D1973" w14:textId="77777777" w:rsidR="006E25DC" w:rsidRDefault="00000000">
            <w:r>
              <w:t>Subscription tier (e.g. Basic, Premium)</w:t>
            </w:r>
          </w:p>
        </w:tc>
      </w:tr>
      <w:tr w:rsidR="006E25DC" w14:paraId="36C0ECFF" w14:textId="77777777">
        <w:tblPrEx>
          <w:tblCellMar>
            <w:top w:w="0" w:type="dxa"/>
            <w:bottom w:w="0" w:type="dxa"/>
          </w:tblCellMar>
        </w:tblPrEx>
        <w:tc>
          <w:tcPr>
            <w:tcW w:w="2400" w:type="dxa"/>
          </w:tcPr>
          <w:p w14:paraId="2D727780" w14:textId="77777777" w:rsidR="006E25DC" w:rsidRDefault="00000000">
            <w:r>
              <w:t>price_paid</w:t>
            </w:r>
          </w:p>
        </w:tc>
        <w:tc>
          <w:tcPr>
            <w:tcW w:w="1800" w:type="dxa"/>
          </w:tcPr>
          <w:p w14:paraId="1B5F44D7" w14:textId="77777777" w:rsidR="006E25DC" w:rsidRDefault="00000000">
            <w:r>
              <w:t>Float</w:t>
            </w:r>
          </w:p>
        </w:tc>
        <w:tc>
          <w:tcPr>
            <w:tcW w:w="4400" w:type="dxa"/>
          </w:tcPr>
          <w:p w14:paraId="30E0AFB1" w14:textId="77777777" w:rsidR="006E25DC" w:rsidRDefault="00000000">
            <w:r>
              <w:t>Amount charged for the period</w:t>
            </w:r>
          </w:p>
        </w:tc>
      </w:tr>
      <w:tr w:rsidR="006E25DC" w14:paraId="2CA94ED5" w14:textId="77777777">
        <w:tblPrEx>
          <w:tblCellMar>
            <w:top w:w="0" w:type="dxa"/>
            <w:bottom w:w="0" w:type="dxa"/>
          </w:tblCellMar>
        </w:tblPrEx>
        <w:tc>
          <w:tcPr>
            <w:tcW w:w="2400" w:type="dxa"/>
            <w:shd w:val="clear" w:color="auto" w:fill="F2F2F2"/>
          </w:tcPr>
          <w:p w14:paraId="2250C85B" w14:textId="77777777" w:rsidR="006E25DC" w:rsidRDefault="00000000">
            <w:r>
              <w:t>subscription_status</w:t>
            </w:r>
          </w:p>
        </w:tc>
        <w:tc>
          <w:tcPr>
            <w:tcW w:w="1800" w:type="dxa"/>
            <w:shd w:val="clear" w:color="auto" w:fill="F2F2F2"/>
          </w:tcPr>
          <w:p w14:paraId="10231D1C" w14:textId="77777777" w:rsidR="006E25DC" w:rsidRDefault="00000000">
            <w:r>
              <w:t>String</w:t>
            </w:r>
          </w:p>
        </w:tc>
        <w:tc>
          <w:tcPr>
            <w:tcW w:w="4400" w:type="dxa"/>
            <w:shd w:val="clear" w:color="auto" w:fill="F2F2F2"/>
          </w:tcPr>
          <w:p w14:paraId="2E206AAE" w14:textId="77777777" w:rsidR="006E25DC" w:rsidRDefault="00000000">
            <w:r>
              <w:t>active / paused / cancelled</w:t>
            </w:r>
          </w:p>
        </w:tc>
      </w:tr>
      <w:tr w:rsidR="006E25DC" w14:paraId="404F5284" w14:textId="77777777">
        <w:tblPrEx>
          <w:tblCellMar>
            <w:top w:w="0" w:type="dxa"/>
            <w:bottom w:w="0" w:type="dxa"/>
          </w:tblCellMar>
        </w:tblPrEx>
        <w:tc>
          <w:tcPr>
            <w:tcW w:w="2400" w:type="dxa"/>
          </w:tcPr>
          <w:p w14:paraId="76420F00" w14:textId="77777777" w:rsidR="006E25DC" w:rsidRDefault="00000000">
            <w:r>
              <w:t>cancellation_date</w:t>
            </w:r>
          </w:p>
        </w:tc>
        <w:tc>
          <w:tcPr>
            <w:tcW w:w="1800" w:type="dxa"/>
          </w:tcPr>
          <w:p w14:paraId="5F467A18" w14:textId="77777777" w:rsidR="006E25DC" w:rsidRDefault="00000000">
            <w:r>
              <w:t>Date</w:t>
            </w:r>
          </w:p>
        </w:tc>
        <w:tc>
          <w:tcPr>
            <w:tcW w:w="4400" w:type="dxa"/>
          </w:tcPr>
          <w:p w14:paraId="2DC6D7BE" w14:textId="77777777" w:rsidR="006E25DC" w:rsidRDefault="00000000">
            <w:r>
              <w:t>Date of cancellation, if applicable</w:t>
            </w:r>
          </w:p>
        </w:tc>
      </w:tr>
      <w:tr w:rsidR="006E25DC" w14:paraId="052DD972" w14:textId="77777777">
        <w:tblPrEx>
          <w:tblCellMar>
            <w:top w:w="0" w:type="dxa"/>
            <w:bottom w:w="0" w:type="dxa"/>
          </w:tblCellMar>
        </w:tblPrEx>
        <w:tc>
          <w:tcPr>
            <w:tcW w:w="2400" w:type="dxa"/>
            <w:shd w:val="clear" w:color="auto" w:fill="F2F2F2"/>
          </w:tcPr>
          <w:p w14:paraId="3E1D5829" w14:textId="77777777" w:rsidR="006E25DC" w:rsidRDefault="00000000">
            <w:r>
              <w:t>cancellation_reason</w:t>
            </w:r>
          </w:p>
        </w:tc>
        <w:tc>
          <w:tcPr>
            <w:tcW w:w="1800" w:type="dxa"/>
            <w:shd w:val="clear" w:color="auto" w:fill="F2F2F2"/>
          </w:tcPr>
          <w:p w14:paraId="06CBFE4E" w14:textId="77777777" w:rsidR="006E25DC" w:rsidRDefault="00000000">
            <w:r>
              <w:t>String</w:t>
            </w:r>
          </w:p>
        </w:tc>
        <w:tc>
          <w:tcPr>
            <w:tcW w:w="4400" w:type="dxa"/>
            <w:shd w:val="clear" w:color="auto" w:fill="F2F2F2"/>
          </w:tcPr>
          <w:p w14:paraId="5AE7AEE8" w14:textId="77777777" w:rsidR="006E25DC" w:rsidRDefault="00000000">
            <w:r>
              <w:t>Self-reported reason code, if captured</w:t>
            </w:r>
          </w:p>
        </w:tc>
      </w:tr>
      <w:tr w:rsidR="006E25DC" w14:paraId="1D12B035" w14:textId="77777777">
        <w:tblPrEx>
          <w:tblCellMar>
            <w:top w:w="0" w:type="dxa"/>
            <w:bottom w:w="0" w:type="dxa"/>
          </w:tblCellMar>
        </w:tblPrEx>
        <w:tc>
          <w:tcPr>
            <w:tcW w:w="2400" w:type="dxa"/>
          </w:tcPr>
          <w:p w14:paraId="4AFB91C0" w14:textId="77777777" w:rsidR="006E25DC" w:rsidRDefault="00000000">
            <w:r>
              <w:t>stated_preferences</w:t>
            </w:r>
          </w:p>
        </w:tc>
        <w:tc>
          <w:tcPr>
            <w:tcW w:w="1800" w:type="dxa"/>
          </w:tcPr>
          <w:p w14:paraId="30135A74" w14:textId="77777777" w:rsidR="006E25DC" w:rsidRDefault="00000000">
            <w:r>
              <w:t>String/List</w:t>
            </w:r>
          </w:p>
        </w:tc>
        <w:tc>
          <w:tcPr>
            <w:tcW w:w="4400" w:type="dxa"/>
          </w:tcPr>
          <w:p w14:paraId="7181D699" w14:textId="77777777" w:rsidR="006E25DC" w:rsidRDefault="00000000">
            <w:r>
              <w:t>Skin type, concerns, category interests</w:t>
            </w:r>
          </w:p>
        </w:tc>
      </w:tr>
      <w:tr w:rsidR="006E25DC" w14:paraId="23006FCA" w14:textId="77777777">
        <w:tblPrEx>
          <w:tblCellMar>
            <w:top w:w="0" w:type="dxa"/>
            <w:bottom w:w="0" w:type="dxa"/>
          </w:tblCellMar>
        </w:tblPrEx>
        <w:tc>
          <w:tcPr>
            <w:tcW w:w="2400" w:type="dxa"/>
            <w:shd w:val="clear" w:color="auto" w:fill="F2F2F2"/>
          </w:tcPr>
          <w:p w14:paraId="70FEA835" w14:textId="77777777" w:rsidR="006E25DC" w:rsidRDefault="00000000">
            <w:r>
              <w:t>products_received</w:t>
            </w:r>
          </w:p>
        </w:tc>
        <w:tc>
          <w:tcPr>
            <w:tcW w:w="1800" w:type="dxa"/>
            <w:shd w:val="clear" w:color="auto" w:fill="F2F2F2"/>
          </w:tcPr>
          <w:p w14:paraId="7487F9FA" w14:textId="77777777" w:rsidR="006E25DC" w:rsidRDefault="00000000">
            <w:r>
              <w:t>List</w:t>
            </w:r>
          </w:p>
        </w:tc>
        <w:tc>
          <w:tcPr>
            <w:tcW w:w="4400" w:type="dxa"/>
            <w:shd w:val="clear" w:color="auto" w:fill="F2F2F2"/>
          </w:tcPr>
          <w:p w14:paraId="1F8DEE6C" w14:textId="77777777" w:rsidR="006E25DC" w:rsidRDefault="00000000">
            <w:r>
              <w:t>Products included in each shipment</w:t>
            </w:r>
          </w:p>
        </w:tc>
      </w:tr>
      <w:tr w:rsidR="006E25DC" w14:paraId="529112EF" w14:textId="77777777">
        <w:tblPrEx>
          <w:tblCellMar>
            <w:top w:w="0" w:type="dxa"/>
            <w:bottom w:w="0" w:type="dxa"/>
          </w:tblCellMar>
        </w:tblPrEx>
        <w:tc>
          <w:tcPr>
            <w:tcW w:w="2400" w:type="dxa"/>
          </w:tcPr>
          <w:p w14:paraId="62CD67F4" w14:textId="77777777" w:rsidR="006E25DC" w:rsidRDefault="00000000">
            <w:r>
              <w:t>email_open_rate</w:t>
            </w:r>
          </w:p>
        </w:tc>
        <w:tc>
          <w:tcPr>
            <w:tcW w:w="1800" w:type="dxa"/>
          </w:tcPr>
          <w:p w14:paraId="7D19F818" w14:textId="77777777" w:rsidR="006E25DC" w:rsidRDefault="00000000">
            <w:r>
              <w:t>Float (0-1)</w:t>
            </w:r>
          </w:p>
        </w:tc>
        <w:tc>
          <w:tcPr>
            <w:tcW w:w="4400" w:type="dxa"/>
          </w:tcPr>
          <w:p w14:paraId="684FA59B" w14:textId="77777777" w:rsidR="006E25DC" w:rsidRDefault="00000000">
            <w:r>
              <w:t>Rolling engagement metric</w:t>
            </w:r>
          </w:p>
        </w:tc>
      </w:tr>
      <w:tr w:rsidR="006E25DC" w14:paraId="6D26989D" w14:textId="77777777">
        <w:tblPrEx>
          <w:tblCellMar>
            <w:top w:w="0" w:type="dxa"/>
            <w:bottom w:w="0" w:type="dxa"/>
          </w:tblCellMar>
        </w:tblPrEx>
        <w:tc>
          <w:tcPr>
            <w:tcW w:w="2400" w:type="dxa"/>
            <w:shd w:val="clear" w:color="auto" w:fill="F2F2F2"/>
          </w:tcPr>
          <w:p w14:paraId="22903CAF" w14:textId="77777777" w:rsidR="006E25DC" w:rsidRDefault="00000000">
            <w:r>
              <w:t>app_login_count_60d</w:t>
            </w:r>
          </w:p>
        </w:tc>
        <w:tc>
          <w:tcPr>
            <w:tcW w:w="1800" w:type="dxa"/>
            <w:shd w:val="clear" w:color="auto" w:fill="F2F2F2"/>
          </w:tcPr>
          <w:p w14:paraId="1274C198" w14:textId="77777777" w:rsidR="006E25DC" w:rsidRDefault="00000000">
            <w:r>
              <w:t>Integer</w:t>
            </w:r>
          </w:p>
        </w:tc>
        <w:tc>
          <w:tcPr>
            <w:tcW w:w="4400" w:type="dxa"/>
            <w:shd w:val="clear" w:color="auto" w:fill="F2F2F2"/>
          </w:tcPr>
          <w:p w14:paraId="2433AAA7" w14:textId="77777777" w:rsidR="006E25DC" w:rsidRDefault="00000000">
            <w:r>
              <w:t>App/site logins in trailing 60 days</w:t>
            </w:r>
          </w:p>
        </w:tc>
      </w:tr>
      <w:tr w:rsidR="006E25DC" w14:paraId="7B21EFD9" w14:textId="77777777">
        <w:tblPrEx>
          <w:tblCellMar>
            <w:top w:w="0" w:type="dxa"/>
            <w:bottom w:w="0" w:type="dxa"/>
          </w:tblCellMar>
        </w:tblPrEx>
        <w:tc>
          <w:tcPr>
            <w:tcW w:w="2400" w:type="dxa"/>
          </w:tcPr>
          <w:p w14:paraId="7CB9B7F7" w14:textId="77777777" w:rsidR="006E25DC" w:rsidRDefault="00000000">
            <w:r>
              <w:t>support_tickets_90d</w:t>
            </w:r>
          </w:p>
        </w:tc>
        <w:tc>
          <w:tcPr>
            <w:tcW w:w="1800" w:type="dxa"/>
          </w:tcPr>
          <w:p w14:paraId="7BD38586" w14:textId="77777777" w:rsidR="006E25DC" w:rsidRDefault="00000000">
            <w:r>
              <w:t>Integer</w:t>
            </w:r>
          </w:p>
        </w:tc>
        <w:tc>
          <w:tcPr>
            <w:tcW w:w="4400" w:type="dxa"/>
          </w:tcPr>
          <w:p w14:paraId="7CB65D30" w14:textId="77777777" w:rsidR="006E25DC" w:rsidRDefault="00000000">
            <w:r>
              <w:t>Support contacts in trailing 90 days</w:t>
            </w:r>
          </w:p>
        </w:tc>
      </w:tr>
      <w:tr w:rsidR="006E25DC" w14:paraId="10837F8D" w14:textId="77777777">
        <w:tblPrEx>
          <w:tblCellMar>
            <w:top w:w="0" w:type="dxa"/>
            <w:bottom w:w="0" w:type="dxa"/>
          </w:tblCellMar>
        </w:tblPrEx>
        <w:tc>
          <w:tcPr>
            <w:tcW w:w="2400" w:type="dxa"/>
            <w:shd w:val="clear" w:color="auto" w:fill="F2F2F2"/>
          </w:tcPr>
          <w:p w14:paraId="5FFB49F2" w14:textId="77777777" w:rsidR="006E25DC" w:rsidRDefault="00000000">
            <w:r>
              <w:t>satisfaction_score</w:t>
            </w:r>
          </w:p>
        </w:tc>
        <w:tc>
          <w:tcPr>
            <w:tcW w:w="1800" w:type="dxa"/>
            <w:shd w:val="clear" w:color="auto" w:fill="F2F2F2"/>
          </w:tcPr>
          <w:p w14:paraId="4650BB54" w14:textId="77777777" w:rsidR="006E25DC" w:rsidRDefault="00000000">
            <w:r>
              <w:t>Float</w:t>
            </w:r>
          </w:p>
        </w:tc>
        <w:tc>
          <w:tcPr>
            <w:tcW w:w="4400" w:type="dxa"/>
            <w:shd w:val="clear" w:color="auto" w:fill="F2F2F2"/>
          </w:tcPr>
          <w:p w14:paraId="222F6D5E" w14:textId="77777777" w:rsidR="006E25DC" w:rsidRDefault="00000000">
            <w:r>
              <w:t>Latest CSAT/NPS-style score, if available</w:t>
            </w:r>
          </w:p>
        </w:tc>
      </w:tr>
    </w:tbl>
    <w:p w14:paraId="1FC0F3E1" w14:textId="77777777" w:rsidR="00273612" w:rsidRDefault="00273612"/>
    <w:sectPr w:rsidR="00273612">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3DD76A" w14:textId="77777777" w:rsidR="00273612" w:rsidRDefault="00273612">
      <w:r>
        <w:separator/>
      </w:r>
    </w:p>
  </w:endnote>
  <w:endnote w:type="continuationSeparator" w:id="0">
    <w:p w14:paraId="715C92C7" w14:textId="77777777" w:rsidR="00273612" w:rsidRDefault="002736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AA1B7C" w14:textId="77777777" w:rsidR="006E25DC" w:rsidRDefault="00000000">
    <w:pPr>
      <w:jc w:val="center"/>
    </w:pPr>
    <w:r>
      <w:rPr>
        <w:color w:val="999999"/>
        <w:sz w:val="18"/>
        <w:szCs w:val="18"/>
      </w:rPr>
      <w:t xml:space="preserve">Page </w:t>
    </w:r>
    <w:r>
      <w:rPr>
        <w:color w:val="999999"/>
        <w:sz w:val="18"/>
        <w:szCs w:val="18"/>
      </w:rPr>
      <w:fldChar w:fldCharType="begin"/>
    </w:r>
    <w:r>
      <w:rPr>
        <w:color w:val="999999"/>
        <w:sz w:val="18"/>
        <w:szCs w:val="18"/>
      </w:rPr>
      <w:instrText>PAGE</w:instrText>
    </w:r>
    <w:r>
      <w:rPr>
        <w:color w:val="999999"/>
        <w:sz w:val="18"/>
        <w:szCs w:val="18"/>
      </w:rPr>
      <w:fldChar w:fldCharType="separate"/>
    </w:r>
    <w:r w:rsidR="003E63B7">
      <w:rPr>
        <w:noProof/>
        <w:color w:val="999999"/>
        <w:sz w:val="18"/>
        <w:szCs w:val="18"/>
      </w:rPr>
      <w:t>1</w:t>
    </w:r>
    <w:r>
      <w:rPr>
        <w:color w:val="99999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9E7D56" w14:textId="77777777" w:rsidR="00273612" w:rsidRDefault="00273612">
      <w:r>
        <w:separator/>
      </w:r>
    </w:p>
  </w:footnote>
  <w:footnote w:type="continuationSeparator" w:id="0">
    <w:p w14:paraId="02F20AAE" w14:textId="77777777" w:rsidR="00273612" w:rsidRDefault="0027361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95E84F" w14:textId="77777777" w:rsidR="006E25DC" w:rsidRDefault="00000000">
    <w:pPr>
      <w:jc w:val="right"/>
    </w:pPr>
    <w:r>
      <w:rPr>
        <w:color w:val="999999"/>
        <w:sz w:val="16"/>
        <w:szCs w:val="16"/>
      </w:rPr>
      <w:t>Data Science Orientation &amp; Problem Definition | Beauty &amp; Wellness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13432D0"/>
    <w:multiLevelType w:val="hybridMultilevel"/>
    <w:tmpl w:val="1C265AC8"/>
    <w:lvl w:ilvl="0" w:tplc="3AE237EA">
      <w:start w:val="1"/>
      <w:numFmt w:val="bullet"/>
      <w:lvlText w:val="●"/>
      <w:lvlJc w:val="left"/>
      <w:pPr>
        <w:ind w:left="720" w:hanging="360"/>
      </w:pPr>
    </w:lvl>
    <w:lvl w:ilvl="1" w:tplc="98FA5456">
      <w:start w:val="1"/>
      <w:numFmt w:val="bullet"/>
      <w:lvlText w:val="○"/>
      <w:lvlJc w:val="left"/>
      <w:pPr>
        <w:ind w:left="1440" w:hanging="360"/>
      </w:pPr>
    </w:lvl>
    <w:lvl w:ilvl="2" w:tplc="C4D0169A">
      <w:start w:val="1"/>
      <w:numFmt w:val="bullet"/>
      <w:lvlText w:val="■"/>
      <w:lvlJc w:val="left"/>
      <w:pPr>
        <w:ind w:left="2160" w:hanging="360"/>
      </w:pPr>
    </w:lvl>
    <w:lvl w:ilvl="3" w:tplc="6D2CB9A0">
      <w:start w:val="1"/>
      <w:numFmt w:val="bullet"/>
      <w:lvlText w:val="●"/>
      <w:lvlJc w:val="left"/>
      <w:pPr>
        <w:ind w:left="2880" w:hanging="360"/>
      </w:pPr>
    </w:lvl>
    <w:lvl w:ilvl="4" w:tplc="B7CA68CA">
      <w:start w:val="1"/>
      <w:numFmt w:val="bullet"/>
      <w:lvlText w:val="○"/>
      <w:lvlJc w:val="left"/>
      <w:pPr>
        <w:ind w:left="3600" w:hanging="360"/>
      </w:pPr>
    </w:lvl>
    <w:lvl w:ilvl="5" w:tplc="7AF2151A">
      <w:start w:val="1"/>
      <w:numFmt w:val="bullet"/>
      <w:lvlText w:val="■"/>
      <w:lvlJc w:val="left"/>
      <w:pPr>
        <w:ind w:left="4320" w:hanging="360"/>
      </w:pPr>
    </w:lvl>
    <w:lvl w:ilvl="6" w:tplc="FFE48CFE">
      <w:start w:val="1"/>
      <w:numFmt w:val="bullet"/>
      <w:lvlText w:val="●"/>
      <w:lvlJc w:val="left"/>
      <w:pPr>
        <w:ind w:left="5040" w:hanging="360"/>
      </w:pPr>
    </w:lvl>
    <w:lvl w:ilvl="7" w:tplc="6B3EBE8C">
      <w:start w:val="1"/>
      <w:numFmt w:val="bullet"/>
      <w:lvlText w:val="●"/>
      <w:lvlJc w:val="left"/>
      <w:pPr>
        <w:ind w:left="5760" w:hanging="360"/>
      </w:pPr>
    </w:lvl>
    <w:lvl w:ilvl="8" w:tplc="8CD0ADEE">
      <w:start w:val="1"/>
      <w:numFmt w:val="bullet"/>
      <w:lvlText w:val="●"/>
      <w:lvlJc w:val="left"/>
      <w:pPr>
        <w:ind w:left="6480" w:hanging="360"/>
      </w:pPr>
    </w:lvl>
  </w:abstractNum>
  <w:abstractNum w:abstractNumId="1" w15:restartNumberingAfterBreak="0">
    <w:nsid w:val="7A130047"/>
    <w:multiLevelType w:val="hybridMultilevel"/>
    <w:tmpl w:val="AC12CCE2"/>
    <w:lvl w:ilvl="0" w:tplc="A5DA2DBC">
      <w:start w:val="1"/>
      <w:numFmt w:val="bullet"/>
      <w:lvlText w:val="•"/>
      <w:lvlJc w:val="left"/>
      <w:pPr>
        <w:ind w:left="400" w:hanging="260"/>
      </w:pPr>
    </w:lvl>
    <w:lvl w:ilvl="1" w:tplc="0B5E7C52">
      <w:start w:val="1"/>
      <w:numFmt w:val="bullet"/>
      <w:lvlText w:val="◦"/>
      <w:lvlJc w:val="left"/>
      <w:pPr>
        <w:ind w:left="800" w:hanging="260"/>
      </w:pPr>
    </w:lvl>
    <w:lvl w:ilvl="2" w:tplc="E98C2E84">
      <w:numFmt w:val="decimal"/>
      <w:lvlText w:val=""/>
      <w:lvlJc w:val="left"/>
    </w:lvl>
    <w:lvl w:ilvl="3" w:tplc="0B6CA6BC">
      <w:numFmt w:val="decimal"/>
      <w:lvlText w:val=""/>
      <w:lvlJc w:val="left"/>
    </w:lvl>
    <w:lvl w:ilvl="4" w:tplc="EECEDF4C">
      <w:numFmt w:val="decimal"/>
      <w:lvlText w:val=""/>
      <w:lvlJc w:val="left"/>
    </w:lvl>
    <w:lvl w:ilvl="5" w:tplc="203E3264">
      <w:numFmt w:val="decimal"/>
      <w:lvlText w:val=""/>
      <w:lvlJc w:val="left"/>
    </w:lvl>
    <w:lvl w:ilvl="6" w:tplc="77C4FD24">
      <w:numFmt w:val="decimal"/>
      <w:lvlText w:val=""/>
      <w:lvlJc w:val="left"/>
    </w:lvl>
    <w:lvl w:ilvl="7" w:tplc="F51029CA">
      <w:numFmt w:val="decimal"/>
      <w:lvlText w:val=""/>
      <w:lvlJc w:val="left"/>
    </w:lvl>
    <w:lvl w:ilvl="8" w:tplc="8020BB8C">
      <w:numFmt w:val="decimal"/>
      <w:lvlText w:val=""/>
      <w:lvlJc w:val="left"/>
    </w:lvl>
  </w:abstractNum>
  <w:num w:numId="1" w16cid:durableId="475803742">
    <w:abstractNumId w:val="0"/>
    <w:lvlOverride w:ilvl="0">
      <w:startOverride w:val="1"/>
    </w:lvlOverride>
  </w:num>
  <w:num w:numId="2" w16cid:durableId="32278385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25DC"/>
    <w:rsid w:val="00273612"/>
    <w:rsid w:val="003E63B7"/>
    <w:rsid w:val="006E25DC"/>
    <w:rsid w:val="0081420E"/>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E114E4"/>
  <w15:docId w15:val="{64DFB2CB-8BE7-4CBD-9C04-D701497F29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IN" w:eastAsia="en-I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2829</Words>
  <Characters>16130</Characters>
  <Application>Microsoft Office Word</Application>
  <DocSecurity>0</DocSecurity>
  <Lines>134</Lines>
  <Paragraphs>37</Paragraphs>
  <ScaleCrop>false</ScaleCrop>
  <Company/>
  <LinksUpToDate>false</LinksUpToDate>
  <CharactersWithSpaces>18922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Naveen Sharma</cp:lastModifiedBy>
  <cp:revision>3</cp:revision>
  <dcterms:created xsi:type="dcterms:W3CDTF">2026-09-26T05:11:00Z</dcterms:created>
  <dcterms:modified xsi:type="dcterms:W3CDTF">2026-10-09T03:31:00Z</dcterms:modified>
</cp:coreProperties>
</file>