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Centrix Web-Scraping Application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45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site needs JavaScript to work properly. Please enable it to take advantage of the complete set of features!</w:t>
      </w:r>
    </w:p>
    <w:p>
      <w:r>
        <w:t>Clipboard, Search History, and several other advanced features are temporarily unavailable.</w:t>
      </w:r>
    </w:p>
    <w:p>
      <w:r>
        <w:t>An official website of the United States government</w:t>
      </w:r>
    </w:p>
    <w:p>
      <w:r>
        <w:t>The .gov means it’s official.Federal government websites often end in .gov or .mil. Before</w:t>
        <w:br/>
        <w:t xml:space="preserve">            sharing sensitive information, make sure you’re on a federal</w:t>
        <w:br/>
        <w:t xml:space="preserve">            government site.</w:t>
      </w:r>
    </w:p>
    <w:p>
      <w:r>
        <w:t>This site needs JavaScript to work properly. Please enable it to take advantage of the complete set of features!</w:t>
      </w:r>
    </w:p>
    <w:p>
      <w:r>
        <w:t>Clipboard, Search History, and several other advanced features are temporarily unavailable.</w:t>
      </w:r>
    </w:p>
    <w:p>
      <w:r>
        <w:t>An official website of the United States government</w:t>
      </w:r>
    </w:p>
    <w:p>
      <w:r>
        <w:t>The .gov means it’s official.Federal government websites often end in .gov or .mil. Before</w:t>
        <w:br/>
        <w:t xml:space="preserve">            sharing sensitive information, make sure you’re on a federal</w:t>
        <w:br/>
        <w:t xml:space="preserve">            government site.</w:t>
      </w:r>
    </w:p>
    <w:p>
      <w:r>
        <w:t>National Library of Medicine8600 Rockville PikeBethesda, MD 20894</w:t>
      </w:r>
    </w:p>
    <w:p>
      <w:r>
        <w:t>Web PoliciesFOIAHHS Vulnerability Disclosure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45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45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Clipboard, Search History, and several other advanced features are temporarily unavailable.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Clipboard, Search History, and several other advanced features are temporarily unavailable.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Account</w:t>
      </w:r>
    </w:p>
    <w:p>
      <w:r>
        <w:t>Logged in as: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Differences in measures of IR in AT between PCOS and controls. (A-D) Participants in the entire cohort (18 PCOS and 18 matched controls) are depicted on the left 2 bars, and participants in the GLUT-4 gene expression subgroup (5 PCOS and 5 matched controls) are depicted on the right 2 bars. Mean ± standard error, with adjustment for BMI, are depicted for Adipo-IR (Fig. 1A), NEFA</w:t>
      </w:r>
    </w:p>
    <w:p>
      <w:r>
        <w:t>Figure 2.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makes nav-bar</w:t>
      </w:r>
    </w:p>
    <w:p>
      <w:pPr>
        <w:pStyle w:val="Heading1"/>
      </w:pPr>
      <w:r>
        <w:t>Madhava Krishna Educational Society</w:t>
      </w:r>
    </w:p>
    <w:p>
      <w:r>
        <w:t>This site needs JavaScript to work properly. Please enable it to take advantage of the complete set of features!</w:t>
      </w:r>
    </w:p>
    <w:p>
      <w:r>
        <w:t>Clipboard, Search History, and several other advanced features are temporarily unavailable.</w:t>
      </w:r>
    </w:p>
    <w:p>
      <w:r>
        <w:t>An official website of the United States government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Display options</w:t>
      </w:r>
    </w:p>
    <w:p>
      <w:pPr>
        <w:pStyle w:val="Heading2"/>
      </w:pPr>
      <w:r>
        <w:t>Save citation to file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makes nav-bar</w:t>
      </w:r>
    </w:p>
    <w:p>
      <w:pPr>
        <w:pStyle w:val="Heading1"/>
      </w:pPr>
      <w:r>
        <w:t>Madhava Krishna Educational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