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one" w:color="FFFFFF" w:sz="0"/>
              <w:left w:val="none" w:color="FFFFFF" w:sz="0"/>
              <w:bottom w:val="none" w:color="FFFFFF" w:sz="0"/>
              <w:right w:val="none" w:color="FFFFFF" w:sz="0"/>
            </w:tcBorders>
            <w:shd w:fill="6B1A1A" w:val="clear"/>
            <w:tcMar>
              <w:top w:type="dxa" w:w="3600"/>
              <w:left w:type="dxa" w:w="1440"/>
              <w:bottom w:type="dxa" w:w="1000"/>
              <w:right w:type="dxa" w:w="1440"/>
            </w:tcMar>
          </w:tcPr>
          <w:p>
            <w:pPr>
              <w:spacing w:after="200"/>
              <w:jc w:val="center"/>
            </w:pPr>
            <w:r>
              <w:rPr>
                <w:rFonts w:ascii="Arial" w:cs="Arial" w:eastAsia="Arial" w:hAnsi="Arial"/>
                <w:b/>
                <w:bCs/>
                <w:color w:val="B8860B"/>
                <w:sz w:val="56"/>
                <w:szCs w:val="56"/>
              </w:rPr>
              <w:t xml:space="preserve">TANEJA CLOTH HOUSE</w:t>
            </w:r>
          </w:p>
          <w:p>
            <w:pPr>
              <w:spacing w:after="160"/>
              <w:jc w:val="center"/>
            </w:pPr>
            <w:r>
              <w:rPr>
                <w:rFonts w:ascii="Arial" w:cs="Arial" w:eastAsia="Arial" w:hAnsi="Arial"/>
                <w:b w:val="false"/>
                <w:bCs w:val="false"/>
                <w:color w:val="FFFFFF"/>
                <w:sz w:val="40"/>
                <w:szCs w:val="40"/>
              </w:rPr>
              <w:t xml:space="preserve">Meta Ads Audit Report</w:t>
            </w:r>
          </w:p>
          <w:p>
            <w:pPr>
              <w:spacing w:after="400"/>
              <w:jc w:val="center"/>
            </w:pPr>
            <w:r>
              <w:rPr>
                <w:rFonts w:ascii="Arial" w:cs="Arial" w:eastAsia="Arial" w:hAnsi="Arial"/>
                <w:i/>
                <w:iCs/>
                <w:color w:val="B8860B"/>
                <w:sz w:val="26"/>
                <w:szCs w:val="26"/>
              </w:rPr>
              <w:t xml:space="preserve">Performance Analysis &amp; Growth Strategy</w:t>
            </w:r>
          </w:p>
          <w:p>
            <w:pPr>
              <w:spacing w:after="200"/>
              <w:jc w:val="center"/>
            </w:pPr>
            <w:r>
              <w:rPr>
                <w:rFonts w:ascii="Arial" w:cs="Arial" w:eastAsia="Arial" w:hAnsi="Arial"/>
                <w:color w:val="B8860B"/>
                <w:sz w:val="24"/>
                <w:szCs w:val="24"/>
              </w:rPr>
              <w:t xml:space="preserve">────────────────────────────</w:t>
            </w:r>
          </w:p>
          <w:p>
            <w:pPr>
              <w:spacing w:after="120"/>
              <w:jc w:val="center"/>
            </w:pPr>
            <w:r>
              <w:rPr>
                <w:rFonts w:ascii="Arial" w:cs="Arial" w:eastAsia="Arial" w:hAnsi="Arial"/>
                <w:color w:val="FFFFFF"/>
                <w:sz w:val="22"/>
                <w:szCs w:val="22"/>
              </w:rPr>
              <w:t xml:space="preserve">Period: 10 May 2023 – 10 Jun 2026</w:t>
            </w:r>
          </w:p>
          <w:p>
            <w:pPr>
              <w:spacing w:after="120"/>
              <w:jc w:val="center"/>
            </w:pPr>
            <w:r>
              <w:rPr>
                <w:rFonts w:ascii="Arial" w:cs="Arial" w:eastAsia="Arial" w:hAnsi="Arial"/>
                <w:color w:val="FFFFFF"/>
                <w:sz w:val="22"/>
                <w:szCs w:val="22"/>
              </w:rPr>
              <w:t xml:space="preserve">Account: Taneja SD (16778196469...)</w:t>
            </w:r>
          </w:p>
          <w:p>
            <w:pPr>
              <w:spacing w:after="0"/>
              <w:jc w:val="center"/>
            </w:pPr>
            <w:r>
              <w:rPr>
                <w:rFonts w:ascii="Arial" w:cs="Arial" w:eastAsia="Arial" w:hAnsi="Arial"/>
                <w:color w:val="B8860B"/>
                <w:sz w:val="22"/>
                <w:szCs w:val="22"/>
              </w:rPr>
              <w:t xml:space="preserve">Prepared: June 2026</w:t>
            </w:r>
          </w:p>
        </w:tc>
      </w:tr>
      <w:tr>
        <w:tc>
          <w:tcPr>
            <w:tcBorders>
              <w:top w:val="none" w:color="FFFFFF" w:sz="0"/>
              <w:left w:val="none" w:color="FFFFFF" w:sz="0"/>
              <w:bottom w:val="none" w:color="FFFFFF" w:sz="0"/>
              <w:right w:val="none" w:color="FFFFFF" w:sz="0"/>
            </w:tcBorders>
            <w:shd w:fill="B8860B" w:val="clear"/>
            <w:tcMar>
              <w:top w:type="dxa" w:w="300"/>
              <w:left w:type="dxa" w:w="1440"/>
              <w:bottom w:type="dxa" w:w="300"/>
              <w:right w:type="dxa" w:w="1440"/>
            </w:tcMar>
          </w:tcPr>
          <w:p>
            <w:pPr>
              <w:jc w:val="center"/>
            </w:pPr>
            <w:r>
              <w:rPr>
                <w:rFonts w:ascii="Arial" w:cs="Arial" w:eastAsia="Arial" w:hAnsi="Arial"/>
                <w:b/>
                <w:bCs/>
                <w:color w:val="6B1A1A"/>
                <w:sz w:val="20"/>
                <w:szCs w:val="20"/>
              </w:rPr>
              <w:t xml:space="preserve">CONFIDENTIAL — Prepared Exclusively for Taneja Cloth House</w:t>
            </w:r>
          </w:p>
        </w:tc>
      </w:tr>
    </w:tbl>
    <w:p>
      <w:r>
        <w:br w:type="page"/>
      </w:r>
    </w:p>
    <w:p>
      <w:pPr>
        <w:sectPr>
          <w:pgSz w:w="12240" w:h="15840" w:orient="portrait"/>
          <w:pgMar w:top="0" w:right="0" w:bottom="0" w:left="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8860B" w:sz="4" w:space="4"/>
        </w:pBdr>
        <w:spacing w:after="160" w:before="360"/>
      </w:pPr>
      <w:r>
        <w:rPr>
          <w:rFonts w:ascii="Arial" w:cs="Arial" w:eastAsia="Arial" w:hAnsi="Arial"/>
          <w:b/>
          <w:bCs/>
          <w:color w:val="6B1A1A"/>
          <w:sz w:val="36"/>
          <w:szCs w:val="36"/>
        </w:rPr>
        <w:t xml:space="preserve">1. Account Performance Summary</w:t>
      </w:r>
    </w:p>
    <w:p>
      <w:pPr>
        <w:spacing w:after="120"/>
        <w:jc w:val="left"/>
      </w:pPr>
      <w:r>
        <w:rPr>
          <w:rFonts w:ascii="Arial" w:cs="Arial" w:eastAsia="Arial" w:hAnsi="Arial"/>
          <w:b w:val="false"/>
          <w:bCs w:val="false"/>
          <w:i/>
          <w:iCs/>
          <w:color w:val="555555"/>
          <w:sz w:val="20"/>
          <w:szCs w:val="20"/>
        </w:rPr>
        <w:t xml:space="preserve">Period: 10 May 2023 – 10 Jun 2026  |  Account: Taneja SD</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c>
          <w:tcPr>
            <w:tcW w:type="dxa" w:w="42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Metric</w:t>
            </w:r>
          </w:p>
        </w:tc>
        <w:tc>
          <w:tcPr>
            <w:tcW w:type="dxa" w:w="588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Value</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Total Campaigns Analyzed</w:t>
            </w:r>
          </w:p>
        </w:tc>
        <w:tc>
          <w:tcPr>
            <w:tcW w:type="dxa" w:w="5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22</w:t>
            </w:r>
          </w:p>
        </w:tc>
      </w:tr>
      <w:tr>
        <w:tc>
          <w:tcPr>
            <w:tcW w:type="dxa" w:w="4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Best Cost Per Purchase (CPP)</w:t>
            </w:r>
          </w:p>
        </w:tc>
        <w:tc>
          <w:tcPr>
            <w:tcW w:type="dxa" w:w="5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₹58.34</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Average Cost Per Purchase</w:t>
            </w:r>
          </w:p>
        </w:tc>
        <w:tc>
          <w:tcPr>
            <w:tcW w:type="dxa" w:w="5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₹99.27</w:t>
            </w:r>
          </w:p>
        </w:tc>
      </w:tr>
      <w:tr>
        <w:tc>
          <w:tcPr>
            <w:tcW w:type="dxa" w:w="4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Best ROAS Achieved</w:t>
            </w:r>
          </w:p>
        </w:tc>
        <w:tc>
          <w:tcPr>
            <w:tcW w:type="dxa" w:w="5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14.84x</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Average ROAS</w:t>
            </w:r>
          </w:p>
        </w:tc>
        <w:tc>
          <w:tcPr>
            <w:tcW w:type="dxa" w:w="5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10.2x</w:t>
            </w:r>
          </w:p>
        </w:tc>
      </w:tr>
      <w:tr>
        <w:tc>
          <w:tcPr>
            <w:tcW w:type="dxa" w:w="4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Top Campaign Purchases</w:t>
            </w:r>
          </w:p>
        </w:tc>
        <w:tc>
          <w:tcPr>
            <w:tcW w:type="dxa" w:w="5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2,077</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Top Campaign Revenue Value</w:t>
            </w:r>
          </w:p>
        </w:tc>
        <w:tc>
          <w:tcPr>
            <w:tcW w:type="dxa" w:w="5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₹23,69,973</w:t>
            </w:r>
          </w:p>
        </w:tc>
      </w:tr>
      <w:tr>
        <w:tc>
          <w:tcPr>
            <w:tcW w:type="dxa" w:w="4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Daily Budget Range</w:t>
            </w:r>
          </w:p>
        </w:tc>
        <w:tc>
          <w:tcPr>
            <w:tcW w:type="dxa" w:w="5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₹300 – ₹2,400</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Primary Objective</w:t>
            </w:r>
          </w:p>
        </w:tc>
        <w:tc>
          <w:tcPr>
            <w:tcW w:type="dxa" w:w="5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Website Purchases</w:t>
            </w:r>
          </w:p>
        </w:tc>
      </w:tr>
      <w:tr>
        <w:tc>
          <w:tcPr>
            <w:tcW w:type="dxa" w:w="4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Target Audience</w:t>
            </w:r>
          </w:p>
        </w:tc>
        <w:tc>
          <w:tcPr>
            <w:tcW w:type="dxa" w:w="58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Women 23–25+</w:t>
            </w:r>
          </w:p>
        </w:tc>
      </w:tr>
    </w:tbl>
    <w:p>
      <w:pPr>
        <w:spacing w:after="240"/>
      </w:pPr>
    </w:p>
    <w:p>
      <w:pPr>
        <w:pStyle w:val="Heading2"/>
        <w:spacing w:after="120" w:before="280"/>
      </w:pPr>
      <w:r>
        <w:rPr>
          <w:rFonts w:ascii="Arial" w:cs="Arial" w:eastAsia="Arial" w:hAnsi="Arial"/>
          <w:b/>
          <w:bCs/>
          <w:color w:val="6B1A1A"/>
          <w:sz w:val="28"/>
          <w:szCs w:val="28"/>
        </w:rPr>
        <w:t xml:space="preserve">Meta Ads Health Score</w:t>
      </w:r>
    </w:p>
    <w:p>
      <w:pPr>
        <w:spacing w:after="120"/>
        <w:jc w:val="left"/>
      </w:pPr>
      <w:r>
        <w:rPr>
          <w:rFonts w:ascii="Arial" w:cs="Arial" w:eastAsia="Arial" w:hAnsi="Arial"/>
          <w:b w:val="false"/>
          <w:bCs w:val="false"/>
          <w:i w:val="false"/>
          <w:iCs w:val="false"/>
          <w:color w:val="555555"/>
          <w:sz w:val="20"/>
          <w:szCs w:val="20"/>
        </w:rPr>
        <w:t xml:space="preserve">Overall account health across four key pillars — scored 0 to 100.</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800"/>
        <w:gridCol w:w="2280"/>
      </w:tblGrid>
      <w:tr>
        <w:tc>
          <w:tcPr>
            <w:tcW w:type="dxa" w:w="32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Category</w:t>
            </w:r>
          </w:p>
        </w:tc>
        <w:tc>
          <w:tcPr>
            <w:tcW w:type="dxa" w:w="18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Score</w:t>
            </w:r>
          </w:p>
        </w:tc>
        <w:tc>
          <w:tcPr>
            <w:tcW w:type="dxa" w:w="28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Visual</w:t>
            </w:r>
          </w:p>
        </w:tc>
        <w:tc>
          <w:tcPr>
            <w:tcW w:type="dxa" w:w="228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Weight / Status</w:t>
            </w:r>
          </w:p>
        </w:tc>
      </w:tr>
      <w:tr>
        <w:tc>
          <w:tcPr>
            <w:tcW w:type="dxa" w:w="3200"/>
            <w:tcBorders>
              <w:top w:val="single" w:color="DDDDDD" w:sz="1"/>
              <w:left w:val="single" w:color="DDDDDD" w:sz="1"/>
              <w:bottom w:val="single" w:color="DDDDDD" w:sz="1"/>
              <w:right w:val="single" w:color="DDDDDD" w:sz="1"/>
            </w:tcBorders>
            <w:shd w:fill="F5EAEA"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Overall Health Score</w:t>
            </w:r>
          </w:p>
        </w:tc>
        <w:tc>
          <w:tcPr>
            <w:tcW w:type="dxa" w:w="1800"/>
            <w:tcBorders>
              <w:top w:val="single" w:color="DDDDDD" w:sz="1"/>
              <w:left w:val="single" w:color="DDDDDD" w:sz="1"/>
              <w:bottom w:val="single" w:color="DDDDDD" w:sz="1"/>
              <w:right w:val="single" w:color="DDDDDD" w:sz="1"/>
            </w:tcBorders>
            <w:shd w:fill="F5EAEA"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34 / 100</w:t>
            </w:r>
          </w:p>
        </w:tc>
        <w:tc>
          <w:tcPr>
            <w:tcW w:type="dxa" w:w="2800"/>
            <w:tcBorders>
              <w:top w:val="single" w:color="DDDDDD" w:sz="1"/>
              <w:left w:val="single" w:color="DDDDDD" w:sz="1"/>
              <w:bottom w:val="single" w:color="DDDDDD" w:sz="1"/>
              <w:right w:val="single" w:color="DDDDDD" w:sz="1"/>
            </w:tcBorders>
            <w:shd w:fill="F5EAE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C0392B"/>
                <w:sz w:val="20"/>
                <w:szCs w:val="20"/>
              </w:rPr>
              <w:t xml:space="preserve">███░░░░░░░</w:t>
            </w:r>
          </w:p>
        </w:tc>
        <w:tc>
          <w:tcPr>
            <w:tcW w:type="dxa" w:w="2280"/>
            <w:tcBorders>
              <w:top w:val="single" w:color="DDDDDD" w:sz="1"/>
              <w:left w:val="single" w:color="DDDDDD" w:sz="1"/>
              <w:bottom w:val="single" w:color="DDDDDD" w:sz="1"/>
              <w:right w:val="single" w:color="DDDDDD" w:sz="1"/>
            </w:tcBorders>
            <w:shd w:fill="F5EAEA"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Grade: F</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Pixel / CAPI Health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25 / 100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C0392B"/>
                <w:sz w:val="20"/>
                <w:szCs w:val="20"/>
              </w:rPr>
              <w:t xml:space="preserve">██░░░░░░░░</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C0392B"/>
                <w:sz w:val="20"/>
                <w:szCs w:val="20"/>
              </w:rPr>
              <w:t xml:space="preserve">30% — CRITICAL</w:t>
            </w:r>
          </w:p>
        </w:tc>
      </w:tr>
      <w:tr>
        <w:tc>
          <w:tcPr>
            <w:tcW w:type="dxa" w:w="3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Creative Diversity</w:t>
            </w:r>
          </w:p>
        </w:tc>
        <w:tc>
          <w:tcPr>
            <w:tcW w:type="dxa" w:w="1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E67E22"/>
                <w:sz w:val="20"/>
                <w:szCs w:val="20"/>
              </w:rPr>
              <w:t xml:space="preserve">40 / 100</w:t>
            </w:r>
          </w:p>
        </w:tc>
        <w:tc>
          <w:tcPr>
            <w:tcW w:type="dxa" w:w="2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67E22"/>
                <w:sz w:val="20"/>
                <w:szCs w:val="20"/>
              </w:rPr>
              <w:t xml:space="preserve">████░░░░░░</w:t>
            </w:r>
          </w:p>
        </w:tc>
        <w:tc>
          <w:tcPr>
            <w:tcW w:type="dxa" w:w="2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67E22"/>
                <w:sz w:val="20"/>
                <w:szCs w:val="20"/>
              </w:rPr>
              <w:t xml:space="preserve">30% — POOR</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Account Structure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30 / 100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C0392B"/>
                <w:sz w:val="20"/>
                <w:szCs w:val="20"/>
              </w:rPr>
              <w:t xml:space="preserve">███░░░░░░░</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C0392B"/>
                <w:sz w:val="20"/>
                <w:szCs w:val="20"/>
              </w:rPr>
              <w:t xml:space="preserve">20% — POOR</w:t>
            </w:r>
          </w:p>
        </w:tc>
      </w:tr>
      <w:tr>
        <w:tc>
          <w:tcPr>
            <w:tcW w:type="dxa" w:w="3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Audience &amp; Targeting</w:t>
            </w:r>
          </w:p>
        </w:tc>
        <w:tc>
          <w:tcPr>
            <w:tcW w:type="dxa" w:w="1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E67E22"/>
                <w:sz w:val="20"/>
                <w:szCs w:val="20"/>
              </w:rPr>
              <w:t xml:space="preserve">45 / 100</w:t>
            </w:r>
          </w:p>
        </w:tc>
        <w:tc>
          <w:tcPr>
            <w:tcW w:type="dxa" w:w="2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67E22"/>
                <w:sz w:val="20"/>
                <w:szCs w:val="20"/>
              </w:rPr>
              <w:t xml:space="preserve">████░░░░░░</w:t>
            </w:r>
          </w:p>
        </w:tc>
        <w:tc>
          <w:tcPr>
            <w:tcW w:type="dxa" w:w="2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E67E22"/>
                <w:sz w:val="20"/>
                <w:szCs w:val="20"/>
              </w:rPr>
              <w:t xml:space="preserve">20% — BELOW AVG</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8860B" w:sz="1"/>
              <w:left w:val="single" w:color="B8860B" w:sz="12"/>
              <w:bottom w:val="single" w:color="B8860B" w:sz="1"/>
              <w:right w:val="single" w:color="B8860B" w:sz="1"/>
            </w:tcBorders>
            <w:shd w:fill="FFF8E7" w:val="clear"/>
            <w:tcMar>
              <w:top w:type="dxa" w:w="140"/>
              <w:left w:type="dxa" w:w="200"/>
              <w:bottom w:type="dxa" w:w="140"/>
              <w:right w:type="dxa" w:w="200"/>
            </w:tcMar>
          </w:tcPr>
          <w:p>
            <w:r>
              <w:rPr>
                <w:rFonts w:ascii="Arial" w:cs="Arial" w:eastAsia="Arial" w:hAnsi="Arial"/>
                <w:i/>
                <w:iCs/>
                <w:color w:val="1A1A1A"/>
                <w:sz w:val="20"/>
                <w:szCs w:val="20"/>
              </w:rPr>
              <w:t xml:space="preserve">Key Insight: A score of 34/100 means the account is leaving 60–70% of its potential on the table. With the right structure, audiences, and tracking, the same budget can yield 2x–4x more purchases at significantly lower cost.</w:t>
            </w:r>
          </w:p>
        </w:tc>
      </w:tr>
    </w:tbl>
    <w:p>
      <w:pPr>
        <w:spacing w:after="160"/>
      </w:pPr>
    </w:p>
    <w:p>
      <w:r>
        <w:br w:type="page"/>
      </w:r>
    </w:p>
    <w:p>
      <w:pPr>
        <w:pStyle w:val="Heading1"/>
        <w:pBdr>
          <w:bottom w:val="single" w:color="B8860B" w:sz="4" w:space="4"/>
        </w:pBdr>
        <w:spacing w:after="160" w:before="360"/>
      </w:pPr>
      <w:r>
        <w:rPr>
          <w:rFonts w:ascii="Arial" w:cs="Arial" w:eastAsia="Arial" w:hAnsi="Arial"/>
          <w:b/>
          <w:bCs/>
          <w:color w:val="6B1A1A"/>
          <w:sz w:val="36"/>
          <w:szCs w:val="36"/>
        </w:rPr>
        <w:t xml:space="preserve">2. Campaign Performance Breakdown</w:t>
      </w:r>
    </w:p>
    <w:p>
      <w:pPr>
        <w:pStyle w:val="Heading2"/>
        <w:spacing w:after="120" w:before="280"/>
      </w:pPr>
      <w:r>
        <w:rPr>
          <w:rFonts w:ascii="Arial" w:cs="Arial" w:eastAsia="Arial" w:hAnsi="Arial"/>
          <w:b/>
          <w:bCs/>
          <w:color w:val="6B1A1A"/>
          <w:sz w:val="28"/>
          <w:szCs w:val="28"/>
        </w:rPr>
        <w:t xml:space="preserve">What the Data Shows</w:t>
      </w:r>
    </w:p>
    <w:p>
      <w:pPr>
        <w:spacing w:after="120"/>
        <w:jc w:val="left"/>
      </w:pPr>
      <w:r>
        <w:rPr>
          <w:rFonts w:ascii="Arial" w:cs="Arial" w:eastAsia="Arial" w:hAnsi="Arial"/>
          <w:b w:val="false"/>
          <w:bCs w:val="false"/>
          <w:i w:val="false"/>
          <w:iCs w:val="false"/>
          <w:color w:val="555555"/>
          <w:sz w:val="20"/>
          <w:szCs w:val="20"/>
        </w:rPr>
        <w:t xml:space="preserve">Analysis of 22 campaigns run across the account period. Best performers highlighted in green, worst in red.</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700"/>
        <w:gridCol w:w="1000"/>
        <w:gridCol w:w="1480"/>
        <w:gridCol w:w="1600"/>
      </w:tblGrid>
      <w:tr>
        <w:tc>
          <w:tcPr>
            <w:tcW w:type="dxa" w:w="30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Campaign</w:t>
            </w:r>
          </w:p>
        </w:tc>
        <w:tc>
          <w:tcPr>
            <w:tcW w:type="dxa" w:w="13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Purchases</w:t>
            </w:r>
          </w:p>
        </w:tc>
        <w:tc>
          <w:tcPr>
            <w:tcW w:type="dxa" w:w="17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Revenue</w:t>
            </w:r>
          </w:p>
        </w:tc>
        <w:tc>
          <w:tcPr>
            <w:tcW w:type="dxa" w:w="10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ROAS</w:t>
            </w:r>
          </w:p>
        </w:tc>
        <w:tc>
          <w:tcPr>
            <w:tcW w:type="dxa" w:w="148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CPP</w:t>
            </w:r>
          </w:p>
        </w:tc>
        <w:tc>
          <w:tcPr>
            <w:tcW w:type="dxa" w:w="16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Spend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TANEJA 25+ IB WOMEN ALL PROD</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2,077</w:t>
            </w:r>
          </w:p>
        </w:tc>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₹23,69,973</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11.49</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₹99.27</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₹2,06,182</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New convo campaign W Only 23+</w:t>
            </w:r>
          </w:p>
        </w:tc>
        <w:tc>
          <w:tcPr>
            <w:tcW w:type="dxa" w:w="13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523</w:t>
            </w:r>
          </w:p>
        </w:tc>
        <w:tc>
          <w:tcPr>
            <w:tcW w:type="dxa" w:w="17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₹6,63,690</w:t>
            </w:r>
          </w:p>
        </w:tc>
        <w:tc>
          <w:tcPr>
            <w:tcW w:type="dxa" w:w="1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10.63</w:t>
            </w:r>
          </w:p>
        </w:tc>
        <w:tc>
          <w:tcPr>
            <w:tcW w:type="dxa" w:w="1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₹119.39</w:t>
            </w:r>
          </w:p>
        </w:tc>
        <w:tc>
          <w:tcPr>
            <w:tcW w:type="dxa" w:w="1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₹62,439</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AI Video HR women 23+</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460</w:t>
            </w:r>
          </w:p>
        </w:tc>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₹3,98,233</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14.84★</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₹58.34★</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₹26,838</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AI Video HRSim women 24+</w:t>
            </w:r>
          </w:p>
        </w:tc>
        <w:tc>
          <w:tcPr>
            <w:tcW w:type="dxa" w:w="13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447</w:t>
            </w:r>
          </w:p>
        </w:tc>
        <w:tc>
          <w:tcPr>
            <w:tcW w:type="dxa" w:w="17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₹3,70,770</w:t>
            </w:r>
          </w:p>
        </w:tc>
        <w:tc>
          <w:tcPr>
            <w:tcW w:type="dxa" w:w="1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7.87</w:t>
            </w:r>
          </w:p>
        </w:tc>
        <w:tc>
          <w:tcPr>
            <w:tcW w:type="dxa" w:w="1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₹105.41</w:t>
            </w:r>
          </w:p>
        </w:tc>
        <w:tc>
          <w:tcPr>
            <w:tcW w:type="dxa" w:w="1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₹47,119</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video camp women 23+</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332</w:t>
            </w:r>
          </w:p>
        </w:tc>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₹4,22,570</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10.64</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₹119.61</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₹39,711</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CPP GOAL-40 25+ IB WOMEN</w:t>
            </w:r>
          </w:p>
        </w:tc>
        <w:tc>
          <w:tcPr>
            <w:tcW w:type="dxa" w:w="13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304</w:t>
            </w:r>
          </w:p>
        </w:tc>
        <w:tc>
          <w:tcPr>
            <w:tcW w:type="dxa" w:w="17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₹3,61,165</w:t>
            </w:r>
          </w:p>
        </w:tc>
        <w:tc>
          <w:tcPr>
            <w:tcW w:type="dxa" w:w="1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14.26</w:t>
            </w:r>
          </w:p>
        </w:tc>
        <w:tc>
          <w:tcPr>
            <w:tcW w:type="dxa" w:w="1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₹83.29</w:t>
            </w:r>
          </w:p>
        </w:tc>
        <w:tc>
          <w:tcPr>
            <w:tcW w:type="dxa" w:w="1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₹25,318</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Women 24+ AI Banner Camp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241</w:t>
            </w:r>
          </w:p>
        </w:tc>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₹2,19,204</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8.75</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₹103.89</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₹25,038</w:t>
            </w:r>
          </w:p>
        </w:tc>
      </w:tr>
      <w:tr>
        <w:tc>
          <w:tcPr>
            <w:tcW w:type="dxa" w:w="3000"/>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New video seller suggested</w:t>
            </w:r>
          </w:p>
        </w:tc>
        <w:tc>
          <w:tcPr>
            <w:tcW w:type="dxa" w:w="1300"/>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232</w:t>
            </w:r>
          </w:p>
        </w:tc>
        <w:tc>
          <w:tcPr>
            <w:tcW w:type="dxa" w:w="1700"/>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₹2,43,994</w:t>
            </w:r>
          </w:p>
        </w:tc>
        <w:tc>
          <w:tcPr>
            <w:tcW w:type="dxa" w:w="1000"/>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7.66⚠</w:t>
            </w:r>
          </w:p>
        </w:tc>
        <w:tc>
          <w:tcPr>
            <w:tcW w:type="dxa" w:w="1480"/>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₹137.23⚠</w:t>
            </w:r>
          </w:p>
        </w:tc>
        <w:tc>
          <w:tcPr>
            <w:tcW w:type="dxa" w:w="1600"/>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₹31,836</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AI Video HR women 24+</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149</w:t>
            </w:r>
          </w:p>
        </w:tc>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₹1,22,594</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8.84</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₹93.11</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₹13,873</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video camp women 23+ (Mar)</w:t>
            </w:r>
          </w:p>
        </w:tc>
        <w:tc>
          <w:tcPr>
            <w:tcW w:type="dxa" w:w="13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134</w:t>
            </w:r>
          </w:p>
        </w:tc>
        <w:tc>
          <w:tcPr>
            <w:tcW w:type="dxa" w:w="17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₹1,51,503</w:t>
            </w:r>
          </w:p>
        </w:tc>
        <w:tc>
          <w:tcPr>
            <w:tcW w:type="dxa" w:w="1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9.38</w:t>
            </w:r>
          </w:p>
        </w:tc>
        <w:tc>
          <w:tcPr>
            <w:tcW w:type="dxa" w:w="1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₹120.51</w:t>
            </w:r>
          </w:p>
        </w:tc>
        <w:tc>
          <w:tcPr>
            <w:tcW w:type="dxa" w:w="1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₹16,148</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Retargeting from Air Fashion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130</w:t>
            </w:r>
          </w:p>
        </w:tc>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₹1,64,713</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9.72</w:t>
            </w:r>
          </w:p>
        </w:tc>
        <w:tc>
          <w:tcPr>
            <w:tcW w:type="dxa" w:w="1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₹130.39</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₹16,950</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AI video seller suggested</w:t>
            </w:r>
          </w:p>
        </w:tc>
        <w:tc>
          <w:tcPr>
            <w:tcW w:type="dxa" w:w="13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126</w:t>
            </w:r>
          </w:p>
        </w:tc>
        <w:tc>
          <w:tcPr>
            <w:tcW w:type="dxa" w:w="17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₹1,18,738</w:t>
            </w:r>
          </w:p>
        </w:tc>
        <w:tc>
          <w:tcPr>
            <w:tcW w:type="dxa" w:w="1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9.31</w:t>
            </w:r>
          </w:p>
        </w:tc>
        <w:tc>
          <w:tcPr>
            <w:tcW w:type="dxa" w:w="1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₹101.19</w:t>
            </w:r>
          </w:p>
        </w:tc>
        <w:tc>
          <w:tcPr>
            <w:tcW w:type="dxa" w:w="1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₹12,750</w:t>
            </w:r>
          </w:p>
        </w:tc>
      </w:tr>
    </w:tbl>
    <w:p>
      <w:pPr>
        <w:spacing w:after="200"/>
      </w:pPr>
    </w:p>
    <w:p>
      <w:pPr>
        <w:pStyle w:val="Heading2"/>
        <w:spacing w:after="120" w:before="280"/>
      </w:pPr>
      <w:r>
        <w:rPr>
          <w:rFonts w:ascii="Arial" w:cs="Arial" w:eastAsia="Arial" w:hAnsi="Arial"/>
          <w:b/>
          <w:bCs/>
          <w:color w:val="6B1A1A"/>
          <w:sz w:val="28"/>
          <w:szCs w:val="28"/>
        </w:rPr>
        <w:t xml:space="preserve">Key Observations</w:t>
      </w:r>
    </w:p>
    <w:p>
      <w:pPr>
        <w:pStyle w:val="ListParagraph"/>
        <w:numPr>
          <w:ilvl w:val="0"/>
          <w:numId w:val="2"/>
        </w:numPr>
        <w:spacing w:after="80"/>
      </w:pPr>
      <w:r>
        <w:rPr>
          <w:rFonts w:ascii="Arial" w:cs="Arial" w:eastAsia="Arial" w:hAnsi="Arial"/>
          <w:b w:val="false"/>
          <w:bCs w:val="false"/>
          <w:color w:val="1A1A1A"/>
          <w:sz w:val="20"/>
          <w:szCs w:val="20"/>
        </w:rPr>
        <w:t xml:space="preserve">The AI Video HR campaign (14.84x ROAS, Rs.58 CPP) is the clear winner — this creative format and audience combination must be the foundation of all future scaling.</w:t>
      </w:r>
    </w:p>
    <w:p>
      <w:pPr>
        <w:pStyle w:val="ListParagraph"/>
        <w:numPr>
          <w:ilvl w:val="0"/>
          <w:numId w:val="2"/>
        </w:numPr>
        <w:spacing w:after="80"/>
      </w:pPr>
      <w:r>
        <w:rPr>
          <w:rFonts w:ascii="Arial" w:cs="Arial" w:eastAsia="Arial" w:hAnsi="Arial"/>
          <w:b w:val="false"/>
          <w:bCs w:val="false"/>
          <w:color w:val="1A1A1A"/>
          <w:sz w:val="20"/>
          <w:szCs w:val="20"/>
        </w:rPr>
        <w:t xml:space="preserve">CPP varies wildly from Rs.58 to Rs.137 — a 136% gap — revealing inconsistent targeting and campaign structure.</w:t>
      </w:r>
    </w:p>
    <w:p>
      <w:pPr>
        <w:pStyle w:val="ListParagraph"/>
        <w:numPr>
          <w:ilvl w:val="0"/>
          <w:numId w:val="2"/>
        </w:numPr>
        <w:spacing w:after="80"/>
      </w:pPr>
      <w:r>
        <w:rPr>
          <w:rFonts w:ascii="Arial" w:cs="Arial" w:eastAsia="Arial" w:hAnsi="Arial"/>
          <w:b w:val="false"/>
          <w:bCs w:val="false"/>
          <w:color w:val="1A1A1A"/>
          <w:sz w:val="20"/>
          <w:szCs w:val="20"/>
        </w:rPr>
        <w:t xml:space="preserve">Campaigns with similar names (AI Video HR, AI Video HRSim) are competing against each other in the same auction, driving up costs for both.</w:t>
      </w:r>
    </w:p>
    <w:p>
      <w:pPr>
        <w:pStyle w:val="ListParagraph"/>
        <w:numPr>
          <w:ilvl w:val="0"/>
          <w:numId w:val="2"/>
        </w:numPr>
        <w:spacing w:after="80"/>
      </w:pPr>
      <w:r>
        <w:rPr>
          <w:rFonts w:ascii="Arial" w:cs="Arial" w:eastAsia="Arial" w:hAnsi="Arial"/>
          <w:b w:val="false"/>
          <w:bCs w:val="false"/>
          <w:color w:val="1A1A1A"/>
          <w:sz w:val="20"/>
          <w:szCs w:val="20"/>
        </w:rPr>
        <w:t xml:space="preserve">The seller suggested products campaign has the worst ROAS (7.66x) and highest CPP (Rs.137) — this audience and creative approach needs a full restructure.</w:t>
      </w:r>
    </w:p>
    <w:p>
      <w:pPr>
        <w:pStyle w:val="ListParagraph"/>
        <w:numPr>
          <w:ilvl w:val="0"/>
          <w:numId w:val="2"/>
        </w:numPr>
        <w:spacing w:after="80"/>
      </w:pPr>
      <w:r>
        <w:rPr>
          <w:rFonts w:ascii="Arial" w:cs="Arial" w:eastAsia="Arial" w:hAnsi="Arial"/>
          <w:b w:val="false"/>
          <w:bCs w:val="false"/>
          <w:color w:val="1A1A1A"/>
          <w:sz w:val="20"/>
          <w:szCs w:val="20"/>
        </w:rPr>
        <w:t xml:space="preserve">Total purchase volume across the account proves strong product-market fit. The opportunity is in reducing CPP and scaling what already works.</w:t>
      </w:r>
    </w:p>
    <w:p>
      <w:pPr>
        <w:spacing w:after="120"/>
      </w:pPr>
    </w:p>
    <w:p>
      <w:r>
        <w:br w:type="page"/>
      </w:r>
    </w:p>
    <w:p>
      <w:pPr>
        <w:pStyle w:val="Heading1"/>
        <w:pBdr>
          <w:bottom w:val="single" w:color="B8860B" w:sz="4" w:space="4"/>
        </w:pBdr>
        <w:spacing w:after="160" w:before="360"/>
      </w:pPr>
      <w:r>
        <w:rPr>
          <w:rFonts w:ascii="Arial" w:cs="Arial" w:eastAsia="Arial" w:hAnsi="Arial"/>
          <w:b/>
          <w:bCs/>
          <w:color w:val="6B1A1A"/>
          <w:sz w:val="36"/>
          <w:szCs w:val="36"/>
        </w:rPr>
        <w:t xml:space="preserve">3. Critical Issues Found</w:t>
      </w:r>
    </w:p>
    <w:p>
      <w:pPr>
        <w:spacing w:after="120"/>
        <w:jc w:val="left"/>
      </w:pPr>
      <w:r>
        <w:rPr>
          <w:rFonts w:ascii="Arial" w:cs="Arial" w:eastAsia="Arial" w:hAnsi="Arial"/>
          <w:b w:val="false"/>
          <w:bCs w:val="false"/>
          <w:i w:val="false"/>
          <w:iCs w:val="false"/>
          <w:color w:val="555555"/>
          <w:sz w:val="20"/>
          <w:szCs w:val="20"/>
        </w:rPr>
        <w:t xml:space="preserve">Seven structural and strategic issues are preventing the account from reaching its potential.</w:t>
      </w:r>
    </w:p>
    <w:p>
      <w:pPr>
        <w:spacing w:after="200"/>
      </w:pPr>
    </w:p>
    <w:tbl>
      <w:tblPr>
        <w:tblW w:type="dxa" w:w="10080"/>
        <w:tblBorders>
          <w:top w:val="single" w:color="C0392B" w:sz="1"/>
          <w:left w:val="single" w:color="C0392B" w:sz="12"/>
          <w:bottom w:val="single" w:color="C0392B" w:sz="1"/>
          <w:right w:val="single" w:color="C0392B"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EF0F0" w:val="clear"/>
            <w:tcMar>
              <w:top w:type="dxa" w:w="120"/>
              <w:left w:type="dxa" w:w="200"/>
              <w:bottom w:type="dxa" w:w="120"/>
              <w:right w:type="dxa" w:w="200"/>
            </w:tcMar>
          </w:tcPr>
          <w:p>
            <w:pPr>
              <w:spacing w:after="60"/>
            </w:pPr>
            <w:r>
              <w:rPr>
                <w:rFonts w:ascii="Arial" w:cs="Arial" w:eastAsia="Arial" w:hAnsi="Arial"/>
                <w:b/>
                <w:bCs/>
                <w:color w:val="C0392B"/>
                <w:sz w:val="18"/>
                <w:szCs w:val="18"/>
              </w:rPr>
              <w:t xml:space="preserve">[CRITICAL]  </w:t>
            </w:r>
            <w:r>
              <w:rPr>
                <w:rFonts w:ascii="Arial" w:cs="Arial" w:eastAsia="Arial" w:hAnsi="Arial"/>
                <w:b/>
                <w:bCs/>
                <w:color w:val="1A1A1A"/>
                <w:sz w:val="22"/>
                <w:szCs w:val="22"/>
              </w:rPr>
              <w:t xml:space="preserve">No Customer Purchase List Uploaded to Meta</w:t>
            </w:r>
          </w:p>
          <w:p>
            <w:pPr>
              <w:spacing w:after="80"/>
            </w:pPr>
            <w:r>
              <w:rPr>
                <w:rFonts w:ascii="Arial" w:cs="Arial" w:eastAsia="Arial" w:hAnsi="Arial"/>
                <w:color w:val="555555"/>
                <w:sz w:val="19"/>
                <w:szCs w:val="19"/>
              </w:rPr>
              <w:t xml:space="preserve">The most powerful targeting tool — Custom Audiences from buyer lists — is not being used. Thousands of purchase events have been recorded, yet this buyer data has never been uploaded to Meta.</w:t>
            </w:r>
          </w:p>
          <w:p>
            <w:pPr>
              <w:spacing w:after="0"/>
            </w:pPr>
            <w:r>
              <w:rPr>
                <w:rFonts w:ascii="Arial" w:cs="Arial" w:eastAsia="Arial" w:hAnsi="Arial"/>
                <w:b/>
                <w:bCs/>
                <w:color w:val="6B1A1A"/>
                <w:sz w:val="19"/>
                <w:szCs w:val="19"/>
              </w:rPr>
              <w:t xml:space="preserve">Our Fix: </w:t>
            </w:r>
            <w:r>
              <w:rPr>
                <w:rFonts w:ascii="Arial" w:cs="Arial" w:eastAsia="Arial" w:hAnsi="Arial"/>
                <w:i/>
                <w:iCs/>
                <w:color w:val="1A1A1A"/>
                <w:sz w:val="19"/>
                <w:szCs w:val="19"/>
              </w:rPr>
              <w:t xml:space="preserve">Upload complete Shopify customer export to Meta → build Lookalike Audiences at 1%, 3%, and 5% → reduce CPP by an estimated 20–35%.</w:t>
            </w:r>
          </w:p>
        </w:tc>
      </w:tr>
    </w:tbl>
    <w:p>
      <w:pPr>
        <w:spacing w:after="140"/>
      </w:pPr>
    </w:p>
    <w:tbl>
      <w:tblPr>
        <w:tblW w:type="dxa" w:w="10080"/>
        <w:tblBorders>
          <w:top w:val="single" w:color="C0392B" w:sz="1"/>
          <w:left w:val="single" w:color="C0392B" w:sz="12"/>
          <w:bottom w:val="single" w:color="C0392B" w:sz="1"/>
          <w:right w:val="single" w:color="C0392B"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EF0F0" w:val="clear"/>
            <w:tcMar>
              <w:top w:type="dxa" w:w="120"/>
              <w:left w:type="dxa" w:w="200"/>
              <w:bottom w:type="dxa" w:w="120"/>
              <w:right w:type="dxa" w:w="200"/>
            </w:tcMar>
          </w:tcPr>
          <w:p>
            <w:pPr>
              <w:spacing w:after="60"/>
            </w:pPr>
            <w:r>
              <w:rPr>
                <w:rFonts w:ascii="Arial" w:cs="Arial" w:eastAsia="Arial" w:hAnsi="Arial"/>
                <w:b/>
                <w:bCs/>
                <w:color w:val="C0392B"/>
                <w:sz w:val="18"/>
                <w:szCs w:val="18"/>
              </w:rPr>
              <w:t xml:space="preserve">[CRITICAL]  </w:t>
            </w:r>
            <w:r>
              <w:rPr>
                <w:rFonts w:ascii="Arial" w:cs="Arial" w:eastAsia="Arial" w:hAnsi="Arial"/>
                <w:b/>
                <w:bCs/>
                <w:color w:val="1A1A1A"/>
                <w:sz w:val="22"/>
                <w:szCs w:val="22"/>
              </w:rPr>
              <w:t xml:space="preserve">No Conversions API (Server-Side Tracking)</w:t>
            </w:r>
          </w:p>
          <w:p>
            <w:pPr>
              <w:spacing w:after="80"/>
            </w:pPr>
            <w:r>
              <w:rPr>
                <w:rFonts w:ascii="Arial" w:cs="Arial" w:eastAsia="Arial" w:hAnsi="Arial"/>
                <w:color w:val="555555"/>
                <w:sz w:val="19"/>
                <w:szCs w:val="19"/>
              </w:rPr>
              <w:t xml:space="preserve">Since Apple's iOS 14.5 update, ~30–40% of purchase events on iPhones are invisible to the Meta Pixel. Without Conversions API, the algorithm is optimizing with incomplete data — bidding lower than it should and missing high-value buyers.</w:t>
            </w:r>
          </w:p>
          <w:p>
            <w:pPr>
              <w:spacing w:after="0"/>
            </w:pPr>
            <w:r>
              <w:rPr>
                <w:rFonts w:ascii="Arial" w:cs="Arial" w:eastAsia="Arial" w:hAnsi="Arial"/>
                <w:b/>
                <w:bCs/>
                <w:color w:val="6B1A1A"/>
                <w:sz w:val="19"/>
                <w:szCs w:val="19"/>
              </w:rPr>
              <w:t xml:space="preserve">Our Fix: </w:t>
            </w:r>
            <w:r>
              <w:rPr>
                <w:rFonts w:ascii="Arial" w:cs="Arial" w:eastAsia="Arial" w:hAnsi="Arial"/>
                <w:i/>
                <w:iCs/>
                <w:color w:val="1A1A1A"/>
                <w:sz w:val="19"/>
                <w:szCs w:val="19"/>
              </w:rPr>
              <w:t xml:space="preserve">Install Meta Conversions API via Shopify (15-minute setup) → recover 30–40% of lost purchase signals → algorithm optimizes with full data → CPP drops organically.</w:t>
            </w:r>
          </w:p>
        </w:tc>
      </w:tr>
    </w:tbl>
    <w:p>
      <w:pPr>
        <w:spacing w:after="140"/>
      </w:pPr>
    </w:p>
    <w:tbl>
      <w:tblPr>
        <w:tblW w:type="dxa" w:w="10080"/>
        <w:tblBorders>
          <w:top w:val="single" w:color="C0392B" w:sz="1"/>
          <w:left w:val="single" w:color="C0392B" w:sz="12"/>
          <w:bottom w:val="single" w:color="C0392B" w:sz="1"/>
          <w:right w:val="single" w:color="C0392B"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EF0F0" w:val="clear"/>
            <w:tcMar>
              <w:top w:type="dxa" w:w="120"/>
              <w:left w:type="dxa" w:w="200"/>
              <w:bottom w:type="dxa" w:w="120"/>
              <w:right w:type="dxa" w:w="200"/>
            </w:tcMar>
          </w:tcPr>
          <w:p>
            <w:pPr>
              <w:spacing w:after="60"/>
            </w:pPr>
            <w:r>
              <w:rPr>
                <w:rFonts w:ascii="Arial" w:cs="Arial" w:eastAsia="Arial" w:hAnsi="Arial"/>
                <w:b/>
                <w:bCs/>
                <w:color w:val="C0392B"/>
                <w:sz w:val="18"/>
                <w:szCs w:val="18"/>
              </w:rPr>
              <w:t xml:space="preserve">[HIGH]  </w:t>
            </w:r>
            <w:r>
              <w:rPr>
                <w:rFonts w:ascii="Arial" w:cs="Arial" w:eastAsia="Arial" w:hAnsi="Arial"/>
                <w:b/>
                <w:bCs/>
                <w:color w:val="1A1A1A"/>
                <w:sz w:val="22"/>
                <w:szCs w:val="22"/>
              </w:rPr>
              <w:t xml:space="preserve">Budget Fragmentation Across 22 Campaigns</w:t>
            </w:r>
          </w:p>
          <w:p>
            <w:pPr>
              <w:spacing w:after="80"/>
            </w:pPr>
            <w:r>
              <w:rPr>
                <w:rFonts w:ascii="Arial" w:cs="Arial" w:eastAsia="Arial" w:hAnsi="Arial"/>
                <w:color w:val="555555"/>
                <w:sz w:val="19"/>
                <w:szCs w:val="19"/>
              </w:rPr>
              <w:t xml:space="preserve">Meta's algorithm needs at least Rs.800/day per ad set to exit the Learning Phase. With 22 campaigns and budgets of Rs.300–Rs.2,400, most ad sets are permanently starved of data — stuck in learning, delivering unpredictably, and wasting spend.</w:t>
            </w:r>
          </w:p>
          <w:p>
            <w:pPr>
              <w:spacing w:after="0"/>
            </w:pPr>
            <w:r>
              <w:rPr>
                <w:rFonts w:ascii="Arial" w:cs="Arial" w:eastAsia="Arial" w:hAnsi="Arial"/>
                <w:b/>
                <w:bCs/>
                <w:color w:val="6B1A1A"/>
                <w:sz w:val="19"/>
                <w:szCs w:val="19"/>
              </w:rPr>
              <w:t xml:space="preserve">Our Fix: </w:t>
            </w:r>
            <w:r>
              <w:rPr>
                <w:rFonts w:ascii="Arial" w:cs="Arial" w:eastAsia="Arial" w:hAnsi="Arial"/>
                <w:i/>
                <w:iCs/>
                <w:color w:val="1A1A1A"/>
                <w:sz w:val="19"/>
                <w:szCs w:val="19"/>
              </w:rPr>
              <w:t xml:space="preserve">Consolidate from 22 campaigns to 3 structured campaigns → concentrate budget → every ad set exits learning phase → stable, predictably lower CPP.</w:t>
            </w:r>
          </w:p>
        </w:tc>
      </w:tr>
    </w:tbl>
    <w:p>
      <w:pPr>
        <w:spacing w:after="140"/>
      </w:pPr>
    </w:p>
    <w:tbl>
      <w:tblPr>
        <w:tblW w:type="dxa" w:w="10080"/>
        <w:tblBorders>
          <w:top w:val="single" w:color="C0392B" w:sz="1"/>
          <w:left w:val="single" w:color="C0392B" w:sz="12"/>
          <w:bottom w:val="single" w:color="C0392B" w:sz="1"/>
          <w:right w:val="single" w:color="C0392B"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EF0F0" w:val="clear"/>
            <w:tcMar>
              <w:top w:type="dxa" w:w="120"/>
              <w:left w:type="dxa" w:w="200"/>
              <w:bottom w:type="dxa" w:w="120"/>
              <w:right w:type="dxa" w:w="200"/>
            </w:tcMar>
          </w:tcPr>
          <w:p>
            <w:pPr>
              <w:spacing w:after="60"/>
            </w:pPr>
            <w:r>
              <w:rPr>
                <w:rFonts w:ascii="Arial" w:cs="Arial" w:eastAsia="Arial" w:hAnsi="Arial"/>
                <w:b/>
                <w:bCs/>
                <w:color w:val="C0392B"/>
                <w:sz w:val="18"/>
                <w:szCs w:val="18"/>
              </w:rPr>
              <w:t xml:space="preserve">[HIGH]  </w:t>
            </w:r>
            <w:r>
              <w:rPr>
                <w:rFonts w:ascii="Arial" w:cs="Arial" w:eastAsia="Arial" w:hAnsi="Arial"/>
                <w:b/>
                <w:bCs/>
                <w:color w:val="1A1A1A"/>
                <w:sz w:val="22"/>
                <w:szCs w:val="22"/>
              </w:rPr>
              <w:t xml:space="preserve">Location Targeting Too Broad</w:t>
            </w:r>
          </w:p>
          <w:p>
            <w:pPr>
              <w:spacing w:after="80"/>
            </w:pPr>
            <w:r>
              <w:rPr>
                <w:rFonts w:ascii="Arial" w:cs="Arial" w:eastAsia="Arial" w:hAnsi="Arial"/>
                <w:color w:val="555555"/>
                <w:sz w:val="19"/>
                <w:szCs w:val="19"/>
              </w:rPr>
              <w:t xml:space="preserve">Targeting women 23+ across all of India includes Tier 3–4 cities where purchasing power for Rs.750–Rs.10,600 clothing is significantly lower. A large portion of the budget is generating impressions that statistically never convert at this price point.</w:t>
            </w:r>
          </w:p>
          <w:p>
            <w:pPr>
              <w:spacing w:after="0"/>
            </w:pPr>
            <w:r>
              <w:rPr>
                <w:rFonts w:ascii="Arial" w:cs="Arial" w:eastAsia="Arial" w:hAnsi="Arial"/>
                <w:b/>
                <w:bCs/>
                <w:color w:val="6B1A1A"/>
                <w:sz w:val="19"/>
                <w:szCs w:val="19"/>
              </w:rPr>
              <w:t xml:space="preserve">Our Fix: </w:t>
            </w:r>
            <w:r>
              <w:rPr>
                <w:rFonts w:ascii="Arial" w:cs="Arial" w:eastAsia="Arial" w:hAnsi="Arial"/>
                <w:i/>
                <w:iCs/>
                <w:color w:val="1A1A1A"/>
                <w:sz w:val="19"/>
                <w:szCs w:val="19"/>
              </w:rPr>
              <w:t xml:space="preserve">Refocus targeting to 15 premium Indian cities (see Section 5) → same budget reaches only high-intent, high-purchasing-power audiences → ROAS improves 25–40%.</w:t>
            </w:r>
          </w:p>
        </w:tc>
      </w:tr>
    </w:tbl>
    <w:p>
      <w:pPr>
        <w:spacing w:after="140"/>
      </w:pPr>
    </w:p>
    <w:tbl>
      <w:tblPr>
        <w:tblW w:type="dxa" w:w="10080"/>
        <w:tblBorders>
          <w:top w:val="single" w:color="C0392B" w:sz="1"/>
          <w:left w:val="single" w:color="C0392B" w:sz="12"/>
          <w:bottom w:val="single" w:color="C0392B" w:sz="1"/>
          <w:right w:val="single" w:color="C0392B"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EF0F0" w:val="clear"/>
            <w:tcMar>
              <w:top w:type="dxa" w:w="120"/>
              <w:left w:type="dxa" w:w="200"/>
              <w:bottom w:type="dxa" w:w="120"/>
              <w:right w:type="dxa" w:w="200"/>
            </w:tcMar>
          </w:tcPr>
          <w:p>
            <w:pPr>
              <w:spacing w:after="60"/>
            </w:pPr>
            <w:r>
              <w:rPr>
                <w:rFonts w:ascii="Arial" w:cs="Arial" w:eastAsia="Arial" w:hAnsi="Arial"/>
                <w:b/>
                <w:bCs/>
                <w:color w:val="C0392B"/>
                <w:sz w:val="18"/>
                <w:szCs w:val="18"/>
              </w:rPr>
              <w:t xml:space="preserve">[HIGH]  </w:t>
            </w:r>
            <w:r>
              <w:rPr>
                <w:rFonts w:ascii="Arial" w:cs="Arial" w:eastAsia="Arial" w:hAnsi="Arial"/>
                <w:b/>
                <w:bCs/>
                <w:color w:val="1A1A1A"/>
                <w:sz w:val="22"/>
                <w:szCs w:val="22"/>
              </w:rPr>
              <w:t xml:space="preserve">No Advantage+ Shopping Campaign</w:t>
            </w:r>
          </w:p>
          <w:p>
            <w:pPr>
              <w:spacing w:after="80"/>
            </w:pPr>
            <w:r>
              <w:rPr>
                <w:rFonts w:ascii="Arial" w:cs="Arial" w:eastAsia="Arial" w:hAnsi="Arial"/>
                <w:color w:val="555555"/>
                <w:sz w:val="19"/>
                <w:szCs w:val="19"/>
              </w:rPr>
              <w:t xml:space="preserve">Meta's Advantage+ Shopping Campaigns (ASC) use full AI automation and consistently outperform manual campaigns by 12–20% for e-commerce. This is Meta's recommended format for online stores in 2026, yet zero ASC campaigns are running.</w:t>
            </w:r>
          </w:p>
          <w:p>
            <w:pPr>
              <w:spacing w:after="0"/>
            </w:pPr>
            <w:r>
              <w:rPr>
                <w:rFonts w:ascii="Arial" w:cs="Arial" w:eastAsia="Arial" w:hAnsi="Arial"/>
                <w:b/>
                <w:bCs/>
                <w:color w:val="6B1A1A"/>
                <w:sz w:val="19"/>
                <w:szCs w:val="19"/>
              </w:rPr>
              <w:t xml:space="preserve">Our Fix: </w:t>
            </w:r>
            <w:r>
              <w:rPr>
                <w:rFonts w:ascii="Arial" w:cs="Arial" w:eastAsia="Arial" w:hAnsi="Arial"/>
                <w:i/>
                <w:iCs/>
                <w:color w:val="1A1A1A"/>
                <w:sz w:val="19"/>
                <w:szCs w:val="19"/>
              </w:rPr>
              <w:t xml:space="preserve">Launch one Advantage+ Shopping Campaign alongside the manual campaigns → let Meta's AI find additional buyers the manual campaigns miss → incremental ROAS improvement.</w:t>
            </w:r>
          </w:p>
        </w:tc>
      </w:tr>
    </w:tbl>
    <w:p>
      <w:pPr>
        <w:spacing w:after="140"/>
      </w:pPr>
    </w:p>
    <w:tbl>
      <w:tblPr>
        <w:tblW w:type="dxa" w:w="10080"/>
        <w:tblBorders>
          <w:top w:val="single" w:color="E67E22" w:sz="1"/>
          <w:left w:val="single" w:color="E67E22" w:sz="12"/>
          <w:bottom w:val="single" w:color="E67E22" w:sz="1"/>
          <w:right w:val="single" w:color="E67E22"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FF8F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[MEDIUM]  </w:t>
            </w:r>
            <w:r>
              <w:rPr>
                <w:rFonts w:ascii="Arial" w:cs="Arial" w:eastAsia="Arial" w:hAnsi="Arial"/>
                <w:b/>
                <w:bCs/>
                <w:color w:val="1A1A1A"/>
                <w:sz w:val="22"/>
                <w:szCs w:val="22"/>
              </w:rPr>
              <w:t xml:space="preserve">Creative Cannibalization Between Similar Campaigns</w:t>
            </w:r>
          </w:p>
          <w:p>
            <w:pPr>
              <w:spacing w:after="80"/>
            </w:pPr>
            <w:r>
              <w:rPr>
                <w:rFonts w:ascii="Arial" w:cs="Arial" w:eastAsia="Arial" w:hAnsi="Arial"/>
                <w:color w:val="555555"/>
                <w:sz w:val="19"/>
                <w:szCs w:val="19"/>
              </w:rPr>
              <w:t xml:space="preserve">Multiple campaigns with near-identical targeting and creative (AI Video HR, AI Video HRSim, video camp) are competing against each other in Meta's ad auction. This drives up CPM as Taneja's own ads bid against each other.</w:t>
            </w:r>
          </w:p>
          <w:p>
            <w:pPr>
              <w:spacing w:after="0"/>
            </w:pPr>
            <w:r>
              <w:rPr>
                <w:rFonts w:ascii="Arial" w:cs="Arial" w:eastAsia="Arial" w:hAnsi="Arial"/>
                <w:b/>
                <w:bCs/>
                <w:color w:val="6B1A1A"/>
                <w:sz w:val="19"/>
                <w:szCs w:val="19"/>
              </w:rPr>
              <w:t xml:space="preserve">Our Fix: </w:t>
            </w:r>
            <w:r>
              <w:rPr>
                <w:rFonts w:ascii="Arial" w:cs="Arial" w:eastAsia="Arial" w:hAnsi="Arial"/>
                <w:i/>
                <w:iCs/>
                <w:color w:val="1A1A1A"/>
                <w:sz w:val="19"/>
                <w:szCs w:val="19"/>
              </w:rPr>
              <w:t xml:space="preserve">Consolidate into a single prospecting campaign with multiple ad sets → eliminate self-competition in the auction → CPM reduces 15–25%.</w:t>
            </w:r>
          </w:p>
        </w:tc>
      </w:tr>
    </w:tbl>
    <w:p>
      <w:pPr>
        <w:spacing w:after="140"/>
      </w:pPr>
    </w:p>
    <w:tbl>
      <w:tblPr>
        <w:tblW w:type="dxa" w:w="10080"/>
        <w:tblBorders>
          <w:top w:val="single" w:color="E67E22" w:sz="1"/>
          <w:left w:val="single" w:color="E67E22" w:sz="12"/>
          <w:bottom w:val="single" w:color="E67E22" w:sz="1"/>
          <w:right w:val="single" w:color="E67E22"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FF8F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[MEDIUM]  </w:t>
            </w:r>
            <w:r>
              <w:rPr>
                <w:rFonts w:ascii="Arial" w:cs="Arial" w:eastAsia="Arial" w:hAnsi="Arial"/>
                <w:b/>
                <w:bCs/>
                <w:color w:val="1A1A1A"/>
                <w:sz w:val="22"/>
                <w:szCs w:val="22"/>
              </w:rPr>
              <w:t xml:space="preserve">No Structured Retargeting Funnel</w:t>
            </w:r>
          </w:p>
          <w:p>
            <w:pPr>
              <w:spacing w:after="80"/>
            </w:pPr>
            <w:r>
              <w:rPr>
                <w:rFonts w:ascii="Arial" w:cs="Arial" w:eastAsia="Arial" w:hAnsi="Arial"/>
                <w:color w:val="555555"/>
                <w:sz w:val="19"/>
                <w:szCs w:val="19"/>
              </w:rPr>
              <w:t xml:space="preserve">Only one retargeting campaign is running. A proper retargeting funnel requires 3 stages with different creative and offers for each: product viewers, add-to-cart abandoners, and engagement audiences.</w:t>
            </w:r>
          </w:p>
          <w:p>
            <w:pPr>
              <w:spacing w:after="0"/>
            </w:pPr>
            <w:r>
              <w:rPr>
                <w:rFonts w:ascii="Arial" w:cs="Arial" w:eastAsia="Arial" w:hAnsi="Arial"/>
                <w:b/>
                <w:bCs/>
                <w:color w:val="6B1A1A"/>
                <w:sz w:val="19"/>
                <w:szCs w:val="19"/>
              </w:rPr>
              <w:t xml:space="preserve">Our Fix: </w:t>
            </w:r>
            <w:r>
              <w:rPr>
                <w:rFonts w:ascii="Arial" w:cs="Arial" w:eastAsia="Arial" w:hAnsi="Arial"/>
                <w:i/>
                <w:iCs/>
                <w:color w:val="1A1A1A"/>
                <w:sz w:val="19"/>
                <w:szCs w:val="19"/>
              </w:rPr>
              <w:t xml:space="preserve">Build a full 3-stage retargeting funnel with stage-specific messaging → warm audience CPP typically drops to Rs.40–60 vs Rs.99+ for cold audiences.</w:t>
            </w:r>
          </w:p>
        </w:tc>
      </w:tr>
    </w:tbl>
    <w:p>
      <w:pPr>
        <w:spacing w:after="140"/>
      </w:pPr>
    </w:p>
    <w:p>
      <w:r>
        <w:br w:type="page"/>
      </w:r>
    </w:p>
    <w:p>
      <w:pPr>
        <w:pStyle w:val="Heading1"/>
        <w:pBdr>
          <w:bottom w:val="single" w:color="B8860B" w:sz="4" w:space="4"/>
        </w:pBdr>
        <w:spacing w:after="160" w:before="360"/>
      </w:pPr>
      <w:r>
        <w:rPr>
          <w:rFonts w:ascii="Arial" w:cs="Arial" w:eastAsia="Arial" w:hAnsi="Arial"/>
          <w:b/>
          <w:bCs/>
          <w:color w:val="6B1A1A"/>
          <w:sz w:val="36"/>
          <w:szCs w:val="36"/>
        </w:rPr>
        <w:t xml:space="preserve">4. Recommended Campaign Structure</w:t>
      </w:r>
    </w:p>
    <w:p>
      <w:pPr>
        <w:pStyle w:val="Heading2"/>
        <w:spacing w:after="120" w:before="280"/>
      </w:pPr>
      <w:r>
        <w:rPr>
          <w:rFonts w:ascii="Arial" w:cs="Arial" w:eastAsia="Arial" w:hAnsi="Arial"/>
          <w:b/>
          <w:bCs/>
          <w:color w:val="6B1A1A"/>
          <w:sz w:val="28"/>
          <w:szCs w:val="28"/>
        </w:rPr>
        <w:t xml:space="preserve">3 Campaigns That Replace 22</w:t>
      </w:r>
    </w:p>
    <w:p>
      <w:pPr>
        <w:spacing w:after="120"/>
        <w:jc w:val="left"/>
      </w:pPr>
      <w:r>
        <w:rPr>
          <w:rFonts w:ascii="Arial" w:cs="Arial" w:eastAsia="Arial" w:hAnsi="Arial"/>
          <w:b w:val="false"/>
          <w:bCs w:val="false"/>
          <w:i w:val="false"/>
          <w:iCs w:val="false"/>
          <w:color w:val="555555"/>
          <w:sz w:val="20"/>
          <w:szCs w:val="20"/>
        </w:rPr>
        <w:t xml:space="preserve">Fewer, larger campaigns with bigger budgets allow Meta's algorithm to optimize properly and consistently exit the learning phase.</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6B1A1A" w:val="clear"/>
            <w:tcMar>
              <w:top w:type="dxa" w:w="200"/>
              <w:left w:type="dxa" w:w="240"/>
              <w:bottom w:type="dxa" w:w="200"/>
              <w:right w:type="dxa" w:w="240"/>
            </w:tcMar>
          </w:tcPr>
          <w:p>
            <w:pPr>
              <w:spacing w:after="80"/>
            </w:pPr>
            <w:r>
              <w:rPr>
                <w:rFonts w:ascii="Arial" w:cs="Arial" w:eastAsia="Arial" w:hAnsi="Arial"/>
                <w:b/>
                <w:bCs/>
                <w:color w:val="B8860B"/>
                <w:sz w:val="24"/>
                <w:szCs w:val="24"/>
              </w:rPr>
              <w:t xml:space="preserve">Campaign 1 — Prospecting: Find New Buyers</w:t>
            </w:r>
          </w:p>
          <w:p>
            <w:pPr>
              <w:spacing w:after="80"/>
            </w:pPr>
            <w:r>
              <w:rPr>
                <w:rFonts w:ascii="Arial" w:cs="Arial" w:eastAsia="Arial" w:hAnsi="Arial"/>
                <w:color w:val="FFFFFF"/>
                <w:sz w:val="20"/>
                <w:szCs w:val="20"/>
              </w:rPr>
              <w:t xml:space="preserve">Daily Budget: Rs.3,000–5,000/day (CBO)</w:t>
            </w:r>
          </w:p>
          <w:p>
            <w:pPr>
              <w:pStyle w:val="ListParagraph"/>
              <w:numPr>
                <w:ilvl w:val="0"/>
                <w:numId w:val="2"/>
              </w:numPr>
              <w:spacing w:after="60"/>
            </w:pPr>
            <w:r>
              <w:rPr>
                <w:rFonts w:ascii="Arial" w:cs="Arial" w:eastAsia="Arial" w:hAnsi="Arial"/>
                <w:color w:val="FFFFFF"/>
                <w:sz w:val="19"/>
                <w:szCs w:val="19"/>
              </w:rPr>
              <w:t xml:space="preserve">Ad Set A: Lookalike 1% from Buyer List | Women 25–45 | Top 15 Cities</w:t>
            </w:r>
          </w:p>
          <w:p>
            <w:pPr>
              <w:pStyle w:val="ListParagraph"/>
              <w:numPr>
                <w:ilvl w:val="0"/>
                <w:numId w:val="2"/>
              </w:numPr>
              <w:spacing w:after="60"/>
            </w:pPr>
            <w:r>
              <w:rPr>
                <w:rFonts w:ascii="Arial" w:cs="Arial" w:eastAsia="Arial" w:hAnsi="Arial"/>
                <w:color w:val="FFFFFF"/>
                <w:sz w:val="19"/>
                <w:szCs w:val="19"/>
              </w:rPr>
              <w:t xml:space="preserve">Ad Set B: Lookalike 3% from Buyer List | Women 25–45 | Top 15 Cities</w:t>
            </w:r>
          </w:p>
          <w:p>
            <w:pPr>
              <w:pStyle w:val="ListParagraph"/>
              <w:numPr>
                <w:ilvl w:val="0"/>
                <w:numId w:val="2"/>
              </w:numPr>
              <w:spacing w:after="60"/>
            </w:pPr>
            <w:r>
              <w:rPr>
                <w:rFonts w:ascii="Arial" w:cs="Arial" w:eastAsia="Arial" w:hAnsi="Arial"/>
                <w:color w:val="FFFFFF"/>
                <w:sz w:val="19"/>
                <w:szCs w:val="19"/>
              </w:rPr>
              <w:t xml:space="preserve">Ad Set C: Advantage+ Audience | Women 23–50 | Ethnic Wear Interests | Top 15 Cities</w:t>
            </w:r>
          </w:p>
          <w:p>
            <w:pPr>
              <w:pStyle w:val="ListParagraph"/>
              <w:numPr>
                <w:ilvl w:val="0"/>
                <w:numId w:val="2"/>
              </w:numPr>
              <w:spacing w:after="60"/>
            </w:pPr>
            <w:r>
              <w:rPr>
                <w:rFonts w:ascii="Arial" w:cs="Arial" w:eastAsia="Arial" w:hAnsi="Arial"/>
                <w:color w:val="FFFFFF"/>
                <w:sz w:val="19"/>
                <w:szCs w:val="19"/>
              </w:rPr>
              <w:t xml:space="preserve">Creative: UGC testimonials, AI video (proven format), carousel product showcase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6B1A1A" w:val="clear"/>
            <w:tcMar>
              <w:top w:type="dxa" w:w="200"/>
              <w:left w:type="dxa" w:w="240"/>
              <w:bottom w:type="dxa" w:w="200"/>
              <w:right w:type="dxa" w:w="240"/>
            </w:tcMar>
          </w:tcPr>
          <w:p>
            <w:pPr>
              <w:spacing w:after="80"/>
            </w:pPr>
            <w:r>
              <w:rPr>
                <w:rFonts w:ascii="Arial" w:cs="Arial" w:eastAsia="Arial" w:hAnsi="Arial"/>
                <w:b/>
                <w:bCs/>
                <w:color w:val="B8860B"/>
                <w:sz w:val="24"/>
                <w:szCs w:val="24"/>
              </w:rPr>
              <w:t xml:space="preserve">Campaign 2 — Retargeting: Convert Warm Audience</w:t>
            </w:r>
          </w:p>
          <w:p>
            <w:pPr>
              <w:spacing w:after="80"/>
            </w:pPr>
            <w:r>
              <w:rPr>
                <w:rFonts w:ascii="Arial" w:cs="Arial" w:eastAsia="Arial" w:hAnsi="Arial"/>
                <w:color w:val="FFFFFF"/>
                <w:sz w:val="20"/>
                <w:szCs w:val="20"/>
              </w:rPr>
              <w:t xml:space="preserve">Daily Budget: Rs.1,500–2,000/day (CBO)</w:t>
            </w:r>
          </w:p>
          <w:p>
            <w:pPr>
              <w:pStyle w:val="ListParagraph"/>
              <w:numPr>
                <w:ilvl w:val="0"/>
                <w:numId w:val="2"/>
              </w:numPr>
              <w:spacing w:after="60"/>
            </w:pPr>
            <w:r>
              <w:rPr>
                <w:rFonts w:ascii="Arial" w:cs="Arial" w:eastAsia="Arial" w:hAnsi="Arial"/>
                <w:color w:val="FFFFFF"/>
                <w:sz w:val="19"/>
                <w:szCs w:val="19"/>
              </w:rPr>
              <w:t xml:space="preserve">Ad Set A: Website Visitors 30 days (viewed product, no purchase) | Creative: Urgency offer</w:t>
            </w:r>
          </w:p>
          <w:p>
            <w:pPr>
              <w:pStyle w:val="ListParagraph"/>
              <w:numPr>
                <w:ilvl w:val="0"/>
                <w:numId w:val="2"/>
              </w:numPr>
              <w:spacing w:after="60"/>
            </w:pPr>
            <w:r>
              <w:rPr>
                <w:rFonts w:ascii="Arial" w:cs="Arial" w:eastAsia="Arial" w:hAnsi="Arial"/>
                <w:color w:val="FFFFFF"/>
                <w:sz w:val="19"/>
                <w:szCs w:val="19"/>
              </w:rPr>
              <w:t xml:space="preserve">Ad Set B: Add to Cart, No Purchase 14 days | Creative: Rs.200 off limited time</w:t>
            </w:r>
          </w:p>
          <w:p>
            <w:pPr>
              <w:pStyle w:val="ListParagraph"/>
              <w:numPr>
                <w:ilvl w:val="0"/>
                <w:numId w:val="2"/>
              </w:numPr>
              <w:spacing w:after="60"/>
            </w:pPr>
            <w:r>
              <w:rPr>
                <w:rFonts w:ascii="Arial" w:cs="Arial" w:eastAsia="Arial" w:hAnsi="Arial"/>
                <w:color w:val="FFFFFF"/>
                <w:sz w:val="19"/>
                <w:szCs w:val="19"/>
              </w:rPr>
              <w:t xml:space="preserve">Ad Set C: Instagram/Facebook Engagers 60 days | Creative: Social proof + reviews</w:t>
            </w:r>
          </w:p>
          <w:p>
            <w:pPr>
              <w:spacing w:after="0"/>
            </w:pPr>
            <w:r>
              <w:rPr>
                <w:rFonts w:ascii="Arial" w:cs="Arial" w:eastAsia="Arial" w:hAnsi="Arial"/>
                <w:b/>
                <w:bCs/>
                <w:color w:val="B8860B"/>
                <w:sz w:val="20"/>
                <w:szCs w:val="20"/>
              </w:rPr>
              <w:t xml:space="preserve">Expected CPP: Rs.40–60 (warm audience converts at significantly lower cost)</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6B1A1A" w:val="clear"/>
            <w:tcMar>
              <w:top w:type="dxa" w:w="200"/>
              <w:left w:type="dxa" w:w="240"/>
              <w:bottom w:type="dxa" w:w="200"/>
              <w:right w:type="dxa" w:w="240"/>
            </w:tcMar>
          </w:tcPr>
          <w:p>
            <w:pPr>
              <w:spacing w:after="80"/>
            </w:pPr>
            <w:r>
              <w:rPr>
                <w:rFonts w:ascii="Arial" w:cs="Arial" w:eastAsia="Arial" w:hAnsi="Arial"/>
                <w:b/>
                <w:bCs/>
                <w:color w:val="B8860B"/>
                <w:sz w:val="24"/>
                <w:szCs w:val="24"/>
              </w:rPr>
              <w:t xml:space="preserve">Campaign 3 — Advantage+ Shopping Campaign</w:t>
            </w:r>
          </w:p>
          <w:p>
            <w:pPr>
              <w:spacing w:after="80"/>
            </w:pPr>
            <w:r>
              <w:rPr>
                <w:rFonts w:ascii="Arial" w:cs="Arial" w:eastAsia="Arial" w:hAnsi="Arial"/>
                <w:color w:val="FFFFFF"/>
                <w:sz w:val="20"/>
                <w:szCs w:val="20"/>
              </w:rPr>
              <w:t xml:space="preserve">Daily Budget: Rs.2,000–3,000/day</w:t>
            </w:r>
          </w:p>
          <w:p>
            <w:pPr>
              <w:pStyle w:val="ListParagraph"/>
              <w:numPr>
                <w:ilvl w:val="0"/>
                <w:numId w:val="2"/>
              </w:numPr>
              <w:spacing w:after="60"/>
            </w:pPr>
            <w:r>
              <w:rPr>
                <w:rFonts w:ascii="Arial" w:cs="Arial" w:eastAsia="Arial" w:hAnsi="Arial"/>
                <w:color w:val="FFFFFF"/>
                <w:sz w:val="19"/>
                <w:szCs w:val="19"/>
              </w:rPr>
              <w:t xml:space="preserve">Audience: Meta AI-controlled (existing customer cap: 30%)</w:t>
            </w:r>
          </w:p>
          <w:p>
            <w:pPr>
              <w:pStyle w:val="ListParagraph"/>
              <w:numPr>
                <w:ilvl w:val="0"/>
                <w:numId w:val="2"/>
              </w:numPr>
              <w:spacing w:after="60"/>
            </w:pPr>
            <w:r>
              <w:rPr>
                <w:rFonts w:ascii="Arial" w:cs="Arial" w:eastAsia="Arial" w:hAnsi="Arial"/>
                <w:color w:val="FFFFFF"/>
                <w:sz w:val="19"/>
                <w:szCs w:val="19"/>
              </w:rPr>
              <w:t xml:space="preserve">Creative: Top 5–10 proven creatives + full product catalog</w:t>
            </w:r>
          </w:p>
          <w:p>
            <w:pPr>
              <w:pStyle w:val="ListParagraph"/>
              <w:numPr>
                <w:ilvl w:val="0"/>
                <w:numId w:val="2"/>
              </w:numPr>
              <w:spacing w:after="60"/>
            </w:pPr>
            <w:r>
              <w:rPr>
                <w:rFonts w:ascii="Arial" w:cs="Arial" w:eastAsia="Arial" w:hAnsi="Arial"/>
                <w:color w:val="FFFFFF"/>
                <w:sz w:val="19"/>
                <w:szCs w:val="19"/>
              </w:rPr>
              <w:t xml:space="preserve">This campaign captures incremental purchases the manual campaigns miss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DDDD" w:sz="1"/>
              <w:left w:val="single" w:color="DDDDDD" w:sz="1"/>
              <w:bottom w:val="single" w:color="DDDDDD" w:sz="1"/>
              <w:right w:val="single" w:color="DDDDDD" w:sz="1"/>
            </w:tcBorders>
            <w:shd w:fill="FFF8E7" w:val="clear"/>
            <w:tcMar>
              <w:top w:type="dxa" w:w="100"/>
              <w:left w:type="dxa" w:w="140"/>
              <w:bottom w:type="dxa" w:w="100"/>
              <w:right w:type="dxa" w:w="140"/>
            </w:tcMar>
            <w:vAlign w:val="center"/>
          </w:tcPr>
          <w:p>
            <w:pPr>
              <w:jc w:val="center"/>
            </w:pPr>
            <w:r>
              <w:rPr>
                <w:rFonts w:ascii="Arial" w:cs="Arial" w:eastAsia="Arial" w:hAnsi="Arial"/>
                <w:b/>
                <w:bCs/>
                <w:i w:val="false"/>
                <w:iCs w:val="false"/>
                <w:color w:val="1A1A1A"/>
                <w:sz w:val="20"/>
                <w:szCs w:val="20"/>
              </w:rPr>
              <w:t xml:space="preserve">Total Daily Budget</w:t>
            </w:r>
          </w:p>
        </w:tc>
        <w:tc>
          <w:tcPr>
            <w:tcW w:type="dxa" w:w="3360"/>
            <w:tcBorders>
              <w:top w:val="single" w:color="DDDDDD" w:sz="1"/>
              <w:left w:val="single" w:color="DDDDDD" w:sz="1"/>
              <w:bottom w:val="single" w:color="DDDDDD" w:sz="1"/>
              <w:right w:val="single" w:color="DDDDDD" w:sz="1"/>
            </w:tcBorders>
            <w:shd w:fill="FFF8E7" w:val="clear"/>
            <w:tcMar>
              <w:top w:type="dxa" w:w="100"/>
              <w:left w:type="dxa" w:w="140"/>
              <w:bottom w:type="dxa" w:w="100"/>
              <w:right w:type="dxa" w:w="140"/>
            </w:tcMar>
            <w:vAlign w:val="center"/>
          </w:tcPr>
          <w:p>
            <w:pPr>
              <w:jc w:val="center"/>
            </w:pPr>
            <w:r>
              <w:rPr>
                <w:rFonts w:ascii="Arial" w:cs="Arial" w:eastAsia="Arial" w:hAnsi="Arial"/>
                <w:b/>
                <w:bCs/>
                <w:i w:val="false"/>
                <w:iCs w:val="false"/>
                <w:color w:val="1A1A1A"/>
                <w:sz w:val="20"/>
                <w:szCs w:val="20"/>
              </w:rPr>
              <w:t xml:space="preserve">Expected Monthly Purchases</w:t>
            </w:r>
          </w:p>
        </w:tc>
        <w:tc>
          <w:tcPr>
            <w:tcW w:type="dxa" w:w="3360"/>
            <w:tcBorders>
              <w:top w:val="single" w:color="DDDDDD" w:sz="1"/>
              <w:left w:val="single" w:color="DDDDDD" w:sz="1"/>
              <w:bottom w:val="single" w:color="DDDDDD" w:sz="1"/>
              <w:right w:val="single" w:color="DDDDDD" w:sz="1"/>
            </w:tcBorders>
            <w:shd w:fill="FFF8E7" w:val="clear"/>
            <w:tcMar>
              <w:top w:type="dxa" w:w="100"/>
              <w:left w:type="dxa" w:w="140"/>
              <w:bottom w:type="dxa" w:w="100"/>
              <w:right w:type="dxa" w:w="140"/>
            </w:tcMar>
            <w:vAlign w:val="center"/>
          </w:tcPr>
          <w:p>
            <w:pPr>
              <w:jc w:val="center"/>
            </w:pPr>
            <w:r>
              <w:rPr>
                <w:rFonts w:ascii="Arial" w:cs="Arial" w:eastAsia="Arial" w:hAnsi="Arial"/>
                <w:b/>
                <w:bCs/>
                <w:i w:val="false"/>
                <w:iCs w:val="false"/>
                <w:color w:val="1A1A1A"/>
                <w:sz w:val="20"/>
                <w:szCs w:val="20"/>
              </w:rPr>
              <w:t xml:space="preserve">Expected Average CPP</w:t>
            </w:r>
          </w:p>
        </w:tc>
      </w:tr>
      <w:tr>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6B1A1A"/>
                <w:sz w:val="24"/>
                <w:szCs w:val="24"/>
              </w:rPr>
              <w:t xml:space="preserve">Rs.6,500–10,000</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6B1A1A"/>
                <w:sz w:val="24"/>
                <w:szCs w:val="24"/>
              </w:rPr>
              <w:t xml:space="preserve">1,500–2,500</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4"/>
                <w:szCs w:val="24"/>
              </w:rPr>
              <w:t xml:space="preserve">Rs.65–80</w:t>
            </w:r>
          </w:p>
        </w:tc>
      </w:tr>
    </w:tbl>
    <w:p>
      <w:pPr>
        <w:spacing w:after="120"/>
      </w:pPr>
    </w:p>
    <w:p>
      <w:r>
        <w:br w:type="page"/>
      </w:r>
    </w:p>
    <w:p>
      <w:pPr>
        <w:pStyle w:val="Heading1"/>
        <w:pBdr>
          <w:bottom w:val="single" w:color="B8860B" w:sz="4" w:space="4"/>
        </w:pBdr>
        <w:spacing w:after="160" w:before="360"/>
      </w:pPr>
      <w:r>
        <w:rPr>
          <w:rFonts w:ascii="Arial" w:cs="Arial" w:eastAsia="Arial" w:hAnsi="Arial"/>
          <w:b/>
          <w:bCs/>
          <w:color w:val="6B1A1A"/>
          <w:sz w:val="36"/>
          <w:szCs w:val="36"/>
        </w:rPr>
        <w:t xml:space="preserve">5. Premium Location Targeting Strategy</w:t>
      </w:r>
    </w:p>
    <w:p>
      <w:pPr>
        <w:pStyle w:val="Heading2"/>
        <w:spacing w:after="120" w:before="280"/>
      </w:pPr>
      <w:r>
        <w:rPr>
          <w:rFonts w:ascii="Arial" w:cs="Arial" w:eastAsia="Arial" w:hAnsi="Arial"/>
          <w:b/>
          <w:bCs/>
          <w:color w:val="6B1A1A"/>
          <w:sz w:val="28"/>
          <w:szCs w:val="28"/>
        </w:rPr>
        <w:t xml:space="preserve">Target Where Buyers Actually Are</w:t>
      </w:r>
    </w:p>
    <w:p>
      <w:pPr>
        <w:spacing w:after="120"/>
        <w:jc w:val="left"/>
      </w:pPr>
      <w:r>
        <w:rPr>
          <w:rFonts w:ascii="Arial" w:cs="Arial" w:eastAsia="Arial" w:hAnsi="Arial"/>
          <w:b w:val="false"/>
          <w:bCs w:val="false"/>
          <w:i w:val="false"/>
          <w:iCs w:val="false"/>
          <w:color w:val="555555"/>
          <w:sz w:val="20"/>
          <w:szCs w:val="20"/>
        </w:rPr>
        <w:t xml:space="preserve">Focusing exclusively on India's top purchasing-power cities for online fashion improves ROAS by 25–40% without any creative changes. The following cities are recommended based on online fashion spending data.</w:t>
      </w:r>
    </w:p>
    <w:p>
      <w:pPr>
        <w:spacing w:after="200"/>
      </w:pPr>
    </w:p>
    <w:p>
      <w:pPr>
        <w:pStyle w:val="Heading2"/>
        <w:spacing w:after="120" w:before="280"/>
      </w:pPr>
      <w:r>
        <w:rPr>
          <w:rFonts w:ascii="Arial" w:cs="Arial" w:eastAsia="Arial" w:hAnsi="Arial"/>
          <w:b/>
          <w:bCs/>
          <w:color w:val="6B1A1A"/>
          <w:sz w:val="28"/>
          <w:szCs w:val="28"/>
        </w:rPr>
        <w:t xml:space="preserve">Tier 1 — Must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City</w:t>
            </w:r>
          </w:p>
        </w:tc>
        <w:tc>
          <w:tcPr>
            <w:tcW w:type="dxa" w:w="708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Why Target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Mumbai</w:t>
            </w:r>
          </w:p>
        </w:tc>
        <w:tc>
          <w:tcPr>
            <w:tcW w:type="dxa" w:w="7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Highest fashion spend per capita in India</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Delhi / NCR (Delhi, Noida, Gurgaon)</w:t>
            </w:r>
          </w:p>
        </w:tc>
        <w:tc>
          <w:tcPr>
            <w:tcW w:type="dxa" w:w="70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Largest online apparel market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Bengaluru</w:t>
            </w:r>
          </w:p>
        </w:tc>
        <w:tc>
          <w:tcPr>
            <w:tcW w:type="dxa" w:w="7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Young tech workforce, very high disposable income</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Hyderabad</w:t>
            </w:r>
          </w:p>
        </w:tc>
        <w:tc>
          <w:tcPr>
            <w:tcW w:type="dxa" w:w="70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Fast-growing premium consumer market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Pune</w:t>
            </w:r>
          </w:p>
        </w:tc>
        <w:tc>
          <w:tcPr>
            <w:tcW w:type="dxa" w:w="7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High aspirational fashion spend</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Chennai</w:t>
            </w:r>
          </w:p>
        </w:tc>
        <w:tc>
          <w:tcPr>
            <w:tcW w:type="dxa" w:w="70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Strong ethnic wear demand, high online adoption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Ahmedabad</w:t>
            </w:r>
          </w:p>
        </w:tc>
        <w:tc>
          <w:tcPr>
            <w:tcW w:type="dxa" w:w="7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Gujarati ethnic wear culture, strong buyer intent</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Surat</w:t>
            </w:r>
          </w:p>
        </w:tc>
        <w:tc>
          <w:tcPr>
            <w:tcW w:type="dxa" w:w="70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Traditional wear hub, high volume buyers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Jaipur</w:t>
            </w:r>
          </w:p>
        </w:tc>
        <w:tc>
          <w:tcPr>
            <w:tcW w:type="dxa" w:w="7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Fashion-forward, ethnic wear capital of Rajasthan</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Chandigarh</w:t>
            </w:r>
          </w:p>
        </w:tc>
        <w:tc>
          <w:tcPr>
            <w:tcW w:type="dxa" w:w="70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Premium North India audience, close to brand base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Ludhiana</w:t>
            </w:r>
          </w:p>
        </w:tc>
        <w:tc>
          <w:tcPr>
            <w:tcW w:type="dxa" w:w="7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Strong purchasing power, Taneja's home region advantage</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Amritsar</w:t>
            </w:r>
          </w:p>
        </w:tc>
        <w:tc>
          <w:tcPr>
            <w:tcW w:type="dxa" w:w="70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High demand for traditional and ethnic clothing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Kolkata</w:t>
            </w:r>
          </w:p>
        </w:tc>
        <w:tc>
          <w:tcPr>
            <w:tcW w:type="dxa" w:w="7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Large ethnic wear market</w:t>
            </w:r>
          </w:p>
        </w:tc>
      </w:tr>
      <w:tr>
        <w:tc>
          <w:tcPr>
            <w:tcW w:type="dxa" w:w="3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Indore</w:t>
            </w:r>
          </w:p>
        </w:tc>
        <w:tc>
          <w:tcPr>
            <w:tcW w:type="dxa" w:w="70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Fast-emerging Tier-2 premium market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Coimbatore</w:t>
            </w:r>
          </w:p>
        </w:tc>
        <w:tc>
          <w:tcPr>
            <w:tcW w:type="dxa" w:w="7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Growing South India premium market</w:t>
            </w:r>
          </w:p>
        </w:tc>
      </w:tr>
    </w:tbl>
    <w:p>
      <w:pPr>
        <w:spacing w:after="200"/>
      </w:pPr>
    </w:p>
    <w:p>
      <w:pPr>
        <w:pStyle w:val="Heading2"/>
        <w:spacing w:after="120" w:before="280"/>
      </w:pPr>
      <w:r>
        <w:rPr>
          <w:rFonts w:ascii="Arial" w:cs="Arial" w:eastAsia="Arial" w:hAnsi="Arial"/>
          <w:b/>
          <w:bCs/>
          <w:color w:val="6B1A1A"/>
          <w:sz w:val="28"/>
          <w:szCs w:val="28"/>
        </w:rPr>
        <w:t xml:space="preserve">Tier 2 — Add Once Tier 1 Is Profitable</w:t>
      </w:r>
    </w:p>
    <w:p>
      <w:pPr>
        <w:spacing w:after="120"/>
        <w:jc w:val="left"/>
      </w:pPr>
      <w:r>
        <w:rPr>
          <w:rFonts w:ascii="Arial" w:cs="Arial" w:eastAsia="Arial" w:hAnsi="Arial"/>
          <w:b w:val="false"/>
          <w:bCs w:val="false"/>
          <w:i w:val="false"/>
          <w:iCs w:val="false"/>
          <w:color w:val="1A1A1A"/>
          <w:sz w:val="20"/>
          <w:szCs w:val="20"/>
        </w:rPr>
        <w:t xml:space="preserve">Lucknow, Nagpur, Vadodara, Bhopal, Patna, Kochi</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8860B" w:sz="1"/>
              <w:left w:val="single" w:color="B8860B" w:sz="12"/>
              <w:bottom w:val="single" w:color="B8860B" w:sz="1"/>
              <w:right w:val="single" w:color="B8860B" w:sz="1"/>
            </w:tcBorders>
            <w:shd w:fill="FFF8E7" w:val="clear"/>
            <w:tcMar>
              <w:top w:type="dxa" w:w="140"/>
              <w:left w:type="dxa" w:w="200"/>
              <w:bottom w:type="dxa" w:w="140"/>
              <w:right w:type="dxa" w:w="200"/>
            </w:tcMar>
          </w:tcPr>
          <w:p>
            <w:r>
              <w:rPr>
                <w:rFonts w:ascii="Arial" w:cs="Arial" w:eastAsia="Arial" w:hAnsi="Arial"/>
                <w:i/>
                <w:iCs/>
                <w:color w:val="1A1A1A"/>
                <w:sz w:val="20"/>
                <w:szCs w:val="20"/>
              </w:rPr>
              <w:t xml:space="preserve">Exclude: Rural districts and Tier 4 cities. They generate impressions but not purchases at the Rs.750–Rs.10,600 price point. Every rupee spent there is a rupee not spent on buyers who will convert.</w:t>
            </w:r>
          </w:p>
        </w:tc>
      </w:tr>
    </w:tbl>
    <w:p>
      <w:pPr>
        <w:spacing w:after="160"/>
      </w:pPr>
    </w:p>
    <w:p>
      <w:r>
        <w:br w:type="page"/>
      </w:r>
    </w:p>
    <w:p>
      <w:pPr>
        <w:pStyle w:val="Heading1"/>
        <w:pBdr>
          <w:bottom w:val="single" w:color="B8860B" w:sz="4" w:space="4"/>
        </w:pBdr>
        <w:spacing w:after="160" w:before="360"/>
      </w:pPr>
      <w:r>
        <w:rPr>
          <w:rFonts w:ascii="Arial" w:cs="Arial" w:eastAsia="Arial" w:hAnsi="Arial"/>
          <w:b/>
          <w:bCs/>
          <w:color w:val="6B1A1A"/>
          <w:sz w:val="36"/>
          <w:szCs w:val="36"/>
        </w:rPr>
        <w:t xml:space="preserve">6. Custom Audience &amp; Lookalike Strategy</w:t>
      </w:r>
    </w:p>
    <w:p>
      <w:pPr>
        <w:pStyle w:val="Heading2"/>
        <w:spacing w:after="120" w:before="280"/>
      </w:pPr>
      <w:r>
        <w:rPr>
          <w:rFonts w:ascii="Arial" w:cs="Arial" w:eastAsia="Arial" w:hAnsi="Arial"/>
          <w:b/>
          <w:bCs/>
          <w:color w:val="6B1A1A"/>
          <w:sz w:val="28"/>
          <w:szCs w:val="28"/>
        </w:rPr>
        <w:t xml:space="preserve">The Audience Stack — Build This in Order</w:t>
      </w:r>
    </w:p>
    <w:p>
      <w:pPr>
        <w:spacing w:after="120"/>
        <w:jc w:val="left"/>
      </w:pPr>
      <w:r>
        <w:rPr>
          <w:rFonts w:ascii="Arial" w:cs="Arial" w:eastAsia="Arial" w:hAnsi="Arial"/>
          <w:b w:val="false"/>
          <w:bCs w:val="false"/>
          <w:i w:val="false"/>
          <w:iCs w:val="false"/>
          <w:color w:val="555555"/>
          <w:sz w:val="20"/>
          <w:szCs w:val="20"/>
        </w:rPr>
        <w:t xml:space="preserve">Taneja Cloth House has processed thousands of orders. This buyer data is the most valuable targeting asset available and is currently completely unused.</w:t>
      </w:r>
    </w:p>
    <w:p>
      <w:pPr>
        <w:spacing w:after="160"/>
      </w:pPr>
    </w:p>
    <w:p>
      <w:pPr>
        <w:pStyle w:val="ListParagraph"/>
        <w:numPr>
          <w:ilvl w:val="0"/>
          <w:numId w:val="3"/>
        </w:numPr>
        <w:spacing w:after="80"/>
      </w:pPr>
      <w:r>
        <w:rPr>
          <w:rFonts w:ascii="Arial" w:cs="Arial" w:eastAsia="Arial" w:hAnsi="Arial"/>
          <w:color w:val="1A1A1A"/>
          <w:sz w:val="20"/>
          <w:szCs w:val="20"/>
        </w:rPr>
        <w:t xml:space="preserve">Upload complete Shopify buyer list → Create "Taneja Buyers – All Time" Custom Audience</w:t>
      </w:r>
    </w:p>
    <w:p>
      <w:pPr>
        <w:pStyle w:val="ListParagraph"/>
        <w:numPr>
          <w:ilvl w:val="0"/>
          <w:numId w:val="3"/>
        </w:numPr>
        <w:spacing w:after="80"/>
      </w:pPr>
      <w:r>
        <w:rPr>
          <w:rFonts w:ascii="Arial" w:cs="Arial" w:eastAsia="Arial" w:hAnsi="Arial"/>
          <w:color w:val="1A1A1A"/>
          <w:sz w:val="20"/>
          <w:szCs w:val="20"/>
        </w:rPr>
        <w:t xml:space="preserve">Create Lookalike 1% from buyer list → "LAL 1% Buyers India" (highest intent new customers)</w:t>
      </w:r>
    </w:p>
    <w:p>
      <w:pPr>
        <w:pStyle w:val="ListParagraph"/>
        <w:numPr>
          <w:ilvl w:val="0"/>
          <w:numId w:val="3"/>
        </w:numPr>
        <w:spacing w:after="80"/>
      </w:pPr>
      <w:r>
        <w:rPr>
          <w:rFonts w:ascii="Arial" w:cs="Arial" w:eastAsia="Arial" w:hAnsi="Arial"/>
          <w:color w:val="1A1A1A"/>
          <w:sz w:val="20"/>
          <w:szCs w:val="20"/>
        </w:rPr>
        <w:t xml:space="preserve">Create Lookalike 3% from buyer list → "LAL 3% Buyers India" (wider reach)</w:t>
      </w:r>
    </w:p>
    <w:p>
      <w:pPr>
        <w:pStyle w:val="ListParagraph"/>
        <w:numPr>
          <w:ilvl w:val="0"/>
          <w:numId w:val="3"/>
        </w:numPr>
        <w:spacing w:after="80"/>
      </w:pPr>
      <w:r>
        <w:rPr>
          <w:rFonts w:ascii="Arial" w:cs="Arial" w:eastAsia="Arial" w:hAnsi="Arial"/>
          <w:color w:val="1A1A1A"/>
          <w:sz w:val="20"/>
          <w:szCs w:val="20"/>
        </w:rPr>
        <w:t xml:space="preserve">Create Lookalike 5% from buyer list → "LAL 5% Buyers India" (scale audience)</w:t>
      </w:r>
    </w:p>
    <w:p>
      <w:pPr>
        <w:pStyle w:val="ListParagraph"/>
        <w:numPr>
          <w:ilvl w:val="0"/>
          <w:numId w:val="3"/>
        </w:numPr>
        <w:spacing w:after="80"/>
      </w:pPr>
      <w:r>
        <w:rPr>
          <w:rFonts w:ascii="Arial" w:cs="Arial" w:eastAsia="Arial" w:hAnsi="Arial"/>
          <w:color w:val="1A1A1A"/>
          <w:sz w:val="20"/>
          <w:szCs w:val="20"/>
        </w:rPr>
        <w:t xml:space="preserve">Website visitors pixel audience → "Website Visitors – 30 Days"</w:t>
      </w:r>
    </w:p>
    <w:p>
      <w:pPr>
        <w:pStyle w:val="ListParagraph"/>
        <w:numPr>
          <w:ilvl w:val="0"/>
          <w:numId w:val="3"/>
        </w:numPr>
        <w:spacing w:after="80"/>
      </w:pPr>
      <w:r>
        <w:rPr>
          <w:rFonts w:ascii="Arial" w:cs="Arial" w:eastAsia="Arial" w:hAnsi="Arial"/>
          <w:color w:val="1A1A1A"/>
          <w:sz w:val="20"/>
          <w:szCs w:val="20"/>
        </w:rPr>
        <w:t xml:space="preserve">Add to Cart, no purchase → "ATC No Purchase – 14 Days"</w:t>
      </w:r>
    </w:p>
    <w:p>
      <w:pPr>
        <w:pStyle w:val="ListParagraph"/>
        <w:numPr>
          <w:ilvl w:val="0"/>
          <w:numId w:val="3"/>
        </w:numPr>
        <w:spacing w:after="80"/>
      </w:pPr>
      <w:r>
        <w:rPr>
          <w:rFonts w:ascii="Arial" w:cs="Arial" w:eastAsia="Arial" w:hAnsi="Arial"/>
          <w:color w:val="1A1A1A"/>
          <w:sz w:val="20"/>
          <w:szCs w:val="20"/>
        </w:rPr>
        <w:t xml:space="preserve">Instagram engagers → "IG Engagers – 60 Days"</w:t>
      </w:r>
    </w:p>
    <w:p>
      <w:pPr>
        <w:pStyle w:val="ListParagraph"/>
        <w:numPr>
          <w:ilvl w:val="0"/>
          <w:numId w:val="3"/>
        </w:numPr>
        <w:spacing w:after="80"/>
      </w:pPr>
      <w:r>
        <w:rPr>
          <w:rFonts w:ascii="Arial" w:cs="Arial" w:eastAsia="Arial" w:hAnsi="Arial"/>
          <w:color w:val="1A1A1A"/>
          <w:sz w:val="20"/>
          <w:szCs w:val="20"/>
        </w:rPr>
        <w:t xml:space="preserve">Video viewers 75%+ → "Video Warm Audience – 30 Days"</w:t>
      </w:r>
    </w:p>
    <w:p>
      <w:pPr>
        <w:spacing w:after="200"/>
      </w:pPr>
    </w:p>
    <w:p>
      <w:pPr>
        <w:pStyle w:val="Heading2"/>
        <w:spacing w:after="120" w:before="280"/>
      </w:pPr>
      <w:r>
        <w:rPr>
          <w:rFonts w:ascii="Arial" w:cs="Arial" w:eastAsia="Arial" w:hAnsi="Arial"/>
          <w:b/>
          <w:bCs/>
          <w:color w:val="6B1A1A"/>
          <w:sz w:val="28"/>
          <w:szCs w:val="28"/>
        </w:rPr>
        <w:t xml:space="preserve">Customer List Upload Format</w:t>
      </w:r>
    </w:p>
    <w:p>
      <w:pPr>
        <w:spacing w:after="120"/>
        <w:jc w:val="left"/>
      </w:pPr>
      <w:r>
        <w:rPr>
          <w:rFonts w:ascii="Arial" w:cs="Arial" w:eastAsia="Arial" w:hAnsi="Arial"/>
          <w:b w:val="false"/>
          <w:bCs w:val="false"/>
          <w:i w:val="false"/>
          <w:iCs w:val="false"/>
          <w:color w:val="555555"/>
          <w:sz w:val="20"/>
          <w:szCs w:val="20"/>
        </w:rPr>
        <w:t xml:space="preserve">How to get the data: Shopify Admin → Customers → Export → All Customers → CSV</w:t>
      </w:r>
    </w:p>
    <w:p>
      <w:pPr>
        <w:spacing w:after="120"/>
        <w:jc w:val="left"/>
      </w:pPr>
      <w:r>
        <w:rPr>
          <w:rFonts w:ascii="Arial" w:cs="Arial" w:eastAsia="Arial" w:hAnsi="Arial"/>
          <w:b w:val="false"/>
          <w:bCs w:val="false"/>
          <w:i w:val="false"/>
          <w:iCs w:val="false"/>
          <w:color w:val="555555"/>
          <w:sz w:val="20"/>
          <w:szCs w:val="20"/>
        </w:rPr>
        <w:t xml:space="preserve">Upload to: Meta Ads Manager → Audiences → Create Audience → Custom Audience → Customer List</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c>
          <w:tcPr>
            <w:tcW w:type="dxa" w:w="144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email</w:t>
            </w:r>
          </w:p>
        </w:tc>
        <w:tc>
          <w:tcPr>
            <w:tcW w:type="dxa" w:w="144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phone</w:t>
            </w:r>
          </w:p>
        </w:tc>
        <w:tc>
          <w:tcPr>
            <w:tcW w:type="dxa" w:w="144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first_name</w:t>
            </w:r>
          </w:p>
        </w:tc>
        <w:tc>
          <w:tcPr>
            <w:tcW w:type="dxa" w:w="144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last_name</w:t>
            </w:r>
          </w:p>
        </w:tc>
        <w:tc>
          <w:tcPr>
            <w:tcW w:type="dxa" w:w="144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city</w:t>
            </w:r>
          </w:p>
        </w:tc>
        <w:tc>
          <w:tcPr>
            <w:tcW w:type="dxa" w:w="144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state</w:t>
            </w:r>
          </w:p>
        </w:tc>
        <w:tc>
          <w:tcPr>
            <w:tcW w:type="dxa" w:w="144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country</w:t>
            </w:r>
          </w:p>
        </w:tc>
      </w:tr>
      <w:tr>
        <w:tc>
          <w:tcPr>
            <w:tcW w:type="dxa" w:w="144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customer@gmail.com</w:t>
            </w:r>
          </w:p>
        </w:tc>
        <w:tc>
          <w:tcPr>
            <w:tcW w:type="dxa" w:w="144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9876543210</w:t>
            </w:r>
          </w:p>
        </w:tc>
        <w:tc>
          <w:tcPr>
            <w:tcW w:type="dxa" w:w="144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Priya</w:t>
            </w:r>
          </w:p>
        </w:tc>
        <w:tc>
          <w:tcPr>
            <w:tcW w:type="dxa" w:w="144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Sharma</w:t>
            </w:r>
          </w:p>
        </w:tc>
        <w:tc>
          <w:tcPr>
            <w:tcW w:type="dxa" w:w="144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Delhi</w:t>
            </w:r>
          </w:p>
        </w:tc>
        <w:tc>
          <w:tcPr>
            <w:tcW w:type="dxa" w:w="144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Delhi</w:t>
            </w:r>
          </w:p>
        </w:tc>
        <w:tc>
          <w:tcPr>
            <w:tcW w:type="dxa" w:w="144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18"/>
                <w:szCs w:val="18"/>
              </w:rPr>
              <w:t xml:space="preserve">IN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8860B" w:sz="1"/>
              <w:left w:val="single" w:color="B8860B" w:sz="12"/>
              <w:bottom w:val="single" w:color="B8860B" w:sz="1"/>
              <w:right w:val="single" w:color="B8860B" w:sz="1"/>
            </w:tcBorders>
            <w:shd w:fill="FFF8E7" w:val="clear"/>
            <w:tcMar>
              <w:top w:type="dxa" w:w="140"/>
              <w:left w:type="dxa" w:w="200"/>
              <w:bottom w:type="dxa" w:w="140"/>
              <w:right w:type="dxa" w:w="200"/>
            </w:tcMar>
          </w:tcPr>
          <w:p>
            <w:r>
              <w:rPr>
                <w:rFonts w:ascii="Arial" w:cs="Arial" w:eastAsia="Arial" w:hAnsi="Arial"/>
                <w:i/>
                <w:iCs/>
                <w:color w:val="1A1A1A"/>
                <w:sz w:val="20"/>
                <w:szCs w:val="20"/>
              </w:rPr>
              <w:t xml:space="preserve">Why this works: A Lookalike Audience built from real buyers performs 3–5x better than interest-based targeting because Meta finds people who behave exactly like your proven customers — same browsing habits, purchase patterns, and demographics.</w:t>
            </w:r>
          </w:p>
        </w:tc>
      </w:tr>
    </w:tbl>
    <w:p>
      <w:pPr>
        <w:spacing w:after="160"/>
      </w:pPr>
    </w:p>
    <w:p>
      <w:r>
        <w:br w:type="page"/>
      </w:r>
    </w:p>
    <w:p>
      <w:pPr>
        <w:pStyle w:val="Heading1"/>
        <w:pBdr>
          <w:bottom w:val="single" w:color="B8860B" w:sz="4" w:space="4"/>
        </w:pBdr>
        <w:spacing w:after="160" w:before="360"/>
      </w:pPr>
      <w:r>
        <w:rPr>
          <w:rFonts w:ascii="Arial" w:cs="Arial" w:eastAsia="Arial" w:hAnsi="Arial"/>
          <w:b/>
          <w:bCs/>
          <w:color w:val="6B1A1A"/>
          <w:sz w:val="36"/>
          <w:szCs w:val="36"/>
        </w:rPr>
        <w:t xml:space="preserve">7. Creative Strategy</w:t>
      </w:r>
    </w:p>
    <w:p>
      <w:pPr>
        <w:pStyle w:val="Heading2"/>
        <w:spacing w:after="120" w:before="280"/>
      </w:pPr>
      <w:r>
        <w:rPr>
          <w:rFonts w:ascii="Arial" w:cs="Arial" w:eastAsia="Arial" w:hAnsi="Arial"/>
          <w:b/>
          <w:bCs/>
          <w:color w:val="6B1A1A"/>
          <w:sz w:val="28"/>
          <w:szCs w:val="28"/>
        </w:rPr>
        <w:t xml:space="preserve">What to Run — Creative That Actually Converts</w:t>
      </w:r>
    </w:p>
    <w:p>
      <w:pPr>
        <w:spacing w:after="120"/>
        <w:jc w:val="left"/>
      </w:pPr>
      <w:r>
        <w:rPr>
          <w:rFonts w:ascii="Arial" w:cs="Arial" w:eastAsia="Arial" w:hAnsi="Arial"/>
          <w:b w:val="false"/>
          <w:bCs w:val="false"/>
          <w:i w:val="false"/>
          <w:iCs w:val="false"/>
          <w:color w:val="555555"/>
          <w:sz w:val="20"/>
          <w:szCs w:val="20"/>
        </w:rPr>
        <w:t xml:space="preserve">Current creative issues identified:</w:t>
      </w:r>
    </w:p>
    <w:p>
      <w:pPr>
        <w:pStyle w:val="ListParagraph"/>
        <w:numPr>
          <w:ilvl w:val="0"/>
          <w:numId w:val="2"/>
        </w:numPr>
        <w:spacing w:after="80"/>
      </w:pPr>
      <w:r>
        <w:rPr>
          <w:rFonts w:ascii="Arial" w:cs="Arial" w:eastAsia="Arial" w:hAnsi="Arial"/>
          <w:b w:val="false"/>
          <w:bCs w:val="false"/>
          <w:color w:val="1A1A1A"/>
          <w:sz w:val="20"/>
          <w:szCs w:val="20"/>
        </w:rPr>
        <w:t xml:space="preserve">Multiple near-identical AI Video campaigns create similarity score risk — Meta's Andromeda algorithm suppresses repeated creatives.</w:t>
      </w:r>
    </w:p>
    <w:p>
      <w:pPr>
        <w:pStyle w:val="ListParagraph"/>
        <w:numPr>
          <w:ilvl w:val="0"/>
          <w:numId w:val="2"/>
        </w:numPr>
        <w:spacing w:after="80"/>
      </w:pPr>
      <w:r>
        <w:rPr>
          <w:rFonts w:ascii="Arial" w:cs="Arial" w:eastAsia="Arial" w:hAnsi="Arial"/>
          <w:b w:val="false"/>
          <w:bCs w:val="false"/>
          <w:color w:val="1A1A1A"/>
          <w:sz w:val="20"/>
          <w:szCs w:val="20"/>
        </w:rPr>
        <w:t xml:space="preserve">No User Generated Content (UGC) despite having 201k Instagram followers and visible customer reviews in the bio.</w:t>
      </w:r>
    </w:p>
    <w:p>
      <w:pPr>
        <w:pStyle w:val="ListParagraph"/>
        <w:numPr>
          <w:ilvl w:val="0"/>
          <w:numId w:val="2"/>
        </w:numPr>
        <w:spacing w:after="80"/>
      </w:pPr>
      <w:r>
        <w:rPr>
          <w:rFonts w:ascii="Arial" w:cs="Arial" w:eastAsia="Arial" w:hAnsi="Arial"/>
          <w:b w:val="false"/>
          <w:bCs w:val="false"/>
          <w:color w:val="1A1A1A"/>
          <w:sz w:val="20"/>
          <w:szCs w:val="20"/>
        </w:rPr>
        <w:t xml:space="preserve">Missing high-performing formats: Carousel, Collection Ads, Reels.</w:t>
      </w:r>
    </w:p>
    <w:p>
      <w:pPr>
        <w:spacing w:after="160"/>
      </w:pPr>
    </w:p>
    <w:p>
      <w:pPr>
        <w:pStyle w:val="Heading2"/>
        <w:spacing w:after="120" w:before="280"/>
      </w:pPr>
      <w:r>
        <w:rPr>
          <w:rFonts w:ascii="Arial" w:cs="Arial" w:eastAsia="Arial" w:hAnsi="Arial"/>
          <w:b/>
          <w:bCs/>
          <w:color w:val="6B1A1A"/>
          <w:sz w:val="28"/>
          <w:szCs w:val="28"/>
        </w:rPr>
        <w:t xml:space="preserve">Recommended Creative Mix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5280"/>
      </w:tblGrid>
      <w:tr>
        <w:tc>
          <w:tcPr>
            <w:tcW w:type="dxa" w:w="32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Format</w:t>
            </w:r>
          </w:p>
        </w:tc>
        <w:tc>
          <w:tcPr>
            <w:tcW w:type="dxa" w:w="16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Priority</w:t>
            </w:r>
          </w:p>
        </w:tc>
        <w:tc>
          <w:tcPr>
            <w:tcW w:type="dxa" w:w="528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Expected Impact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Customer video testimonials (UGC)</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HIGH</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Builds trust, boosts conversion rate 20-30%</w:t>
            </w:r>
          </w:p>
        </w:tc>
      </w:tr>
      <w:tr>
        <w:tc>
          <w:tcPr>
            <w:tcW w:type="dxa" w:w="3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Carousel — 5 product showcase</w:t>
            </w:r>
          </w:p>
        </w:tc>
        <w:tc>
          <w:tcPr>
            <w:tcW w:type="dxa" w:w="1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HIGH</w:t>
            </w:r>
          </w:p>
        </w:tc>
        <w:tc>
          <w:tcPr>
            <w:tcW w:type="dxa" w:w="5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Best format for clothing browse behavior</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Reels 15-second try-on video</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HIGH</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Lowest CPM placement in 2026</w:t>
            </w:r>
          </w:p>
        </w:tc>
      </w:tr>
      <w:tr>
        <w:tc>
          <w:tcPr>
            <w:tcW w:type="dxa" w:w="3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Before/after styling transformation</w:t>
            </w:r>
          </w:p>
        </w:tc>
        <w:tc>
          <w:tcPr>
            <w:tcW w:type="dxa" w:w="1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E67E22"/>
                <w:sz w:val="20"/>
                <w:szCs w:val="20"/>
              </w:rPr>
              <w:t xml:space="preserve">MEDIUM</w:t>
            </w:r>
          </w:p>
        </w:tc>
        <w:tc>
          <w:tcPr>
            <w:tcW w:type="dxa" w:w="5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High engagement and shares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Collection ad with full catalog</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E67E22"/>
                <w:sz w:val="20"/>
                <w:szCs w:val="20"/>
              </w:rPr>
              <w:t xml:space="preserve">MEDIUM</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E-commerce standard, high ROAS</w:t>
            </w:r>
          </w:p>
        </w:tc>
      </w:tr>
      <w:tr>
        <w:tc>
          <w:tcPr>
            <w:tcW w:type="dxa" w:w="32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Static product flat-lay (premium feel)</w:t>
            </w:r>
          </w:p>
        </w:tc>
        <w:tc>
          <w:tcPr>
            <w:tcW w:type="dxa" w:w="1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LOW</w:t>
            </w:r>
          </w:p>
        </w:tc>
        <w:tc>
          <w:tcPr>
            <w:tcW w:type="dxa" w:w="52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Retargeting support creative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8860B" w:sz="1"/>
              <w:left w:val="single" w:color="B8860B" w:sz="12"/>
              <w:bottom w:val="single" w:color="B8860B" w:sz="1"/>
              <w:right w:val="single" w:color="B8860B" w:sz="1"/>
            </w:tcBorders>
            <w:shd w:fill="FFF8E7" w:val="clear"/>
            <w:tcMar>
              <w:top w:type="dxa" w:w="140"/>
              <w:left w:type="dxa" w:w="200"/>
              <w:bottom w:type="dxa" w:w="140"/>
              <w:right w:type="dxa" w:w="200"/>
            </w:tcMar>
          </w:tcPr>
          <w:p>
            <w:r>
              <w:rPr>
                <w:rFonts w:ascii="Arial" w:cs="Arial" w:eastAsia="Arial" w:hAnsi="Arial"/>
                <w:i/>
                <w:iCs/>
                <w:color w:val="1A1A1A"/>
                <w:sz w:val="20"/>
                <w:szCs w:val="20"/>
              </w:rPr>
              <w:t xml:space="preserve">Creative Refresh Rule: Refresh creatives every 3–4 weeks. If CTR drops more than 20% over any 14-day period, that creative has fatigued — replace it immediately. Never run the same creative for more than 6 weeks.</w:t>
            </w:r>
          </w:p>
        </w:tc>
      </w:tr>
    </w:tbl>
    <w:p>
      <w:pPr>
        <w:spacing w:after="160"/>
      </w:pPr>
    </w:p>
    <w:p>
      <w:r>
        <w:br w:type="page"/>
      </w:r>
    </w:p>
    <w:p>
      <w:pPr>
        <w:pStyle w:val="Heading1"/>
        <w:pBdr>
          <w:bottom w:val="single" w:color="B8860B" w:sz="4" w:space="4"/>
        </w:pBdr>
        <w:spacing w:after="160" w:before="360"/>
      </w:pPr>
      <w:r>
        <w:rPr>
          <w:rFonts w:ascii="Arial" w:cs="Arial" w:eastAsia="Arial" w:hAnsi="Arial"/>
          <w:b/>
          <w:bCs/>
          <w:color w:val="6B1A1A"/>
          <w:sz w:val="36"/>
          <w:szCs w:val="36"/>
        </w:rPr>
        <w:t xml:space="preserve">8. How We Reduce Cost Per Purchase</w:t>
      </w:r>
    </w:p>
    <w:p>
      <w:pPr>
        <w:pStyle w:val="Heading2"/>
        <w:spacing w:after="120" w:before="280"/>
      </w:pPr>
      <w:r>
        <w:rPr>
          <w:rFonts w:ascii="Arial" w:cs="Arial" w:eastAsia="Arial" w:hAnsi="Arial"/>
          <w:b/>
          <w:bCs/>
          <w:color w:val="6B1A1A"/>
          <w:sz w:val="28"/>
          <w:szCs w:val="28"/>
        </w:rPr>
        <w:t xml:space="preserve">From Rs.99 Average CPP to Rs.65–75</w:t>
      </w:r>
    </w:p>
    <w:p>
      <w:pPr>
        <w:spacing w:after="120"/>
        <w:jc w:val="left"/>
      </w:pPr>
      <w:r>
        <w:rPr>
          <w:rFonts w:ascii="Arial" w:cs="Arial" w:eastAsia="Arial" w:hAnsi="Arial"/>
          <w:b w:val="false"/>
          <w:bCs w:val="false"/>
          <w:i w:val="false"/>
          <w:iCs w:val="false"/>
          <w:color w:val="555555"/>
          <w:sz w:val="20"/>
          <w:szCs w:val="20"/>
        </w:rPr>
        <w:t xml:space="preserve">Each action below independently reduces CPP. Implemented together, their effects compound — total reduction can reach 40–60% from the current average.</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2800"/>
        <w:gridCol w:w="2480"/>
      </w:tblGrid>
      <w:tr>
        <w:tc>
          <w:tcPr>
            <w:tcW w:type="dxa" w:w="48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Action</w:t>
            </w:r>
          </w:p>
        </w:tc>
        <w:tc>
          <w:tcPr>
            <w:tcW w:type="dxa" w:w="28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CPP Reduction</w:t>
            </w:r>
          </w:p>
        </w:tc>
        <w:tc>
          <w:tcPr>
            <w:tcW w:type="dxa" w:w="248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Timeline</w:t>
            </w:r>
          </w:p>
        </w:tc>
      </w:tr>
      <w:tr>
        <w:tc>
          <w:tcPr>
            <w:tcW w:type="dxa" w:w="4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Upload buyer list + Lookalike targeting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20–35%</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Week 1</w:t>
            </w:r>
          </w:p>
        </w:tc>
      </w:tr>
      <w:tr>
        <w:tc>
          <w:tcPr>
            <w:tcW w:type="dxa" w:w="4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Focus on Tier 1 cities only</w:t>
            </w:r>
          </w:p>
        </w:tc>
        <w:tc>
          <w:tcPr>
            <w:tcW w:type="dxa" w:w="2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25–40%</w:t>
            </w:r>
          </w:p>
        </w:tc>
        <w:tc>
          <w:tcPr>
            <w:tcW w:type="dxa" w:w="2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Week 1</w:t>
            </w:r>
          </w:p>
        </w:tc>
      </w:tr>
      <w:tr>
        <w:tc>
          <w:tcPr>
            <w:tcW w:type="dxa" w:w="4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Consolidate to 3 campaigns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15–25%</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Week 1</w:t>
            </w:r>
          </w:p>
        </w:tc>
      </w:tr>
      <w:tr>
        <w:tc>
          <w:tcPr>
            <w:tcW w:type="dxa" w:w="4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Install Conversions API</w:t>
            </w:r>
          </w:p>
        </w:tc>
        <w:tc>
          <w:tcPr>
            <w:tcW w:type="dxa" w:w="2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10–20%</w:t>
            </w:r>
          </w:p>
        </w:tc>
        <w:tc>
          <w:tcPr>
            <w:tcW w:type="dxa" w:w="2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Week 1</w:t>
            </w:r>
          </w:p>
        </w:tc>
      </w:tr>
      <w:tr>
        <w:tc>
          <w:tcPr>
            <w:tcW w:type="dxa" w:w="4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Add UGC testimonial creatives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15–30%</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Week 2–3</w:t>
            </w:r>
          </w:p>
        </w:tc>
      </w:tr>
      <w:tr>
        <w:tc>
          <w:tcPr>
            <w:tcW w:type="dxa" w:w="4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Launch Advantage+ Shopping Campaign</w:t>
            </w:r>
          </w:p>
        </w:tc>
        <w:tc>
          <w:tcPr>
            <w:tcW w:type="dxa" w:w="2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10–20%</w:t>
            </w:r>
          </w:p>
        </w:tc>
        <w:tc>
          <w:tcPr>
            <w:tcW w:type="dxa" w:w="2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Week 2</w:t>
            </w:r>
          </w:p>
        </w:tc>
      </w:tr>
      <w:tr>
        <w:tc>
          <w:tcPr>
            <w:tcW w:type="dxa" w:w="4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Exclude past purchasers from cold campaigns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5–10%</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Week 1</w:t>
            </w:r>
          </w:p>
        </w:tc>
      </w:tr>
      <w:tr>
        <w:tc>
          <w:tcPr>
            <w:tcW w:type="dxa" w:w="4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Set minimum Rs.1,000/day per ad set</w:t>
            </w:r>
          </w:p>
        </w:tc>
        <w:tc>
          <w:tcPr>
            <w:tcW w:type="dxa" w:w="2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10–20%</w:t>
            </w:r>
          </w:p>
        </w:tc>
        <w:tc>
          <w:tcPr>
            <w:tcW w:type="dxa" w:w="2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Week 1</w:t>
            </w:r>
          </w:p>
        </w:tc>
      </w:tr>
    </w:tbl>
    <w:p>
      <w:pPr>
        <w:spacing w:after="120"/>
      </w:pPr>
    </w:p>
    <w:p>
      <w:r>
        <w:br w:type="page"/>
      </w:r>
    </w:p>
    <w:p>
      <w:pPr>
        <w:pStyle w:val="Heading1"/>
        <w:pBdr>
          <w:bottom w:val="single" w:color="B8860B" w:sz="4" w:space="4"/>
        </w:pBdr>
        <w:spacing w:after="160" w:before="360"/>
      </w:pPr>
      <w:r>
        <w:rPr>
          <w:rFonts w:ascii="Arial" w:cs="Arial" w:eastAsia="Arial" w:hAnsi="Arial"/>
          <w:b/>
          <w:bCs/>
          <w:color w:val="6B1A1A"/>
          <w:sz w:val="36"/>
          <w:szCs w:val="36"/>
        </w:rPr>
        <w:t xml:space="preserve">9. Website Audit — Landing Page Issues</w:t>
      </w:r>
    </w:p>
    <w:p>
      <w:pPr>
        <w:pStyle w:val="Heading2"/>
        <w:spacing w:after="120" w:before="280"/>
      </w:pPr>
      <w:r>
        <w:rPr>
          <w:rFonts w:ascii="Arial" w:cs="Arial" w:eastAsia="Arial" w:hAnsi="Arial"/>
          <w:b/>
          <w:bCs/>
          <w:color w:val="6B1A1A"/>
          <w:sz w:val="28"/>
          <w:szCs w:val="28"/>
        </w:rPr>
        <w:t xml:space="preserve">Page Problems That Are Increasing Ad Costs</w:t>
      </w:r>
    </w:p>
    <w:p>
      <w:pPr>
        <w:spacing w:after="120"/>
        <w:jc w:val="left"/>
      </w:pPr>
      <w:r>
        <w:rPr>
          <w:rFonts w:ascii="Arial" w:cs="Arial" w:eastAsia="Arial" w:hAnsi="Arial"/>
          <w:b w:val="false"/>
          <w:bCs w:val="false"/>
          <w:i w:val="false"/>
          <w:iCs w:val="false"/>
          <w:color w:val="555555"/>
          <w:sz w:val="20"/>
          <w:szCs w:val="20"/>
        </w:rPr>
        <w:t xml:space="preserve">Meta scores landing page quality and uses it to determine ad delivery costs. Poor landing pages increase CPM, which directly increases CPP. The following issues were identified on tanejaclothhouse.com:</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4480"/>
      </w:tblGrid>
      <w:tr>
        <w:tc>
          <w:tcPr>
            <w:tcW w:type="dxa" w:w="40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Issue</w:t>
            </w:r>
          </w:p>
        </w:tc>
        <w:tc>
          <w:tcPr>
            <w:tcW w:type="dxa" w:w="16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Severity</w:t>
            </w:r>
          </w:p>
        </w:tc>
        <w:tc>
          <w:tcPr>
            <w:tcW w:type="dxa" w:w="448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Fix Required</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Product images not loading (placeholders visible)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CRITICAL</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Fix Shopify image hosting immediately</w:t>
            </w:r>
          </w:p>
        </w:tc>
      </w:tr>
      <w:tr>
        <w:tc>
          <w:tcPr>
            <w:tcW w:type="dxa" w:w="4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/collections URL returns 404 error</w:t>
            </w:r>
          </w:p>
        </w:tc>
        <w:tc>
          <w:tcPr>
            <w:tcW w:type="dxa" w:w="1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HIGH</w:t>
            </w:r>
          </w:p>
        </w:tc>
        <w:tc>
          <w:tcPr>
            <w:tcW w:type="dxa" w:w="4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Fix URL — ads may be sending traffic here</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No payment method badges on homepage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E67E22"/>
                <w:sz w:val="20"/>
                <w:szCs w:val="20"/>
              </w:rPr>
              <w:t xml:space="preserve">MEDIUM</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Add Razorpay, UPI, COD trust badges</w:t>
            </w:r>
          </w:p>
        </w:tc>
      </w:tr>
      <w:tr>
        <w:tc>
          <w:tcPr>
            <w:tcW w:type="dxa" w:w="4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No shipping timeline shown above fold</w:t>
            </w:r>
          </w:p>
        </w:tc>
        <w:tc>
          <w:tcPr>
            <w:tcW w:type="dxa" w:w="1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E67E22"/>
                <w:sz w:val="20"/>
                <w:szCs w:val="20"/>
              </w:rPr>
              <w:t xml:space="preserve">MEDIUM</w:t>
            </w:r>
          </w:p>
        </w:tc>
        <w:tc>
          <w:tcPr>
            <w:tcW w:type="dxa" w:w="4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Add 'Ships in 2-3 days across India' text</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No customer reviews on product pages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HIGH</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Install Shopify reviews app (Loox or Judge.me)</w:t>
            </w:r>
          </w:p>
        </w:tc>
      </w:tr>
      <w:tr>
        <w:tc>
          <w:tcPr>
            <w:tcW w:type="dxa" w:w="40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Mobile page speed not optimized</w:t>
            </w:r>
          </w:p>
        </w:tc>
        <w:tc>
          <w:tcPr>
            <w:tcW w:type="dxa" w:w="1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HIGH</w:t>
            </w:r>
          </w:p>
        </w:tc>
        <w:tc>
          <w:tcPr>
            <w:tcW w:type="dxa" w:w="44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0"/>
                <w:szCs w:val="20"/>
              </w:rPr>
              <w:t xml:space="preserve">Target 70+ on Google PageSpeed Insights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8860B" w:sz="1"/>
              <w:left w:val="single" w:color="B8860B" w:sz="12"/>
              <w:bottom w:val="single" w:color="B8860B" w:sz="1"/>
              <w:right w:val="single" w:color="B8860B" w:sz="1"/>
            </w:tcBorders>
            <w:shd w:fill="FFF8E7" w:val="clear"/>
            <w:tcMar>
              <w:top w:type="dxa" w:w="140"/>
              <w:left w:type="dxa" w:w="200"/>
              <w:bottom w:type="dxa" w:w="140"/>
              <w:right w:type="dxa" w:w="200"/>
            </w:tcMar>
          </w:tcPr>
          <w:p>
            <w:r>
              <w:rPr>
                <w:rFonts w:ascii="Arial" w:cs="Arial" w:eastAsia="Arial" w:hAnsi="Arial"/>
                <w:i/>
                <w:iCs/>
                <w:color w:val="1A1A1A"/>
                <w:sz w:val="20"/>
                <w:szCs w:val="20"/>
              </w:rPr>
              <w:t xml:space="preserve">Fix the website issues first. Every improvement to landing page quality reduces CPM — meaning every rupee spent on ads goes further. This is free performance improvement.</w:t>
            </w:r>
          </w:p>
        </w:tc>
      </w:tr>
    </w:tbl>
    <w:p>
      <w:pPr>
        <w:spacing w:after="160"/>
      </w:pPr>
    </w:p>
    <w:p>
      <w:r>
        <w:br w:type="page"/>
      </w:r>
    </w:p>
    <w:p>
      <w:pPr>
        <w:pStyle w:val="Heading1"/>
        <w:pBdr>
          <w:bottom w:val="single" w:color="B8860B" w:sz="4" w:space="4"/>
        </w:pBdr>
        <w:spacing w:after="160" w:before="360"/>
      </w:pPr>
      <w:r>
        <w:rPr>
          <w:rFonts w:ascii="Arial" w:cs="Arial" w:eastAsia="Arial" w:hAnsi="Arial"/>
          <w:b/>
          <w:bCs/>
          <w:color w:val="6B1A1A"/>
          <w:sz w:val="36"/>
          <w:szCs w:val="36"/>
        </w:rPr>
        <w:t xml:space="preserve">10. 90-Day Growth Roadmap</w:t>
      </w:r>
    </w:p>
    <w:p>
      <w:pPr>
        <w:pStyle w:val="Heading2"/>
        <w:spacing w:after="120" w:before="280"/>
      </w:pPr>
      <w:r>
        <w:rPr>
          <w:rFonts w:ascii="Arial" w:cs="Arial" w:eastAsia="Arial" w:hAnsi="Arial"/>
          <w:b/>
          <w:bCs/>
          <w:color w:val="6B1A1A"/>
          <w:sz w:val="28"/>
          <w:szCs w:val="28"/>
        </w:rPr>
        <w:t xml:space="preserve">Month-by-Month Plan</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6B1A1A" w:val="clear"/>
            <w:tcMar>
              <w:top w:type="dxa" w:w="100"/>
              <w:left w:type="dxa" w:w="200"/>
              <w:bottom w:type="dxa" w:w="100"/>
              <w:right w:type="dxa" w:w="200"/>
            </w:tcMar>
          </w:tcPr>
          <w:p>
            <w:r>
              <w:rPr>
                <w:rFonts w:ascii="Arial" w:cs="Arial" w:eastAsia="Arial" w:hAnsi="Arial"/>
                <w:b/>
                <w:bCs/>
                <w:color w:val="B8860B"/>
                <w:sz w:val="24"/>
                <w:szCs w:val="24"/>
              </w:rPr>
              <w:t xml:space="preserve">Month 1 — Fix the Foundation</w:t>
            </w:r>
          </w:p>
        </w:tc>
      </w:tr>
      <w:tr>
        <w:tc>
          <w:tcPr>
            <w:tcBorders>
              <w:top w:val="none" w:color="FFFFFF" w:sz="0"/>
              <w:left w:val="none" w:color="FFFFFF" w:sz="0"/>
              <w:bottom w:val="none" w:color="FFFFFF" w:sz="0"/>
              <w:right w:val="none" w:color="FFFFFF" w:sz="0"/>
            </w:tcBorders>
            <w:shd w:fill="F5EAEA" w:val="clear"/>
            <w:tcMar>
              <w:top w:type="dxa" w:w="120"/>
              <w:left w:type="dxa" w:w="200"/>
              <w:bottom w:type="dxa" w:w="120"/>
              <w:right w:type="dxa" w:w="200"/>
            </w:tcMar>
          </w:tcPr>
          <w:p>
            <w:pPr>
              <w:pStyle w:val="ListParagraph"/>
              <w:numPr>
                <w:ilvl w:val="0"/>
                <w:numId w:val="2"/>
              </w:numPr>
              <w:spacing w:after="80"/>
            </w:pPr>
            <w:r>
              <w:rPr>
                <w:rFonts w:ascii="Arial" w:cs="Arial" w:eastAsia="Arial" w:hAnsi="Arial"/>
                <w:color w:val="1A1A1A"/>
                <w:sz w:val="19"/>
                <w:szCs w:val="19"/>
              </w:rPr>
              <w:t xml:space="preserve">Install Conversions API (server-side tracking) — recover 30–40% lost data</w:t>
            </w:r>
          </w:p>
          <w:p>
            <w:pPr>
              <w:pStyle w:val="ListParagraph"/>
              <w:numPr>
                <w:ilvl w:val="0"/>
                <w:numId w:val="2"/>
              </w:numPr>
              <w:spacing w:after="80"/>
            </w:pPr>
            <w:r>
              <w:rPr>
                <w:rFonts w:ascii="Arial" w:cs="Arial" w:eastAsia="Arial" w:hAnsi="Arial"/>
                <w:color w:val="1A1A1A"/>
                <w:sz w:val="19"/>
                <w:szCs w:val="19"/>
              </w:rPr>
              <w:t xml:space="preserve">Upload customer list and build all 8 audiences from Section 6</w:t>
            </w:r>
          </w:p>
          <w:p>
            <w:pPr>
              <w:pStyle w:val="ListParagraph"/>
              <w:numPr>
                <w:ilvl w:val="0"/>
                <w:numId w:val="2"/>
              </w:numPr>
              <w:spacing w:after="80"/>
            </w:pPr>
            <w:r>
              <w:rPr>
                <w:rFonts w:ascii="Arial" w:cs="Arial" w:eastAsia="Arial" w:hAnsi="Arial"/>
                <w:color w:val="1A1A1A"/>
                <w:sz w:val="19"/>
                <w:szCs w:val="19"/>
              </w:rPr>
              <w:t xml:space="preserve">Consolidate 22 campaigns into 3-campaign structure</w:t>
            </w:r>
          </w:p>
          <w:p>
            <w:pPr>
              <w:pStyle w:val="ListParagraph"/>
              <w:numPr>
                <w:ilvl w:val="0"/>
                <w:numId w:val="2"/>
              </w:numPr>
              <w:spacing w:after="80"/>
            </w:pPr>
            <w:r>
              <w:rPr>
                <w:rFonts w:ascii="Arial" w:cs="Arial" w:eastAsia="Arial" w:hAnsi="Arial"/>
                <w:color w:val="1A1A1A"/>
                <w:sz w:val="19"/>
                <w:szCs w:val="19"/>
              </w:rPr>
              <w:t xml:space="preserve">Switch location targeting to Tier 1 cities only</w:t>
            </w:r>
          </w:p>
          <w:p>
            <w:pPr>
              <w:pStyle w:val="ListParagraph"/>
              <w:numPr>
                <w:ilvl w:val="0"/>
                <w:numId w:val="2"/>
              </w:numPr>
              <w:spacing w:after="80"/>
            </w:pPr>
            <w:r>
              <w:rPr>
                <w:rFonts w:ascii="Arial" w:cs="Arial" w:eastAsia="Arial" w:hAnsi="Arial"/>
                <w:color w:val="1A1A1A"/>
                <w:sz w:val="19"/>
                <w:szCs w:val="19"/>
              </w:rPr>
              <w:t xml:space="preserve">Fix website issues: images, 404 errors, add reviews app</w:t>
            </w:r>
          </w:p>
          <w:p>
            <w:pPr>
              <w:pStyle w:val="ListParagraph"/>
              <w:numPr>
                <w:ilvl w:val="0"/>
                <w:numId w:val="2"/>
              </w:numPr>
              <w:spacing w:after="80"/>
            </w:pPr>
            <w:r>
              <w:rPr>
                <w:rFonts w:ascii="Arial" w:cs="Arial" w:eastAsia="Arial" w:hAnsi="Arial"/>
                <w:color w:val="1A1A1A"/>
                <w:sz w:val="19"/>
                <w:szCs w:val="19"/>
              </w:rPr>
              <w:t xml:space="preserve">Set minimum Rs.1,000/day per ad set — eliminate starved ad sets</w:t>
            </w:r>
          </w:p>
          <w:p>
            <w:pPr>
              <w:spacing w:after="0"/>
            </w:pPr>
            <w:r>
              <w:rPr>
                <w:rFonts w:ascii="Arial" w:cs="Arial" w:eastAsia="Arial" w:hAnsi="Arial"/>
                <w:b/>
                <w:bCs/>
                <w:color w:val="6B1A1A"/>
                <w:sz w:val="20"/>
                <w:szCs w:val="20"/>
              </w:rPr>
              <w:t xml:space="preserve">Target CPP: Rs.70–85</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6B1A1A" w:val="clear"/>
            <w:tcMar>
              <w:top w:type="dxa" w:w="100"/>
              <w:left w:type="dxa" w:w="200"/>
              <w:bottom w:type="dxa" w:w="100"/>
              <w:right w:type="dxa" w:w="200"/>
            </w:tcMar>
          </w:tcPr>
          <w:p>
            <w:r>
              <w:rPr>
                <w:rFonts w:ascii="Arial" w:cs="Arial" w:eastAsia="Arial" w:hAnsi="Arial"/>
                <w:b/>
                <w:bCs/>
                <w:color w:val="B8860B"/>
                <w:sz w:val="24"/>
                <w:szCs w:val="24"/>
              </w:rPr>
              <w:t xml:space="preserve">Month 2 — Scale What Works</w:t>
            </w:r>
          </w:p>
        </w:tc>
      </w:tr>
      <w:tr>
        <w:tc>
          <w:tcPr>
            <w:tcBorders>
              <w:top w:val="none" w:color="FFFFFF" w:sz="0"/>
              <w:left w:val="none" w:color="FFFFFF" w:sz="0"/>
              <w:bottom w:val="none" w:color="FFFFFF" w:sz="0"/>
              <w:right w:val="none" w:color="FFFFFF" w:sz="0"/>
            </w:tcBorders>
            <w:shd w:fill="F5EAEA" w:val="clear"/>
            <w:tcMar>
              <w:top w:type="dxa" w:w="120"/>
              <w:left w:type="dxa" w:w="200"/>
              <w:bottom w:type="dxa" w:w="120"/>
              <w:right w:type="dxa" w:w="200"/>
            </w:tcMar>
          </w:tcPr>
          <w:p>
            <w:pPr>
              <w:pStyle w:val="ListParagraph"/>
              <w:numPr>
                <w:ilvl w:val="0"/>
                <w:numId w:val="2"/>
              </w:numPr>
              <w:spacing w:after="80"/>
            </w:pPr>
            <w:r>
              <w:rPr>
                <w:rFonts w:ascii="Arial" w:cs="Arial" w:eastAsia="Arial" w:hAnsi="Arial"/>
                <w:color w:val="1A1A1A"/>
                <w:sz w:val="19"/>
                <w:szCs w:val="19"/>
              </w:rPr>
              <w:t xml:space="preserve">Launch Advantage+ Shopping Campaign</w:t>
            </w:r>
          </w:p>
          <w:p>
            <w:pPr>
              <w:pStyle w:val="ListParagraph"/>
              <w:numPr>
                <w:ilvl w:val="0"/>
                <w:numId w:val="2"/>
              </w:numPr>
              <w:spacing w:after="80"/>
            </w:pPr>
            <w:r>
              <w:rPr>
                <w:rFonts w:ascii="Arial" w:cs="Arial" w:eastAsia="Arial" w:hAnsi="Arial"/>
                <w:color w:val="1A1A1A"/>
                <w:sz w:val="19"/>
                <w:szCs w:val="19"/>
              </w:rPr>
              <w:t xml:space="preserve">Test UGC creative — reach out to 201k Instagram followers for testimonials</w:t>
            </w:r>
          </w:p>
          <w:p>
            <w:pPr>
              <w:pStyle w:val="ListParagraph"/>
              <w:numPr>
                <w:ilvl w:val="0"/>
                <w:numId w:val="2"/>
              </w:numPr>
              <w:spacing w:after="80"/>
            </w:pPr>
            <w:r>
              <w:rPr>
                <w:rFonts w:ascii="Arial" w:cs="Arial" w:eastAsia="Arial" w:hAnsi="Arial"/>
                <w:color w:val="1A1A1A"/>
                <w:sz w:val="19"/>
                <w:szCs w:val="19"/>
              </w:rPr>
              <w:t xml:space="preserve">A/B test Lookalike 1% vs 3% vs interest-based audiences</w:t>
            </w:r>
          </w:p>
          <w:p>
            <w:pPr>
              <w:pStyle w:val="ListParagraph"/>
              <w:numPr>
                <w:ilvl w:val="0"/>
                <w:numId w:val="2"/>
              </w:numPr>
              <w:spacing w:after="80"/>
            </w:pPr>
            <w:r>
              <w:rPr>
                <w:rFonts w:ascii="Arial" w:cs="Arial" w:eastAsia="Arial" w:hAnsi="Arial"/>
                <w:color w:val="1A1A1A"/>
                <w:sz w:val="19"/>
                <w:szCs w:val="19"/>
              </w:rPr>
              <w:t xml:space="preserve">Launch full 3-stage retargeting funnel</w:t>
            </w:r>
          </w:p>
          <w:p>
            <w:pPr>
              <w:pStyle w:val="ListParagraph"/>
              <w:numPr>
                <w:ilvl w:val="0"/>
                <w:numId w:val="2"/>
              </w:numPr>
              <w:spacing w:after="80"/>
            </w:pPr>
            <w:r>
              <w:rPr>
                <w:rFonts w:ascii="Arial" w:cs="Arial" w:eastAsia="Arial" w:hAnsi="Arial"/>
                <w:color w:val="1A1A1A"/>
                <w:sz w:val="19"/>
                <w:szCs w:val="19"/>
              </w:rPr>
              <w:t xml:space="preserve">Scale winning ad sets: double budget on any campaign delivering CPP under Rs.70</w:t>
            </w:r>
          </w:p>
          <w:p>
            <w:pPr>
              <w:spacing w:after="0"/>
            </w:pPr>
            <w:r>
              <w:rPr>
                <w:rFonts w:ascii="Arial" w:cs="Arial" w:eastAsia="Arial" w:hAnsi="Arial"/>
                <w:b/>
                <w:bCs/>
                <w:color w:val="6B1A1A"/>
                <w:sz w:val="20"/>
                <w:szCs w:val="20"/>
              </w:rPr>
              <w:t xml:space="preserve">Target CPP: Rs.65–75</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6B1A1A" w:val="clear"/>
            <w:tcMar>
              <w:top w:type="dxa" w:w="100"/>
              <w:left w:type="dxa" w:w="200"/>
              <w:bottom w:type="dxa" w:w="100"/>
              <w:right w:type="dxa" w:w="200"/>
            </w:tcMar>
          </w:tcPr>
          <w:p>
            <w:r>
              <w:rPr>
                <w:rFonts w:ascii="Arial" w:cs="Arial" w:eastAsia="Arial" w:hAnsi="Arial"/>
                <w:b/>
                <w:bCs/>
                <w:color w:val="B8860B"/>
                <w:sz w:val="24"/>
                <w:szCs w:val="24"/>
              </w:rPr>
              <w:t xml:space="preserve">Month 3 — Optimize and Expand</w:t>
            </w:r>
          </w:p>
        </w:tc>
      </w:tr>
      <w:tr>
        <w:tc>
          <w:tcPr>
            <w:tcBorders>
              <w:top w:val="none" w:color="FFFFFF" w:sz="0"/>
              <w:left w:val="none" w:color="FFFFFF" w:sz="0"/>
              <w:bottom w:val="none" w:color="FFFFFF" w:sz="0"/>
              <w:right w:val="none" w:color="FFFFFF" w:sz="0"/>
            </w:tcBorders>
            <w:shd w:fill="F5EAEA" w:val="clear"/>
            <w:tcMar>
              <w:top w:type="dxa" w:w="120"/>
              <w:left w:type="dxa" w:w="200"/>
              <w:bottom w:type="dxa" w:w="120"/>
              <w:right w:type="dxa" w:w="200"/>
            </w:tcMar>
          </w:tcPr>
          <w:p>
            <w:pPr>
              <w:pStyle w:val="ListParagraph"/>
              <w:numPr>
                <w:ilvl w:val="0"/>
                <w:numId w:val="2"/>
              </w:numPr>
              <w:spacing w:after="80"/>
            </w:pPr>
            <w:r>
              <w:rPr>
                <w:rFonts w:ascii="Arial" w:cs="Arial" w:eastAsia="Arial" w:hAnsi="Arial"/>
                <w:color w:val="1A1A1A"/>
                <w:sz w:val="19"/>
                <w:szCs w:val="19"/>
              </w:rPr>
              <w:t xml:space="preserve">Expand to Tier 2 cities using proven Tier 1 creatives</w:t>
            </w:r>
          </w:p>
          <w:p>
            <w:pPr>
              <w:pStyle w:val="ListParagraph"/>
              <w:numPr>
                <w:ilvl w:val="0"/>
                <w:numId w:val="2"/>
              </w:numPr>
              <w:spacing w:after="80"/>
            </w:pPr>
            <w:r>
              <w:rPr>
                <w:rFonts w:ascii="Arial" w:cs="Arial" w:eastAsia="Arial" w:hAnsi="Arial"/>
                <w:color w:val="1A1A1A"/>
                <w:sz w:val="19"/>
                <w:szCs w:val="19"/>
              </w:rPr>
              <w:t xml:space="preserve">Launch catalog ads for full product range</w:t>
            </w:r>
          </w:p>
          <w:p>
            <w:pPr>
              <w:pStyle w:val="ListParagraph"/>
              <w:numPr>
                <w:ilvl w:val="0"/>
                <w:numId w:val="2"/>
              </w:numPr>
              <w:spacing w:after="80"/>
            </w:pPr>
            <w:r>
              <w:rPr>
                <w:rFonts w:ascii="Arial" w:cs="Arial" w:eastAsia="Arial" w:hAnsi="Arial"/>
                <w:color w:val="1A1A1A"/>
                <w:sz w:val="19"/>
                <w:szCs w:val="19"/>
              </w:rPr>
              <w:t xml:space="preserve">Monthly creative refresh cycle fully operational</w:t>
            </w:r>
          </w:p>
          <w:p>
            <w:pPr>
              <w:pStyle w:val="ListParagraph"/>
              <w:numPr>
                <w:ilvl w:val="0"/>
                <w:numId w:val="2"/>
              </w:numPr>
              <w:spacing w:after="80"/>
            </w:pPr>
            <w:r>
              <w:rPr>
                <w:rFonts w:ascii="Arial" w:cs="Arial" w:eastAsia="Arial" w:hAnsi="Arial"/>
                <w:color w:val="1A1A1A"/>
                <w:sz w:val="19"/>
                <w:szCs w:val="19"/>
              </w:rPr>
              <w:t xml:space="preserve">Lookalike audiences refreshed with latest buyer data</w:t>
            </w:r>
          </w:p>
          <w:p>
            <w:pPr>
              <w:pStyle w:val="ListParagraph"/>
              <w:numPr>
                <w:ilvl w:val="0"/>
                <w:numId w:val="2"/>
              </w:numPr>
              <w:spacing w:after="80"/>
            </w:pPr>
            <w:r>
              <w:rPr>
                <w:rFonts w:ascii="Arial" w:cs="Arial" w:eastAsia="Arial" w:hAnsi="Arial"/>
                <w:color w:val="1A1A1A"/>
                <w:sz w:val="19"/>
                <w:szCs w:val="19"/>
              </w:rPr>
              <w:t xml:space="preserve">Projected monthly revenue from ads: Rs.15–35 lakh</w:t>
            </w:r>
          </w:p>
          <w:p>
            <w:pPr>
              <w:spacing w:after="0"/>
            </w:pPr>
            <w:r>
              <w:rPr>
                <w:rFonts w:ascii="Arial" w:cs="Arial" w:eastAsia="Arial" w:hAnsi="Arial"/>
                <w:b/>
                <w:bCs/>
                <w:color w:val="6B1A1A"/>
                <w:sz w:val="20"/>
                <w:szCs w:val="20"/>
              </w:rPr>
              <w:t xml:space="preserve">Target CPP: Rs.60–70</w:t>
            </w:r>
          </w:p>
        </w:tc>
      </w:tr>
    </w:tbl>
    <w:p>
      <w:pPr>
        <w:spacing w:after="200"/>
      </w:pPr>
    </w:p>
    <w:p>
      <w:r>
        <w:br w:type="page"/>
      </w:r>
    </w:p>
    <w:p>
      <w:pPr>
        <w:pStyle w:val="Heading1"/>
        <w:pBdr>
          <w:bottom w:val="single" w:color="B8860B" w:sz="4" w:space="4"/>
        </w:pBdr>
        <w:spacing w:after="160" w:before="360"/>
      </w:pPr>
      <w:r>
        <w:rPr>
          <w:rFonts w:ascii="Arial" w:cs="Arial" w:eastAsia="Arial" w:hAnsi="Arial"/>
          <w:b/>
          <w:bCs/>
          <w:color w:val="6B1A1A"/>
          <w:sz w:val="36"/>
          <w:szCs w:val="36"/>
        </w:rPr>
        <w:t xml:space="preserve">11. Projected Results</w:t>
      </w:r>
    </w:p>
    <w:p>
      <w:pPr>
        <w:pStyle w:val="Heading2"/>
        <w:spacing w:after="120" w:before="280"/>
      </w:pPr>
      <w:r>
        <w:rPr>
          <w:rFonts w:ascii="Arial" w:cs="Arial" w:eastAsia="Arial" w:hAnsi="Arial"/>
          <w:b/>
          <w:bCs/>
          <w:color w:val="6B1A1A"/>
          <w:sz w:val="28"/>
          <w:szCs w:val="28"/>
        </w:rPr>
        <w:t xml:space="preserve">What Better Management Delivers</w:t>
      </w:r>
    </w:p>
    <w:p>
      <w:pPr>
        <w:spacing w:after="120"/>
        <w:jc w:val="left"/>
      </w:pPr>
      <w:r>
        <w:rPr>
          <w:rFonts w:ascii="Arial" w:cs="Arial" w:eastAsia="Arial" w:hAnsi="Arial"/>
          <w:b w:val="false"/>
          <w:bCs w:val="false"/>
          <w:i w:val="false"/>
          <w:iCs w:val="false"/>
          <w:color w:val="555555"/>
          <w:sz w:val="20"/>
          <w:szCs w:val="20"/>
        </w:rPr>
        <w:t xml:space="preserve">Conservative estimates based on implementing the full strategy across 90 days.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680"/>
      </w:tblGrid>
      <w:tr>
        <w:tc>
          <w:tcPr>
            <w:tcW w:type="dxa" w:w="36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Metric</w:t>
            </w:r>
          </w:p>
        </w:tc>
        <w:tc>
          <w:tcPr>
            <w:tcW w:type="dxa" w:w="280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Current Performance</w:t>
            </w:r>
          </w:p>
        </w:tc>
        <w:tc>
          <w:tcPr>
            <w:tcW w:type="dxa" w:w="3680"/>
            <w:tcBorders>
              <w:top w:val="single" w:color="6B1A1A" w:sz="1"/>
              <w:left w:val="single" w:color="6B1A1A" w:sz="1"/>
              <w:bottom w:val="single" w:color="6B1A1A" w:sz="1"/>
              <w:right w:val="single" w:color="6B1A1A" w:sz="1"/>
            </w:tcBorders>
            <w:shd w:fill="6B1A1A" w:val="clear"/>
            <w:tcMar>
              <w:top w:type="dxa" w:w="100"/>
              <w:left w:type="dxa" w:w="140"/>
              <w:bottom w:type="dxa" w:w="100"/>
              <w:right w:type="dxa" w:w="140"/>
            </w:tcMar>
            <w:vAlign w:val="center"/>
          </w:tcPr>
          <w:p>
            <w:pPr>
              <w:jc w:val="left"/>
            </w:pPr>
            <w:r>
              <w:rPr>
                <w:rFonts w:ascii="Arial" w:cs="Arial" w:eastAsia="Arial" w:hAnsi="Arial"/>
                <w:b/>
                <w:bCs/>
                <w:i w:val="false"/>
                <w:iCs w:val="false"/>
                <w:color w:val="B8860B"/>
                <w:sz w:val="20"/>
                <w:szCs w:val="20"/>
              </w:rPr>
              <w:t xml:space="preserve">90-Day Target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Average Cost Per Purchase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Rs.99.27</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Rs.65–75</w:t>
            </w:r>
          </w:p>
        </w:tc>
      </w:tr>
      <w:tr>
        <w:tc>
          <w:tcPr>
            <w:tcW w:type="dxa" w:w="3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Best Cost Per Purchase</w:t>
            </w:r>
          </w:p>
        </w:tc>
        <w:tc>
          <w:tcPr>
            <w:tcW w:type="dxa" w:w="2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Rs.58.34</w:t>
            </w:r>
          </w:p>
        </w:tc>
        <w:tc>
          <w:tcPr>
            <w:tcW w:type="dxa" w:w="36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Rs.45–55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Average ROAS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10.2x</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12–15x</w:t>
            </w:r>
          </w:p>
        </w:tc>
      </w:tr>
      <w:tr>
        <w:tc>
          <w:tcPr>
            <w:tcW w:type="dxa" w:w="3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Monthly Purchases</w:t>
            </w:r>
          </w:p>
        </w:tc>
        <w:tc>
          <w:tcPr>
            <w:tcW w:type="dxa" w:w="2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Limited by structure</w:t>
            </w:r>
          </w:p>
        </w:tc>
        <w:tc>
          <w:tcPr>
            <w:tcW w:type="dxa" w:w="36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1,500–2,500</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Audience Strategy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Interest-based only</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Lookalike + Custom + Interest</w:t>
            </w:r>
          </w:p>
        </w:tc>
      </w:tr>
      <w:tr>
        <w:tc>
          <w:tcPr>
            <w:tcW w:type="dxa" w:w="3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Campaign Structure</w:t>
            </w:r>
          </w:p>
        </w:tc>
        <w:tc>
          <w:tcPr>
            <w:tcW w:type="dxa" w:w="2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22 fragmented campaigns</w:t>
            </w:r>
          </w:p>
        </w:tc>
        <w:tc>
          <w:tcPr>
            <w:tcW w:type="dxa" w:w="36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3 consolidated campaigns</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Tracking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Pixel only</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Pixel + Conversions API</w:t>
            </w:r>
          </w:p>
        </w:tc>
      </w:tr>
      <w:tr>
        <w:tc>
          <w:tcPr>
            <w:tcW w:type="dxa" w:w="3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Location Strategy</w:t>
            </w:r>
          </w:p>
        </w:tc>
        <w:tc>
          <w:tcPr>
            <w:tcW w:type="dxa" w:w="2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All India</w:t>
            </w:r>
          </w:p>
        </w:tc>
        <w:tc>
          <w:tcPr>
            <w:tcW w:type="dxa" w:w="36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Tier 1 Premium Cities</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Creative Strategy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Similar video formats</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UGC, Carousel, Reels, Video</w:t>
            </w:r>
          </w:p>
        </w:tc>
      </w:tr>
      <w:tr>
        <w:tc>
          <w:tcPr>
            <w:tcW w:type="dxa" w:w="3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1A1A"/>
                <w:sz w:val="20"/>
                <w:szCs w:val="20"/>
              </w:rPr>
              <w:t xml:space="preserve">Monthly Revenue Potential</w:t>
            </w:r>
          </w:p>
        </w:tc>
        <w:tc>
          <w:tcPr>
            <w:tcW w:type="dxa" w:w="2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Current baseline</w:t>
            </w:r>
          </w:p>
        </w:tc>
        <w:tc>
          <w:tcPr>
            <w:tcW w:type="dxa" w:w="368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Rs.15–35 lakh/month</w:t>
            </w:r>
          </w:p>
        </w:tc>
      </w:tr>
    </w:tbl>
    <w:p>
      <w:pPr>
        <w:spacing w:after="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6B1A1A" w:val="clear"/>
            <w:tcMar>
              <w:top w:type="dxa" w:w="300"/>
              <w:left w:type="dxa" w:w="400"/>
              <w:bottom w:type="dxa" w:w="300"/>
              <w:right w:type="dxa" w:w="400"/>
            </w:tcMar>
          </w:tcPr>
          <w:p>
            <w:pPr>
              <w:spacing w:after="120"/>
              <w:jc w:val="center"/>
            </w:pPr>
            <w:r>
              <w:rPr>
                <w:rFonts w:ascii="Arial" w:cs="Arial" w:eastAsia="Arial" w:hAnsi="Arial"/>
                <w:b/>
                <w:bCs/>
                <w:color w:val="B8860B"/>
                <w:sz w:val="24"/>
                <w:szCs w:val="24"/>
              </w:rPr>
              <w:t xml:space="preserve">The product works. The market is there. The 201k followers prove demand.</w:t>
            </w:r>
          </w:p>
          <w:p>
            <w:pPr>
              <w:spacing w:after="0"/>
              <w:jc w:val="center"/>
            </w:pPr>
            <w:r>
              <w:rPr>
                <w:rFonts w:ascii="Arial" w:cs="Arial" w:eastAsia="Arial" w:hAnsi="Arial"/>
                <w:color w:val="FFFFFF"/>
                <w:sz w:val="22"/>
                <w:szCs w:val="22"/>
              </w:rPr>
              <w:t xml:space="preserve">What is needed now is the right structure, the right audiences, and the right tracking to turn that demand into consistent, scalable revenue.</w:t>
            </w:r>
          </w:p>
        </w:tc>
      </w:tr>
    </w:tbl>
    <w:p>
      <w:pPr>
        <w:spacing w:after="400"/>
      </w:pPr>
    </w:p>
    <w:p>
      <w:pPr>
        <w:pBdr>
          <w:top w:val="single" w:color="B8860B" w:sz="2"/>
        </w:pBdr>
        <w:spacing w:after="60" w:before="120"/>
      </w:pPr>
      <w:r>
        <w:rPr>
          <w:rFonts w:ascii="Arial" w:cs="Arial" w:eastAsia="Arial" w:hAnsi="Arial"/>
          <w:color w:val="555555"/>
          <w:sz w:val="16"/>
          <w:szCs w:val="16"/>
        </w:rPr>
        <w:t xml:space="preserve">Report prepared based on: Meta Ads Manager data (Taneja SD account) | Website: tanejaclothhouse.com | Instagram: @tanejaclothhouse (201k followers) | Date: June 2026</w:t>
      </w:r>
    </w:p>
    <w:p>
      <w:pPr>
        <w:spacing w:after="120"/>
        <w:jc w:val="left"/>
      </w:pPr>
      <w:r>
        <w:rPr>
          <w:rFonts w:ascii="Arial" w:cs="Arial" w:eastAsia="Arial" w:hAnsi="Arial"/>
          <w:b w:val="false"/>
          <w:bCs w:val="false"/>
          <w:i w:val="false"/>
          <w:iCs w:val="false"/>
          <w:color w:val="555555"/>
          <w:sz w:val="16"/>
          <w:szCs w:val="16"/>
        </w:rPr>
        <w:t xml:space="preserve">Confidential — Prepared exclusively for Taneja Cloth House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2"/>
      </w:pBdr>
      <w:spacing w:before="80"/>
    </w:pPr>
    <w:r>
      <w:rPr>
        <w:rFonts w:ascii="Arial" w:cs="Arial" w:eastAsia="Arial" w:hAnsi="Arial"/>
        <w:color w:val="555555"/>
        <w:sz w:val="16"/>
        <w:szCs w:val="16"/>
      </w:rPr>
      <w:t xml:space="preserve">Confidential — Prepared exclusively for Taneja Cloth House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pBdr>
      <w:spacing w:after="80"/>
    </w:pPr>
    <w:r>
      <w:rPr>
        <w:rFonts w:ascii="Arial" w:cs="Arial" w:eastAsia="Arial" w:hAnsi="Arial"/>
        <w:color w:val="555555"/>
        <w:sz w:val="16"/>
        <w:szCs w:val="16"/>
      </w:rPr>
      <w:t xml:space="preserve">TANEJA CLOTH HOUSE  |  Meta Ads Audit Report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6B1A1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6B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2026-06-10T10:12:01.735Z</dcterms:created>
  <dcterms:modified xsi:type="dcterms:W3CDTF">2026-06-10T10:12:01.744Z</dcterms:modified>
</cp:coreProperties>
</file>

<file path=docProps/custom.xml><?xml version="1.0" encoding="utf-8"?>
<Properties xmlns="http://schemas.openxmlformats.org/officeDocument/2006/custom-properties" xmlns:vt="http://schemas.openxmlformats.org/officeDocument/2006/docPropsVTypes"/>
</file>