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26662">
      <w:pPr>
        <w:jc w:val="center"/>
      </w:pPr>
      <w:r>
        <w:rPr>
          <w:b/>
          <w:sz w:val="44"/>
        </w:rPr>
        <w:t>STOCK SCREENER WITH FUNDAMENTAL RATIOS</w:t>
      </w:r>
    </w:p>
    <w:p w14:paraId="742AD522">
      <w:pPr>
        <w:jc w:val="center"/>
      </w:pPr>
      <w:r>
        <w:rPr>
          <w:b/>
          <w:sz w:val="30"/>
        </w:rPr>
        <w:t>Equity Research – Final Project Report</w:t>
      </w:r>
    </w:p>
    <w:p w14:paraId="0AFCD3D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D50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66EEBC76">
            <w:pPr>
              <w:spacing w:after="0" w:line="240" w:lineRule="auto"/>
            </w:pPr>
            <w:r>
              <w:rPr>
                <w:b/>
              </w:rPr>
              <w:t>Item</w:t>
            </w:r>
          </w:p>
        </w:tc>
        <w:tc>
          <w:tcPr>
            <w:tcW w:w="5040" w:type="dxa"/>
            <w:shd w:val="clear" w:color="auto" w:fill="D9EAF7"/>
          </w:tcPr>
          <w:p w14:paraId="6D510CE5">
            <w:pPr>
              <w:spacing w:after="0" w:line="240" w:lineRule="auto"/>
            </w:pPr>
            <w:r>
              <w:rPr>
                <w:b/>
              </w:rPr>
              <w:t>Details</w:t>
            </w:r>
          </w:p>
        </w:tc>
      </w:tr>
      <w:tr w14:paraId="322A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1FDE900">
            <w:pPr>
              <w:spacing w:after="0" w:line="240" w:lineRule="auto"/>
            </w:pPr>
            <w:r>
              <w:t>Project Type</w:t>
            </w:r>
          </w:p>
        </w:tc>
        <w:tc>
          <w:tcPr>
            <w:tcW w:w="5040" w:type="dxa"/>
          </w:tcPr>
          <w:p w14:paraId="3978D365">
            <w:pPr>
              <w:spacing w:after="0" w:line="240" w:lineRule="auto"/>
            </w:pPr>
            <w:r>
              <w:t>Equity Research / Data Analysis</w:t>
            </w:r>
          </w:p>
        </w:tc>
      </w:tr>
      <w:tr w14:paraId="13AA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662B305">
            <w:pPr>
              <w:spacing w:after="0" w:line="240" w:lineRule="auto"/>
            </w:pPr>
            <w:r>
              <w:t>Final Dataset</w:t>
            </w:r>
          </w:p>
        </w:tc>
        <w:tc>
          <w:tcPr>
            <w:tcW w:w="5040" w:type="dxa"/>
          </w:tcPr>
          <w:p w14:paraId="1DE49EE9">
            <w:pPr>
              <w:spacing w:after="0" w:line="240" w:lineRule="auto"/>
            </w:pPr>
            <w:r>
              <w:t>400 records, 200 unique companies</w:t>
            </w:r>
          </w:p>
        </w:tc>
      </w:tr>
      <w:tr w14:paraId="341D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7830F22">
            <w:pPr>
              <w:spacing w:after="0" w:line="240" w:lineRule="auto"/>
            </w:pPr>
            <w:r>
              <w:t>Financial Years</w:t>
            </w:r>
          </w:p>
        </w:tc>
        <w:tc>
          <w:tcPr>
            <w:tcW w:w="5040" w:type="dxa"/>
          </w:tcPr>
          <w:p w14:paraId="10EA03AB">
            <w:pPr>
              <w:spacing w:after="0" w:line="240" w:lineRule="auto"/>
            </w:pPr>
            <w:r>
              <w:t>FY2025, FY2026</w:t>
            </w:r>
          </w:p>
        </w:tc>
      </w:tr>
      <w:tr w14:paraId="0317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C7A1097">
            <w:pPr>
              <w:spacing w:after="0" w:line="240" w:lineRule="auto"/>
            </w:pPr>
            <w:r>
              <w:t>Industries</w:t>
            </w:r>
          </w:p>
        </w:tc>
        <w:tc>
          <w:tcPr>
            <w:tcW w:w="5040" w:type="dxa"/>
          </w:tcPr>
          <w:p w14:paraId="3429A7E1">
            <w:pPr>
              <w:spacing w:after="0" w:line="240" w:lineRule="auto"/>
            </w:pPr>
            <w:r>
              <w:t>10</w:t>
            </w:r>
          </w:p>
        </w:tc>
      </w:tr>
      <w:tr w14:paraId="788E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3E88864">
            <w:pPr>
              <w:spacing w:after="0" w:line="240" w:lineRule="auto"/>
            </w:pPr>
            <w:r>
              <w:t>Main Ratios</w:t>
            </w:r>
          </w:p>
        </w:tc>
        <w:tc>
          <w:tcPr>
            <w:tcW w:w="5040" w:type="dxa"/>
          </w:tcPr>
          <w:p w14:paraId="09CF158F">
            <w:pPr>
              <w:spacing w:after="0" w:line="240" w:lineRule="auto"/>
            </w:pPr>
            <w:r>
              <w:t>P/E, P/B, ROE, Debt-to-Equity</w:t>
            </w:r>
          </w:p>
        </w:tc>
      </w:tr>
      <w:tr w14:paraId="5E29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CAAEDA3">
            <w:pPr>
              <w:spacing w:after="0" w:line="240" w:lineRule="auto"/>
            </w:pPr>
            <w:r>
              <w:t>Final Output</w:t>
            </w:r>
          </w:p>
        </w:tc>
        <w:tc>
          <w:tcPr>
            <w:tcW w:w="5040" w:type="dxa"/>
          </w:tcPr>
          <w:p w14:paraId="78F2F9B4">
            <w:pPr>
              <w:spacing w:after="0" w:line="240" w:lineRule="auto"/>
            </w:pPr>
            <w:r>
              <w:t>Interactive Stock Screener Dashboard</w:t>
            </w:r>
          </w:p>
        </w:tc>
      </w:tr>
    </w:tbl>
    <w:p w14:paraId="3DB57265">
      <w:pPr>
        <w:pStyle w:val="2"/>
      </w:pPr>
      <w:r>
        <w:t>1. Project Overview</w:t>
      </w:r>
    </w:p>
    <w:p w14:paraId="486FFED9">
      <w:r>
        <w:t>This project builds a Stock Screener with Fundamental Ratios for Equity Research. Financial data is loaded, checked and transformed using Python, Pandas and NumPy. Four fundamental ratios are calculated and then presented through an interactive dashboard where users can apply screening conditions.</w:t>
      </w:r>
    </w:p>
    <w:p w14:paraId="5E3A2B4F">
      <w:r>
        <w:t>The four ratios are Price-to-Earnings (P/E), Price-to-Book (P/B), Return on Equity (ROE), and Debt-to-Equity (D/E). They provide basic information about valuation, profitability and financial leverage.</w:t>
      </w:r>
    </w:p>
    <w:p w14:paraId="22BE88E6">
      <w:pPr>
        <w:pStyle w:val="2"/>
      </w:pPr>
      <w:r>
        <w:t>2. Problem Statement</w:t>
      </w:r>
    </w:p>
    <w:p w14:paraId="177924C6">
      <w:r>
        <w:t>Build a stock screener that:</w:t>
      </w:r>
    </w:p>
    <w:p w14:paraId="169C0B2E">
      <w:pPr>
        <w:pStyle w:val="23"/>
      </w:pPr>
      <w:r>
        <w:t>Calculates P/E, P/B, ROE and Debt-to-Equity from financial data.</w:t>
      </w:r>
    </w:p>
    <w:p w14:paraId="118762EC">
      <w:pPr>
        <w:pStyle w:val="23"/>
      </w:pPr>
      <w:r>
        <w:t>Handles zero or negative earnings where P/E is not meaningful.</w:t>
      </w:r>
    </w:p>
    <w:p w14:paraId="0889EF9C">
      <w:pPr>
        <w:pStyle w:val="23"/>
      </w:pPr>
      <w:r>
        <w:t>Keeps financial-year information available for analysis.</w:t>
      </w:r>
    </w:p>
    <w:p w14:paraId="661B4384">
      <w:pPr>
        <w:pStyle w:val="23"/>
      </w:pPr>
      <w:r>
        <w:t>Allows user-defined ratio thresholds for screening.</w:t>
      </w:r>
    </w:p>
    <w:p w14:paraId="2BD431CF">
      <w:pPr>
        <w:pStyle w:val="23"/>
      </w:pPr>
      <w:r>
        <w:t>Displays the results through an interactive dashboard.</w:t>
      </w:r>
    </w:p>
    <w:p w14:paraId="3849397A">
      <w:pPr>
        <w:pStyle w:val="2"/>
      </w:pPr>
      <w:r>
        <w:t>3. Objectives</w:t>
      </w:r>
    </w:p>
    <w:p w14:paraId="6F54D09D">
      <w:pPr>
        <w:pStyle w:val="23"/>
      </w:pPr>
      <w:r>
        <w:t>Load and inspect the financial CSV.</w:t>
      </w:r>
    </w:p>
    <w:p w14:paraId="2AD91617">
      <w:pPr>
        <w:pStyle w:val="23"/>
      </w:pPr>
      <w:r>
        <w:t>Check the data for missing or invalid values.</w:t>
      </w:r>
    </w:p>
    <w:p w14:paraId="43902262">
      <w:pPr>
        <w:pStyle w:val="23"/>
      </w:pPr>
      <w:r>
        <w:t>Calculate the four required ratios in Python.</w:t>
      </w:r>
    </w:p>
    <w:p w14:paraId="4C52E875">
      <w:pPr>
        <w:pStyle w:val="23"/>
      </w:pPr>
      <w:r>
        <w:t>Handle zero/negative EPS correctly for P/E.</w:t>
      </w:r>
    </w:p>
    <w:p w14:paraId="63B8DC47">
      <w:pPr>
        <w:pStyle w:val="23"/>
      </w:pPr>
      <w:r>
        <w:t>Verify the calculated ratio ranges.</w:t>
      </w:r>
    </w:p>
    <w:p w14:paraId="223776CF">
      <w:pPr>
        <w:pStyle w:val="23"/>
      </w:pPr>
      <w:r>
        <w:t>Provide year and industry filtering.</w:t>
      </w:r>
    </w:p>
    <w:p w14:paraId="16240275">
      <w:pPr>
        <w:pStyle w:val="23"/>
      </w:pPr>
      <w:r>
        <w:t>Provide user-defined stock-screening conditions.</w:t>
      </w:r>
    </w:p>
    <w:p w14:paraId="795F09FD">
      <w:pPr>
        <w:pStyle w:val="23"/>
      </w:pPr>
      <w:r>
        <w:t>Present KPIs, charts and company-level results.</w:t>
      </w:r>
    </w:p>
    <w:p w14:paraId="069315C0">
      <w:pPr>
        <w:pStyle w:val="2"/>
      </w:pPr>
      <w:r>
        <w:t>4. Dataset</w:t>
      </w:r>
    </w:p>
    <w:p w14:paraId="485326CD">
      <w:r>
        <w:t>The final dataset contains 400 rows and 15 columns, representing 200 unique companies across 2 financial years and 10 industries.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53E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552BB6B2">
            <w:pPr>
              <w:spacing w:after="0" w:line="240" w:lineRule="auto"/>
            </w:pPr>
            <w:r>
              <w:rPr>
                <w:b/>
              </w:rPr>
              <w:t>Column</w:t>
            </w:r>
          </w:p>
        </w:tc>
        <w:tc>
          <w:tcPr>
            <w:tcW w:w="5040" w:type="dxa"/>
            <w:shd w:val="clear" w:color="auto" w:fill="D9EAF7"/>
          </w:tcPr>
          <w:p w14:paraId="21787B4F">
            <w:pPr>
              <w:spacing w:after="0" w:line="240" w:lineRule="auto"/>
            </w:pPr>
            <w:r>
              <w:rPr>
                <w:b/>
              </w:rPr>
              <w:t>Meaning</w:t>
            </w:r>
          </w:p>
        </w:tc>
      </w:tr>
      <w:tr w14:paraId="1E3ED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8276643">
            <w:pPr>
              <w:spacing w:after="0" w:line="240" w:lineRule="auto"/>
            </w:pPr>
            <w:r>
              <w:t>Company_ID</w:t>
            </w:r>
          </w:p>
        </w:tc>
        <w:tc>
          <w:tcPr>
            <w:tcW w:w="5040" w:type="dxa"/>
          </w:tcPr>
          <w:p w14:paraId="7D9F7E8F">
            <w:pPr>
              <w:spacing w:after="0" w:line="240" w:lineRule="auto"/>
            </w:pPr>
            <w:r>
              <w:t>Unique company identifier</w:t>
            </w:r>
          </w:p>
        </w:tc>
      </w:tr>
      <w:tr w14:paraId="5BAF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CE91071">
            <w:pPr>
              <w:spacing w:after="0" w:line="240" w:lineRule="auto"/>
            </w:pPr>
            <w:r>
              <w:t>Company_Name</w:t>
            </w:r>
          </w:p>
        </w:tc>
        <w:tc>
          <w:tcPr>
            <w:tcW w:w="5040" w:type="dxa"/>
          </w:tcPr>
          <w:p w14:paraId="0DF518C5">
            <w:pPr>
              <w:spacing w:after="0" w:line="240" w:lineRule="auto"/>
            </w:pPr>
            <w:r>
              <w:t>Company name/label</w:t>
            </w:r>
          </w:p>
        </w:tc>
      </w:tr>
      <w:tr w14:paraId="3B44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D8BC865">
            <w:pPr>
              <w:spacing w:after="0" w:line="240" w:lineRule="auto"/>
            </w:pPr>
            <w:r>
              <w:t>Industry</w:t>
            </w:r>
          </w:p>
        </w:tc>
        <w:tc>
          <w:tcPr>
            <w:tcW w:w="5040" w:type="dxa"/>
          </w:tcPr>
          <w:p w14:paraId="55C177CD">
            <w:pPr>
              <w:spacing w:after="0" w:line="240" w:lineRule="auto"/>
            </w:pPr>
            <w:r>
              <w:t>Industry category</w:t>
            </w:r>
          </w:p>
        </w:tc>
      </w:tr>
      <w:tr w14:paraId="55D9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7678A6">
            <w:pPr>
              <w:spacing w:after="0" w:line="240" w:lineRule="auto"/>
            </w:pPr>
            <w:r>
              <w:t>Financial_Year</w:t>
            </w:r>
          </w:p>
        </w:tc>
        <w:tc>
          <w:tcPr>
            <w:tcW w:w="5040" w:type="dxa"/>
          </w:tcPr>
          <w:p w14:paraId="32AC53E1">
            <w:pPr>
              <w:spacing w:after="0" w:line="240" w:lineRule="auto"/>
            </w:pPr>
            <w:r>
              <w:t>Financial year</w:t>
            </w:r>
          </w:p>
        </w:tc>
      </w:tr>
      <w:tr w14:paraId="1EF9B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09A2F5F">
            <w:pPr>
              <w:spacing w:after="0" w:line="240" w:lineRule="auto"/>
            </w:pPr>
            <w:r>
              <w:t>Market_Price_INR</w:t>
            </w:r>
          </w:p>
        </w:tc>
        <w:tc>
          <w:tcPr>
            <w:tcW w:w="5040" w:type="dxa"/>
          </w:tcPr>
          <w:p w14:paraId="7AD36233">
            <w:pPr>
              <w:spacing w:after="0" w:line="240" w:lineRule="auto"/>
            </w:pPr>
            <w:r>
              <w:t>Market price per share</w:t>
            </w:r>
          </w:p>
        </w:tc>
      </w:tr>
      <w:tr w14:paraId="3519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EAC91E">
            <w:pPr>
              <w:spacing w:after="0" w:line="240" w:lineRule="auto"/>
            </w:pPr>
            <w:r>
              <w:t>EPS_INR</w:t>
            </w:r>
          </w:p>
        </w:tc>
        <w:tc>
          <w:tcPr>
            <w:tcW w:w="5040" w:type="dxa"/>
          </w:tcPr>
          <w:p w14:paraId="2973A937">
            <w:pPr>
              <w:spacing w:after="0" w:line="240" w:lineRule="auto"/>
            </w:pPr>
            <w:r>
              <w:t>Earnings per share</w:t>
            </w:r>
          </w:p>
        </w:tc>
      </w:tr>
      <w:tr w14:paraId="4063B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774A81">
            <w:pPr>
              <w:spacing w:after="0" w:line="240" w:lineRule="auto"/>
            </w:pPr>
            <w:r>
              <w:t>Book_Value_Per_Share_INR</w:t>
            </w:r>
          </w:p>
        </w:tc>
        <w:tc>
          <w:tcPr>
            <w:tcW w:w="5040" w:type="dxa"/>
          </w:tcPr>
          <w:p w14:paraId="417EFC39">
            <w:pPr>
              <w:spacing w:after="0" w:line="240" w:lineRule="auto"/>
            </w:pPr>
            <w:r>
              <w:t>Book value per share</w:t>
            </w:r>
          </w:p>
        </w:tc>
      </w:tr>
      <w:tr w14:paraId="33D1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DD222C">
            <w:pPr>
              <w:spacing w:after="0" w:line="240" w:lineRule="auto"/>
            </w:pPr>
            <w:r>
              <w:t>Net_Income_Crore</w:t>
            </w:r>
          </w:p>
        </w:tc>
        <w:tc>
          <w:tcPr>
            <w:tcW w:w="5040" w:type="dxa"/>
          </w:tcPr>
          <w:p w14:paraId="17635B0A">
            <w:pPr>
              <w:spacing w:after="0" w:line="240" w:lineRule="auto"/>
            </w:pPr>
            <w:r>
              <w:t>Net income</w:t>
            </w:r>
          </w:p>
        </w:tc>
      </w:tr>
      <w:tr w14:paraId="024C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8FB0A6">
            <w:pPr>
              <w:spacing w:after="0" w:line="240" w:lineRule="auto"/>
            </w:pPr>
            <w:r>
              <w:t>Shareholders_Equity_Crore</w:t>
            </w:r>
          </w:p>
        </w:tc>
        <w:tc>
          <w:tcPr>
            <w:tcW w:w="5040" w:type="dxa"/>
          </w:tcPr>
          <w:p w14:paraId="53CEEFF9">
            <w:pPr>
              <w:spacing w:after="0" w:line="240" w:lineRule="auto"/>
            </w:pPr>
            <w:r>
              <w:t>Shareholders' equity</w:t>
            </w:r>
          </w:p>
        </w:tc>
      </w:tr>
      <w:tr w14:paraId="7E16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A8EBDF1">
            <w:pPr>
              <w:spacing w:after="0" w:line="240" w:lineRule="auto"/>
            </w:pPr>
            <w:r>
              <w:t>Total_Debt_Crore</w:t>
            </w:r>
          </w:p>
        </w:tc>
        <w:tc>
          <w:tcPr>
            <w:tcW w:w="5040" w:type="dxa"/>
          </w:tcPr>
          <w:p w14:paraId="5FFA51B6">
            <w:pPr>
              <w:spacing w:after="0" w:line="240" w:lineRule="auto"/>
            </w:pPr>
            <w:r>
              <w:t>Total debt</w:t>
            </w:r>
          </w:p>
        </w:tc>
      </w:tr>
      <w:tr w14:paraId="54C0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17ADCE">
            <w:pPr>
              <w:spacing w:after="0" w:line="240" w:lineRule="auto"/>
            </w:pPr>
            <w:r>
              <w:t>Shares_Outstanding_Crore</w:t>
            </w:r>
          </w:p>
        </w:tc>
        <w:tc>
          <w:tcPr>
            <w:tcW w:w="5040" w:type="dxa"/>
          </w:tcPr>
          <w:p w14:paraId="16C68BDB">
            <w:pPr>
              <w:spacing w:after="0" w:line="240" w:lineRule="auto"/>
            </w:pPr>
            <w:r>
              <w:t>Shares outstanding</w:t>
            </w:r>
          </w:p>
        </w:tc>
      </w:tr>
      <w:tr w14:paraId="2415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752FA04">
            <w:pPr>
              <w:spacing w:after="0" w:line="240" w:lineRule="auto"/>
            </w:pPr>
            <w:r>
              <w:t>PE_Ratio</w:t>
            </w:r>
          </w:p>
        </w:tc>
        <w:tc>
          <w:tcPr>
            <w:tcW w:w="5040" w:type="dxa"/>
          </w:tcPr>
          <w:p w14:paraId="117A1296">
            <w:pPr>
              <w:spacing w:after="0" w:line="240" w:lineRule="auto"/>
            </w:pPr>
            <w:r>
              <w:t>Calculated P/E</w:t>
            </w:r>
          </w:p>
        </w:tc>
      </w:tr>
      <w:tr w14:paraId="05513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BFFD9A2">
            <w:pPr>
              <w:spacing w:after="0" w:line="240" w:lineRule="auto"/>
            </w:pPr>
            <w:r>
              <w:t>PB_Ratio</w:t>
            </w:r>
          </w:p>
        </w:tc>
        <w:tc>
          <w:tcPr>
            <w:tcW w:w="5040" w:type="dxa"/>
          </w:tcPr>
          <w:p w14:paraId="72BC6B89">
            <w:pPr>
              <w:spacing w:after="0" w:line="240" w:lineRule="auto"/>
            </w:pPr>
            <w:r>
              <w:t>Calculated P/B</w:t>
            </w:r>
          </w:p>
        </w:tc>
      </w:tr>
      <w:tr w14:paraId="3020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55B11D">
            <w:pPr>
              <w:spacing w:after="0" w:line="240" w:lineRule="auto"/>
            </w:pPr>
            <w:r>
              <w:t>ROE_Percent</w:t>
            </w:r>
          </w:p>
        </w:tc>
        <w:tc>
          <w:tcPr>
            <w:tcW w:w="5040" w:type="dxa"/>
          </w:tcPr>
          <w:p w14:paraId="21C69FA8">
            <w:pPr>
              <w:spacing w:after="0" w:line="240" w:lineRule="auto"/>
            </w:pPr>
            <w:r>
              <w:t>Calculated ROE</w:t>
            </w:r>
          </w:p>
        </w:tc>
      </w:tr>
      <w:tr w14:paraId="64B1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3457FA">
            <w:pPr>
              <w:spacing w:after="0" w:line="240" w:lineRule="auto"/>
            </w:pPr>
            <w:r>
              <w:t>Debt_Equity_Ratio</w:t>
            </w:r>
          </w:p>
        </w:tc>
        <w:tc>
          <w:tcPr>
            <w:tcW w:w="5040" w:type="dxa"/>
          </w:tcPr>
          <w:p w14:paraId="3B2A1A3C">
            <w:pPr>
              <w:spacing w:after="0" w:line="240" w:lineRule="auto"/>
            </w:pPr>
            <w:r>
              <w:t>Calculated D/E</w:t>
            </w:r>
          </w:p>
        </w:tc>
      </w:tr>
    </w:tbl>
    <w:p w14:paraId="00726D2E">
      <w:pPr>
        <w:pStyle w:val="2"/>
      </w:pPr>
      <w:r>
        <w:t>5.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4E4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626606A3">
            <w:pPr>
              <w:spacing w:after="0" w:line="240" w:lineRule="auto"/>
            </w:pPr>
            <w:r>
              <w:rPr>
                <w:b/>
              </w:rPr>
              <w:t>Tool</w:t>
            </w:r>
          </w:p>
        </w:tc>
        <w:tc>
          <w:tcPr>
            <w:tcW w:w="5040" w:type="dxa"/>
            <w:shd w:val="clear" w:color="auto" w:fill="D9EAF7"/>
          </w:tcPr>
          <w:p w14:paraId="5EAF0650">
            <w:pPr>
              <w:spacing w:after="0" w:line="240" w:lineRule="auto"/>
            </w:pPr>
            <w:r>
              <w:rPr>
                <w:b/>
              </w:rPr>
              <w:t>Purpose</w:t>
            </w:r>
          </w:p>
        </w:tc>
      </w:tr>
      <w:tr w14:paraId="3714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AE81432">
            <w:pPr>
              <w:spacing w:after="0" w:line="240" w:lineRule="auto"/>
            </w:pPr>
            <w:r>
              <w:t>Python</w:t>
            </w:r>
          </w:p>
        </w:tc>
        <w:tc>
          <w:tcPr>
            <w:tcW w:w="5040" w:type="dxa"/>
          </w:tcPr>
          <w:p w14:paraId="08249818">
            <w:pPr>
              <w:spacing w:after="0" w:line="240" w:lineRule="auto"/>
            </w:pPr>
            <w:r>
              <w:t>Data-processing language</w:t>
            </w:r>
          </w:p>
        </w:tc>
      </w:tr>
      <w:tr w14:paraId="11A3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BF2EB4">
            <w:pPr>
              <w:spacing w:after="0" w:line="240" w:lineRule="auto"/>
            </w:pPr>
            <w:r>
              <w:t>Pandas</w:t>
            </w:r>
          </w:p>
        </w:tc>
        <w:tc>
          <w:tcPr>
            <w:tcW w:w="5040" w:type="dxa"/>
          </w:tcPr>
          <w:p w14:paraId="7218E855">
            <w:pPr>
              <w:spacing w:after="0" w:line="240" w:lineRule="auto"/>
            </w:pPr>
            <w:r>
              <w:t>Read, inspect, clean and transform data</w:t>
            </w:r>
          </w:p>
        </w:tc>
      </w:tr>
      <w:tr w14:paraId="6BAB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676BB87">
            <w:pPr>
              <w:spacing w:after="0" w:line="240" w:lineRule="auto"/>
            </w:pPr>
            <w:r>
              <w:t>NumPy</w:t>
            </w:r>
          </w:p>
        </w:tc>
        <w:tc>
          <w:tcPr>
            <w:tcW w:w="5040" w:type="dxa"/>
          </w:tcPr>
          <w:p w14:paraId="7CDA1502">
            <w:pPr>
              <w:spacing w:after="0" w:line="240" w:lineRule="auto"/>
            </w:pPr>
            <w:r>
              <w:t>Numerical calculations and NaN handling</w:t>
            </w:r>
          </w:p>
        </w:tc>
      </w:tr>
      <w:tr w14:paraId="3116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C208D49">
            <w:pPr>
              <w:spacing w:after="0" w:line="240" w:lineRule="auto"/>
            </w:pPr>
            <w:r>
              <w:t>CSV</w:t>
            </w:r>
          </w:p>
        </w:tc>
        <w:tc>
          <w:tcPr>
            <w:tcW w:w="5040" w:type="dxa"/>
          </w:tcPr>
          <w:p w14:paraId="40C7D38C">
            <w:pPr>
              <w:spacing w:after="0" w:line="240" w:lineRule="auto"/>
            </w:pPr>
            <w:r>
              <w:t>Data storage/input-output</w:t>
            </w:r>
          </w:p>
        </w:tc>
      </w:tr>
      <w:tr w14:paraId="6554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083633E">
            <w:pPr>
              <w:spacing w:after="0" w:line="240" w:lineRule="auto"/>
            </w:pPr>
            <w:r>
              <w:t>Power BI / Interactive Dashboard</w:t>
            </w:r>
          </w:p>
        </w:tc>
        <w:tc>
          <w:tcPr>
            <w:tcW w:w="5040" w:type="dxa"/>
          </w:tcPr>
          <w:p w14:paraId="50D472BE">
            <w:pPr>
              <w:spacing w:after="0" w:line="240" w:lineRule="auto"/>
            </w:pPr>
            <w:r>
              <w:t>Visual analysis and stock screening</w:t>
            </w:r>
          </w:p>
        </w:tc>
      </w:tr>
    </w:tbl>
    <w:p w14:paraId="70CB701C">
      <w:pPr>
        <w:pStyle w:val="2"/>
      </w:pPr>
      <w:r>
        <w:t>6. Complete Workflow</w:t>
      </w:r>
    </w:p>
    <w:p w14:paraId="6CA0E068">
      <w:r>
        <w:rPr>
          <w:b/>
        </w:rPr>
        <w:t>Financial CSV → Python/Pandas → Data Checking → Ratio Calculation → Final Dataset → Dashboard → Stock Screening</w:t>
      </w:r>
    </w:p>
    <w:p w14:paraId="1FFE19ED">
      <w:pPr>
        <w:pStyle w:val="29"/>
      </w:pPr>
      <w:r>
        <w:t>Load the CSV.</w:t>
      </w:r>
    </w:p>
    <w:p w14:paraId="0B23C1ED">
      <w:pPr>
        <w:pStyle w:val="29"/>
      </w:pPr>
      <w:r>
        <w:t>Inspect rows, columns and fields.</w:t>
      </w:r>
    </w:p>
    <w:p w14:paraId="12D6ED64">
      <w:pPr>
        <w:pStyle w:val="29"/>
      </w:pPr>
      <w:r>
        <w:t>Check missing values.</w:t>
      </w:r>
    </w:p>
    <w:p w14:paraId="3E61F3B0">
      <w:pPr>
        <w:pStyle w:val="29"/>
      </w:pPr>
      <w:r>
        <w:t>Check EPS for zero/negative earnings.</w:t>
      </w:r>
    </w:p>
    <w:p w14:paraId="77B7F4B3">
      <w:pPr>
        <w:pStyle w:val="29"/>
      </w:pPr>
      <w:r>
        <w:t>Calculate the four ratios.</w:t>
      </w:r>
    </w:p>
    <w:p w14:paraId="60E78612">
      <w:pPr>
        <w:pStyle w:val="29"/>
      </w:pPr>
      <w:r>
        <w:t>Verify ratio ranges.</w:t>
      </w:r>
    </w:p>
    <w:p w14:paraId="3243FAFD">
      <w:pPr>
        <w:pStyle w:val="29"/>
      </w:pPr>
      <w:r>
        <w:t>Save the final dataset.</w:t>
      </w:r>
    </w:p>
    <w:p w14:paraId="546B8C60">
      <w:pPr>
        <w:pStyle w:val="29"/>
      </w:pPr>
      <w:r>
        <w:t>Load the final data into the dashboard.</w:t>
      </w:r>
    </w:p>
    <w:p w14:paraId="302A6666">
      <w:pPr>
        <w:pStyle w:val="29"/>
      </w:pPr>
      <w:r>
        <w:t>Apply year, industry and ratio filters.</w:t>
      </w:r>
    </w:p>
    <w:p w14:paraId="543F43E8">
      <w:pPr>
        <w:pStyle w:val="29"/>
      </w:pPr>
      <w:r>
        <w:t>Display KPIs, charts and matching records.</w:t>
      </w:r>
    </w:p>
    <w:p w14:paraId="5F1F1752">
      <w:pPr>
        <w:pStyle w:val="2"/>
      </w:pPr>
      <w:r>
        <w:t>7. Data Loading and Inspection</w:t>
      </w:r>
    </w:p>
    <w:p w14:paraId="10B81497">
      <w:r>
        <w:t>The dataset was loaded with Pandas and inspected before calculations.</w:t>
      </w:r>
    </w:p>
    <w:p w14:paraId="6F789D72">
      <w:r>
        <w:rPr>
          <w:rFonts w:ascii="Courier New" w:hAnsi="Courier New"/>
          <w:sz w:val="18"/>
        </w:rPr>
        <w:t>import pandas as pd</w:t>
      </w:r>
      <w:r>
        <w:rPr>
          <w:rFonts w:ascii="Courier New" w:hAnsi="Courier New"/>
          <w:sz w:val="18"/>
        </w:rPr>
        <w:br w:type="textWrapping"/>
      </w:r>
      <w:r>
        <w:rPr>
          <w:rFonts w:ascii="Courier New" w:hAnsi="Courier New"/>
          <w:sz w:val="18"/>
        </w:rPr>
        <w:t>import numpy as np</w:t>
      </w:r>
      <w:r>
        <w:rPr>
          <w:rFonts w:ascii="Courier New" w:hAnsi="Courier New"/>
          <w:sz w:val="18"/>
        </w:rPr>
        <w:br w:type="textWrapping"/>
      </w:r>
      <w:r>
        <w:rPr>
          <w:rFonts w:ascii="Courier New" w:hAnsi="Courier New"/>
          <w:sz w:val="18"/>
        </w:rPr>
        <w:br w:type="textWrapping"/>
      </w:r>
      <w:r>
        <w:rPr>
          <w:rFonts w:ascii="Courier New" w:hAnsi="Courier New"/>
          <w:sz w:val="18"/>
        </w:rPr>
        <w:t>df = pd.read_csv("stock_screener_final_working_dataset_400_rows.csv")</w:t>
      </w:r>
      <w:r>
        <w:rPr>
          <w:rFonts w:ascii="Courier New" w:hAnsi="Courier New"/>
          <w:sz w:val="18"/>
        </w:rPr>
        <w:br w:type="textWrapping"/>
      </w:r>
      <w:r>
        <w:rPr>
          <w:rFonts w:ascii="Courier New" w:hAnsi="Courier New"/>
          <w:sz w:val="18"/>
        </w:rPr>
        <w:t>df.head()</w:t>
      </w:r>
    </w:p>
    <w:p w14:paraId="6C4F546A">
      <w:r>
        <w:t>The final working data contains 400 financial records for 200 unique companies.</w:t>
      </w:r>
    </w:p>
    <w:p w14:paraId="7313477D">
      <w:pPr>
        <w:pStyle w:val="2"/>
      </w:pPr>
      <w:r>
        <w:t>8. Missing-Value Check</w:t>
      </w:r>
    </w:p>
    <w:p w14:paraId="59E34242">
      <w:r>
        <w:t>The project used df.isnull().sum() to check every column for missing values. The required financial inputs in the final working dataset were complete, so no missing-value replacement was required for the core ratio calculations.</w:t>
      </w:r>
    </w:p>
    <w:p w14:paraId="0A1AB865">
      <w:pPr>
        <w:pStyle w:val="2"/>
      </w:pPr>
      <w:r>
        <w:t>9. Negative or Zero EPS Handling</w:t>
      </w:r>
    </w:p>
    <w:p w14:paraId="4F158E59">
      <w:r>
        <w:t>The final dataset contains 43 records with EPS less than or equal to zero. P/E is not meaningful for zero or negative earnings, so those records receive a missing/N/A P/E value instead of a normal P/E.</w:t>
      </w:r>
    </w:p>
    <w:p w14:paraId="6AC9EB1C">
      <w:r>
        <w:rPr>
          <w:rFonts w:ascii="Courier New" w:hAnsi="Courier New"/>
          <w:sz w:val="18"/>
        </w:rPr>
        <w:t>df["PE_Ratio"] = np.where(</w:t>
      </w:r>
      <w:r>
        <w:rPr>
          <w:rFonts w:ascii="Courier New" w:hAnsi="Courier New"/>
          <w:sz w:val="18"/>
        </w:rPr>
        <w:br w:type="textWrapping"/>
      </w:r>
      <w:r>
        <w:rPr>
          <w:rFonts w:ascii="Courier New" w:hAnsi="Courier New"/>
          <w:sz w:val="18"/>
        </w:rPr>
        <w:t xml:space="preserve">    df["EPS_INR"] &gt; 0,</w:t>
      </w:r>
      <w:r>
        <w:rPr>
          <w:rFonts w:ascii="Courier New" w:hAnsi="Courier New"/>
          <w:sz w:val="18"/>
        </w:rPr>
        <w:br w:type="textWrapping"/>
      </w:r>
      <w:r>
        <w:rPr>
          <w:rFonts w:ascii="Courier New" w:hAnsi="Courier New"/>
          <w:sz w:val="18"/>
        </w:rPr>
        <w:t xml:space="preserve">    df["Market_Price_INR"] / df["EPS_INR"],</w:t>
      </w:r>
      <w:r>
        <w:rPr>
          <w:rFonts w:ascii="Courier New" w:hAnsi="Courier New"/>
          <w:sz w:val="18"/>
        </w:rPr>
        <w:br w:type="textWrapping"/>
      </w:r>
      <w:r>
        <w:rPr>
          <w:rFonts w:ascii="Courier New" w:hAnsi="Courier New"/>
          <w:sz w:val="18"/>
        </w:rPr>
        <w:t xml:space="preserve">    np.nan</w:t>
      </w:r>
      <w:r>
        <w:rPr>
          <w:rFonts w:ascii="Courier New" w:hAnsi="Courier New"/>
          <w:sz w:val="18"/>
        </w:rPr>
        <w:br w:type="textWrapping"/>
      </w:r>
      <w:r>
        <w:rPr>
          <w:rFonts w:ascii="Courier New" w:hAnsi="Courier New"/>
          <w:sz w:val="18"/>
        </w:rPr>
        <w:t>)</w:t>
      </w:r>
    </w:p>
    <w:p w14:paraId="0EA067DA">
      <w:pPr>
        <w:pStyle w:val="2"/>
      </w:pPr>
      <w:r>
        <w:t>10. Four Fundamental Ratios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60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tcPr>
          <w:p w14:paraId="6E75D352">
            <w:pPr>
              <w:spacing w:after="0" w:line="240" w:lineRule="auto"/>
            </w:pPr>
            <w:r>
              <w:rPr>
                <w:b/>
              </w:rPr>
              <w:t>Ratio</w:t>
            </w:r>
          </w:p>
        </w:tc>
        <w:tc>
          <w:tcPr>
            <w:tcW w:w="2520" w:type="dxa"/>
            <w:shd w:val="clear" w:color="auto" w:fill="D9EAF7"/>
          </w:tcPr>
          <w:p w14:paraId="3CA09EFE">
            <w:pPr>
              <w:spacing w:after="0" w:line="240" w:lineRule="auto"/>
            </w:pPr>
            <w:r>
              <w:rPr>
                <w:b/>
              </w:rPr>
              <w:t>Full Form</w:t>
            </w:r>
          </w:p>
        </w:tc>
        <w:tc>
          <w:tcPr>
            <w:tcW w:w="2520" w:type="dxa"/>
            <w:shd w:val="clear" w:color="auto" w:fill="D9EAF7"/>
          </w:tcPr>
          <w:p w14:paraId="11D0DEAC">
            <w:pPr>
              <w:spacing w:after="0" w:line="240" w:lineRule="auto"/>
            </w:pPr>
            <w:r>
              <w:rPr>
                <w:b/>
              </w:rPr>
              <w:t>Formula</w:t>
            </w:r>
          </w:p>
        </w:tc>
        <w:tc>
          <w:tcPr>
            <w:tcW w:w="2520" w:type="dxa"/>
            <w:shd w:val="clear" w:color="auto" w:fill="D9EAF7"/>
          </w:tcPr>
          <w:p w14:paraId="1AF4BF95">
            <w:pPr>
              <w:spacing w:after="0" w:line="240" w:lineRule="auto"/>
            </w:pPr>
            <w:r>
              <w:rPr>
                <w:b/>
              </w:rPr>
              <w:t>Handling</w:t>
            </w:r>
          </w:p>
        </w:tc>
      </w:tr>
      <w:tr w14:paraId="4CF0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D880C4">
            <w:pPr>
              <w:spacing w:after="0" w:line="240" w:lineRule="auto"/>
            </w:pPr>
            <w:r>
              <w:t>P/E</w:t>
            </w:r>
          </w:p>
        </w:tc>
        <w:tc>
          <w:tcPr>
            <w:tcW w:w="2520" w:type="dxa"/>
          </w:tcPr>
          <w:p w14:paraId="4BFB9C3E">
            <w:pPr>
              <w:spacing w:after="0" w:line="240" w:lineRule="auto"/>
            </w:pPr>
            <w:r>
              <w:t>Price-to-Earnings</w:t>
            </w:r>
          </w:p>
        </w:tc>
        <w:tc>
          <w:tcPr>
            <w:tcW w:w="2520" w:type="dxa"/>
          </w:tcPr>
          <w:p w14:paraId="0AAB92B7">
            <w:pPr>
              <w:spacing w:after="0" w:line="240" w:lineRule="auto"/>
            </w:pPr>
            <w:r>
              <w:t>Market Price per Share ÷ EPS</w:t>
            </w:r>
          </w:p>
        </w:tc>
        <w:tc>
          <w:tcPr>
            <w:tcW w:w="2520" w:type="dxa"/>
          </w:tcPr>
          <w:p w14:paraId="61F6E766">
            <w:pPr>
              <w:spacing w:after="0" w:line="240" w:lineRule="auto"/>
            </w:pPr>
            <w:r>
              <w:t>Calculated only when EPS &gt; 0</w:t>
            </w:r>
          </w:p>
        </w:tc>
      </w:tr>
      <w:tr w14:paraId="4EA6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62A3A3">
            <w:pPr>
              <w:spacing w:after="0" w:line="240" w:lineRule="auto"/>
            </w:pPr>
            <w:r>
              <w:t>P/B</w:t>
            </w:r>
          </w:p>
        </w:tc>
        <w:tc>
          <w:tcPr>
            <w:tcW w:w="2520" w:type="dxa"/>
          </w:tcPr>
          <w:p w14:paraId="301D6A87">
            <w:pPr>
              <w:spacing w:after="0" w:line="240" w:lineRule="auto"/>
            </w:pPr>
            <w:r>
              <w:t>Price-to-Book</w:t>
            </w:r>
          </w:p>
        </w:tc>
        <w:tc>
          <w:tcPr>
            <w:tcW w:w="2520" w:type="dxa"/>
          </w:tcPr>
          <w:p w14:paraId="747BE72D">
            <w:pPr>
              <w:spacing w:after="0" w:line="240" w:lineRule="auto"/>
            </w:pPr>
            <w:r>
              <w:t>Market Price per Share ÷ Book Value per Share</w:t>
            </w:r>
          </w:p>
        </w:tc>
        <w:tc>
          <w:tcPr>
            <w:tcW w:w="2520" w:type="dxa"/>
          </w:tcPr>
          <w:p w14:paraId="05C51431">
            <w:pPr>
              <w:spacing w:after="0" w:line="240" w:lineRule="auto"/>
            </w:pPr>
            <w:r>
              <w:t>Calculated from input values</w:t>
            </w:r>
          </w:p>
        </w:tc>
      </w:tr>
      <w:tr w14:paraId="604B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5A91F90">
            <w:pPr>
              <w:spacing w:after="0" w:line="240" w:lineRule="auto"/>
            </w:pPr>
            <w:r>
              <w:t>ROE</w:t>
            </w:r>
          </w:p>
        </w:tc>
        <w:tc>
          <w:tcPr>
            <w:tcW w:w="2520" w:type="dxa"/>
          </w:tcPr>
          <w:p w14:paraId="3BF6BB1A">
            <w:pPr>
              <w:spacing w:after="0" w:line="240" w:lineRule="auto"/>
            </w:pPr>
            <w:r>
              <w:t>Return on Equity</w:t>
            </w:r>
          </w:p>
        </w:tc>
        <w:tc>
          <w:tcPr>
            <w:tcW w:w="2520" w:type="dxa"/>
          </w:tcPr>
          <w:p w14:paraId="39BC9E42">
            <w:pPr>
              <w:spacing w:after="0" w:line="240" w:lineRule="auto"/>
            </w:pPr>
            <w:r>
              <w:t>Net Income ÷ Shareholders' Equity × 100</w:t>
            </w:r>
          </w:p>
        </w:tc>
        <w:tc>
          <w:tcPr>
            <w:tcW w:w="2520" w:type="dxa"/>
          </w:tcPr>
          <w:p w14:paraId="5A1246AF">
            <w:pPr>
              <w:spacing w:after="0" w:line="240" w:lineRule="auto"/>
            </w:pPr>
            <w:r>
              <w:t>Reported as percentage</w:t>
            </w:r>
          </w:p>
        </w:tc>
      </w:tr>
      <w:tr w14:paraId="48CE9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E9A1939">
            <w:pPr>
              <w:spacing w:after="0" w:line="240" w:lineRule="auto"/>
            </w:pPr>
            <w:r>
              <w:t>D/E</w:t>
            </w:r>
          </w:p>
        </w:tc>
        <w:tc>
          <w:tcPr>
            <w:tcW w:w="2520" w:type="dxa"/>
          </w:tcPr>
          <w:p w14:paraId="1EC46875">
            <w:pPr>
              <w:spacing w:after="0" w:line="240" w:lineRule="auto"/>
            </w:pPr>
            <w:r>
              <w:t>Debt-to-Equity</w:t>
            </w:r>
          </w:p>
        </w:tc>
        <w:tc>
          <w:tcPr>
            <w:tcW w:w="2520" w:type="dxa"/>
          </w:tcPr>
          <w:p w14:paraId="3DE38FF4">
            <w:pPr>
              <w:spacing w:after="0" w:line="240" w:lineRule="auto"/>
            </w:pPr>
            <w:r>
              <w:t>Total Debt ÷ Shareholders' Equity</w:t>
            </w:r>
          </w:p>
        </w:tc>
        <w:tc>
          <w:tcPr>
            <w:tcW w:w="2520" w:type="dxa"/>
          </w:tcPr>
          <w:p w14:paraId="59A23CDF">
            <w:pPr>
              <w:spacing w:after="0" w:line="240" w:lineRule="auto"/>
            </w:pPr>
            <w:r>
              <w:t>Shows debt relative to equity</w:t>
            </w:r>
          </w:p>
        </w:tc>
      </w:tr>
    </w:tbl>
    <w:p w14:paraId="23897F2E">
      <w:pPr>
        <w:pStyle w:val="2"/>
      </w:pPr>
      <w:r>
        <w:t>11. Python Calculation Code</w:t>
      </w:r>
    </w:p>
    <w:p w14:paraId="6541A73A">
      <w:r>
        <w:rPr>
          <w:rFonts w:ascii="Courier New" w:hAnsi="Courier New"/>
          <w:sz w:val="17"/>
        </w:rPr>
        <w:t># P/E Ratio</w:t>
      </w:r>
      <w:r>
        <w:rPr>
          <w:rFonts w:ascii="Courier New" w:hAnsi="Courier New"/>
          <w:sz w:val="17"/>
        </w:rPr>
        <w:br w:type="textWrapping"/>
      </w:r>
      <w:r>
        <w:rPr>
          <w:rFonts w:ascii="Courier New" w:hAnsi="Courier New"/>
          <w:sz w:val="17"/>
        </w:rPr>
        <w:t>df["PE_Ratio"] = np.where(</w:t>
      </w:r>
      <w:r>
        <w:rPr>
          <w:rFonts w:ascii="Courier New" w:hAnsi="Courier New"/>
          <w:sz w:val="17"/>
        </w:rPr>
        <w:br w:type="textWrapping"/>
      </w:r>
      <w:r>
        <w:rPr>
          <w:rFonts w:ascii="Courier New" w:hAnsi="Courier New"/>
          <w:sz w:val="17"/>
        </w:rPr>
        <w:t xml:space="preserve">    df["EPS_INR"] &gt; 0,</w:t>
      </w:r>
      <w:r>
        <w:rPr>
          <w:rFonts w:ascii="Courier New" w:hAnsi="Courier New"/>
          <w:sz w:val="17"/>
        </w:rPr>
        <w:br w:type="textWrapping"/>
      </w:r>
      <w:r>
        <w:rPr>
          <w:rFonts w:ascii="Courier New" w:hAnsi="Courier New"/>
          <w:sz w:val="17"/>
        </w:rPr>
        <w:t xml:space="preserve">    df["Market_Price_INR"] / df["EPS_INR"],</w:t>
      </w:r>
      <w:r>
        <w:rPr>
          <w:rFonts w:ascii="Courier New" w:hAnsi="Courier New"/>
          <w:sz w:val="17"/>
        </w:rPr>
        <w:br w:type="textWrapping"/>
      </w:r>
      <w:r>
        <w:rPr>
          <w:rFonts w:ascii="Courier New" w:hAnsi="Courier New"/>
          <w:sz w:val="17"/>
        </w:rPr>
        <w:t xml:space="preserve">    np.nan</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 P/B Ratio</w:t>
      </w:r>
      <w:r>
        <w:rPr>
          <w:rFonts w:ascii="Courier New" w:hAnsi="Courier New"/>
          <w:sz w:val="17"/>
        </w:rPr>
        <w:br w:type="textWrapping"/>
      </w:r>
      <w:r>
        <w:rPr>
          <w:rFonts w:ascii="Courier New" w:hAnsi="Courier New"/>
          <w:sz w:val="17"/>
        </w:rPr>
        <w:t>df["PB_Ratio"] = df["Market_Price_INR"] / df["Book_Value_Per_Share_INR"]</w:t>
      </w:r>
      <w:r>
        <w:rPr>
          <w:rFonts w:ascii="Courier New" w:hAnsi="Courier New"/>
          <w:sz w:val="17"/>
        </w:rPr>
        <w:br w:type="textWrapping"/>
      </w:r>
      <w:r>
        <w:rPr>
          <w:rFonts w:ascii="Courier New" w:hAnsi="Courier New"/>
          <w:sz w:val="17"/>
        </w:rPr>
        <w:br w:type="textWrapping"/>
      </w:r>
      <w:r>
        <w:rPr>
          <w:rFonts w:ascii="Courier New" w:hAnsi="Courier New"/>
          <w:sz w:val="17"/>
        </w:rPr>
        <w:t># ROE</w:t>
      </w:r>
      <w:r>
        <w:rPr>
          <w:rFonts w:ascii="Courier New" w:hAnsi="Courier New"/>
          <w:sz w:val="17"/>
        </w:rPr>
        <w:br w:type="textWrapping"/>
      </w:r>
      <w:r>
        <w:rPr>
          <w:rFonts w:ascii="Courier New" w:hAnsi="Courier New"/>
          <w:sz w:val="17"/>
        </w:rPr>
        <w:t>df["ROE_Percent"] = (</w:t>
      </w:r>
      <w:r>
        <w:rPr>
          <w:rFonts w:ascii="Courier New" w:hAnsi="Courier New"/>
          <w:sz w:val="17"/>
        </w:rPr>
        <w:br w:type="textWrapping"/>
      </w:r>
      <w:r>
        <w:rPr>
          <w:rFonts w:ascii="Courier New" w:hAnsi="Courier New"/>
          <w:sz w:val="17"/>
        </w:rPr>
        <w:t xml:space="preserve">    df["Net_Income_Crore"] /</w:t>
      </w:r>
      <w:r>
        <w:rPr>
          <w:rFonts w:ascii="Courier New" w:hAnsi="Courier New"/>
          <w:sz w:val="17"/>
        </w:rPr>
        <w:br w:type="textWrapping"/>
      </w:r>
      <w:r>
        <w:rPr>
          <w:rFonts w:ascii="Courier New" w:hAnsi="Courier New"/>
          <w:sz w:val="17"/>
        </w:rPr>
        <w:t xml:space="preserve">    df["Shareholders_Equity_Crore"]</w:t>
      </w:r>
      <w:r>
        <w:rPr>
          <w:rFonts w:ascii="Courier New" w:hAnsi="Courier New"/>
          <w:sz w:val="17"/>
        </w:rPr>
        <w:br w:type="textWrapping"/>
      </w:r>
      <w:r>
        <w:rPr>
          <w:rFonts w:ascii="Courier New" w:hAnsi="Courier New"/>
          <w:sz w:val="17"/>
        </w:rPr>
        <w:t>) * 100</w:t>
      </w:r>
      <w:r>
        <w:rPr>
          <w:rFonts w:ascii="Courier New" w:hAnsi="Courier New"/>
          <w:sz w:val="17"/>
        </w:rPr>
        <w:br w:type="textWrapping"/>
      </w:r>
      <w:r>
        <w:rPr>
          <w:rFonts w:ascii="Courier New" w:hAnsi="Courier New"/>
          <w:sz w:val="17"/>
        </w:rPr>
        <w:br w:type="textWrapping"/>
      </w:r>
      <w:r>
        <w:rPr>
          <w:rFonts w:ascii="Courier New" w:hAnsi="Courier New"/>
          <w:sz w:val="17"/>
        </w:rPr>
        <w:t># Debt-to-Equity</w:t>
      </w:r>
      <w:r>
        <w:rPr>
          <w:rFonts w:ascii="Courier New" w:hAnsi="Courier New"/>
          <w:sz w:val="17"/>
        </w:rPr>
        <w:br w:type="textWrapping"/>
      </w:r>
      <w:r>
        <w:rPr>
          <w:rFonts w:ascii="Courier New" w:hAnsi="Courier New"/>
          <w:sz w:val="17"/>
        </w:rPr>
        <w:t>df["Debt_Equity_Ratio"] = (</w:t>
      </w:r>
      <w:r>
        <w:rPr>
          <w:rFonts w:ascii="Courier New" w:hAnsi="Courier New"/>
          <w:sz w:val="17"/>
        </w:rPr>
        <w:br w:type="textWrapping"/>
      </w:r>
      <w:r>
        <w:rPr>
          <w:rFonts w:ascii="Courier New" w:hAnsi="Courier New"/>
          <w:sz w:val="17"/>
        </w:rPr>
        <w:t xml:space="preserve">    df["Total_Debt_Crore"] /</w:t>
      </w:r>
      <w:r>
        <w:rPr>
          <w:rFonts w:ascii="Courier New" w:hAnsi="Courier New"/>
          <w:sz w:val="17"/>
        </w:rPr>
        <w:br w:type="textWrapping"/>
      </w:r>
      <w:r>
        <w:rPr>
          <w:rFonts w:ascii="Courier New" w:hAnsi="Courier New"/>
          <w:sz w:val="17"/>
        </w:rPr>
        <w:t xml:space="preserve">    df["Shareholders_Equity_Crore"]</w:t>
      </w:r>
      <w:r>
        <w:rPr>
          <w:rFonts w:ascii="Courier New" w:hAnsi="Courier New"/>
          <w:sz w:val="17"/>
        </w:rPr>
        <w:br w:type="textWrapping"/>
      </w:r>
      <w:r>
        <w:rPr>
          <w:rFonts w:ascii="Courier New" w:hAnsi="Courier New"/>
          <w:sz w:val="17"/>
        </w:rPr>
        <w:t>)</w:t>
      </w:r>
    </w:p>
    <w:p w14:paraId="6579B687">
      <w:pPr>
        <w:pStyle w:val="2"/>
      </w:pPr>
      <w:r>
        <w:t>12. Ratio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27A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43DDB71F">
            <w:pPr>
              <w:spacing w:after="0" w:line="240" w:lineRule="auto"/>
            </w:pPr>
            <w:r>
              <w:rPr>
                <w:b/>
              </w:rPr>
              <w:t>Ratio</w:t>
            </w:r>
          </w:p>
        </w:tc>
        <w:tc>
          <w:tcPr>
            <w:tcW w:w="3360" w:type="dxa"/>
            <w:shd w:val="clear" w:color="auto" w:fill="D9EAF7"/>
          </w:tcPr>
          <w:p w14:paraId="64986C55">
            <w:pPr>
              <w:spacing w:after="0" w:line="240" w:lineRule="auto"/>
            </w:pPr>
            <w:r>
              <w:rPr>
                <w:b/>
              </w:rPr>
              <w:t>Minimum</w:t>
            </w:r>
          </w:p>
        </w:tc>
        <w:tc>
          <w:tcPr>
            <w:tcW w:w="3360" w:type="dxa"/>
            <w:shd w:val="clear" w:color="auto" w:fill="D9EAF7"/>
          </w:tcPr>
          <w:p w14:paraId="407A8BD4">
            <w:pPr>
              <w:spacing w:after="0" w:line="240" w:lineRule="auto"/>
            </w:pPr>
            <w:r>
              <w:rPr>
                <w:b/>
              </w:rPr>
              <w:t>Maximum</w:t>
            </w:r>
          </w:p>
        </w:tc>
      </w:tr>
      <w:tr w14:paraId="291E2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C77CD4">
            <w:pPr>
              <w:spacing w:after="0" w:line="240" w:lineRule="auto"/>
            </w:pPr>
            <w:r>
              <w:t>P/E</w:t>
            </w:r>
          </w:p>
        </w:tc>
        <w:tc>
          <w:tcPr>
            <w:tcW w:w="3360" w:type="dxa"/>
          </w:tcPr>
          <w:p w14:paraId="53DF1AAF">
            <w:pPr>
              <w:spacing w:after="0" w:line="240" w:lineRule="auto"/>
            </w:pPr>
            <w:r>
              <w:t>8.02</w:t>
            </w:r>
          </w:p>
        </w:tc>
        <w:tc>
          <w:tcPr>
            <w:tcW w:w="3360" w:type="dxa"/>
          </w:tcPr>
          <w:p w14:paraId="64A4CC87">
            <w:pPr>
              <w:spacing w:after="0" w:line="240" w:lineRule="auto"/>
            </w:pPr>
            <w:r>
              <w:t>39.89</w:t>
            </w:r>
          </w:p>
        </w:tc>
      </w:tr>
      <w:tr w14:paraId="7535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57E5C7">
            <w:pPr>
              <w:spacing w:after="0" w:line="240" w:lineRule="auto"/>
            </w:pPr>
            <w:r>
              <w:t>P/B</w:t>
            </w:r>
          </w:p>
        </w:tc>
        <w:tc>
          <w:tcPr>
            <w:tcW w:w="3360" w:type="dxa"/>
          </w:tcPr>
          <w:p w14:paraId="155E2484">
            <w:pPr>
              <w:spacing w:after="0" w:line="240" w:lineRule="auto"/>
            </w:pPr>
            <w:r>
              <w:t>0.16</w:t>
            </w:r>
          </w:p>
        </w:tc>
        <w:tc>
          <w:tcPr>
            <w:tcW w:w="3360" w:type="dxa"/>
          </w:tcPr>
          <w:p w14:paraId="31F284A0">
            <w:pPr>
              <w:spacing w:after="0" w:line="240" w:lineRule="auto"/>
            </w:pPr>
            <w:r>
              <w:t>10.67</w:t>
            </w:r>
          </w:p>
        </w:tc>
      </w:tr>
      <w:tr w14:paraId="5CBC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B22CB6">
            <w:pPr>
              <w:spacing w:after="0" w:line="240" w:lineRule="auto"/>
            </w:pPr>
            <w:r>
              <w:t>ROE (%)</w:t>
            </w:r>
          </w:p>
        </w:tc>
        <w:tc>
          <w:tcPr>
            <w:tcW w:w="3360" w:type="dxa"/>
          </w:tcPr>
          <w:p w14:paraId="65B379EB">
            <w:pPr>
              <w:spacing w:after="0" w:line="240" w:lineRule="auto"/>
            </w:pPr>
            <w:r>
              <w:t>-11.74</w:t>
            </w:r>
          </w:p>
        </w:tc>
        <w:tc>
          <w:tcPr>
            <w:tcW w:w="3360" w:type="dxa"/>
          </w:tcPr>
          <w:p w14:paraId="5FD75BFD">
            <w:pPr>
              <w:spacing w:after="0" w:line="240" w:lineRule="auto"/>
            </w:pPr>
            <w:r>
              <w:t>27.85</w:t>
            </w:r>
          </w:p>
        </w:tc>
      </w:tr>
      <w:tr w14:paraId="3DAD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CA2B4C2">
            <w:pPr>
              <w:spacing w:after="0" w:line="240" w:lineRule="auto"/>
            </w:pPr>
            <w:r>
              <w:t>Debt-to-Equity</w:t>
            </w:r>
          </w:p>
        </w:tc>
        <w:tc>
          <w:tcPr>
            <w:tcW w:w="3360" w:type="dxa"/>
          </w:tcPr>
          <w:p w14:paraId="48E97FD2">
            <w:pPr>
              <w:spacing w:after="0" w:line="240" w:lineRule="auto"/>
            </w:pPr>
            <w:r>
              <w:t>0.06</w:t>
            </w:r>
          </w:p>
        </w:tc>
        <w:tc>
          <w:tcPr>
            <w:tcW w:w="3360" w:type="dxa"/>
          </w:tcPr>
          <w:p w14:paraId="2A96B6C7">
            <w:pPr>
              <w:spacing w:after="0" w:line="240" w:lineRule="auto"/>
            </w:pPr>
            <w:r>
              <w:t>2.00</w:t>
            </w:r>
          </w:p>
        </w:tc>
      </w:tr>
    </w:tbl>
    <w:p w14:paraId="14E40DF0">
      <w:r>
        <w:t>P/E minimum and maximum are calculated from valid positive-EPS records; N/A P/E values are excluded from the range.</w:t>
      </w:r>
    </w:p>
    <w:p w14:paraId="4C6420EB">
      <w:pPr>
        <w:pStyle w:val="2"/>
      </w:pPr>
      <w:r>
        <w:t>13. Financial-Year Handling</w:t>
      </w:r>
    </w:p>
    <w:p w14:paraId="55762727">
      <w:r>
        <w:t>The Financial_Year column is retained for the two available years: FY2025, FY2026. The dashboard can filter the analysis by year, so records from different years can be examined separately.</w:t>
      </w:r>
    </w:p>
    <w:p w14:paraId="4A8EF098">
      <w:pPr>
        <w:pStyle w:val="2"/>
      </w:pPr>
      <w:r>
        <w:t>14. Final Dataset</w:t>
      </w:r>
    </w:p>
    <w:p w14:paraId="3116351C">
      <w:r>
        <w:t>After calculating and verifying the ratios, the final dataset was saved as:</w:t>
      </w:r>
    </w:p>
    <w:p w14:paraId="0035129C">
      <w:r>
        <w:rPr>
          <w:b/>
        </w:rPr>
        <w:t>stock_screener_final_with_ratios.csv</w:t>
      </w:r>
    </w:p>
    <w:p w14:paraId="35BD0418">
      <w:r>
        <w:t>This file contains the original financial inputs plus the four calculated ratio columns.</w:t>
      </w:r>
    </w:p>
    <w:p w14:paraId="0860AC31">
      <w:pPr>
        <w:pStyle w:val="2"/>
      </w:pPr>
      <w:r>
        <w:t>15. Interactive Dashboard</w:t>
      </w:r>
    </w:p>
    <w:p w14:paraId="1B277A4C">
      <w:r>
        <w:t>The final dashboard provides a practical interface for exploring and screening the financial records.</w:t>
      </w:r>
    </w:p>
    <w:p w14:paraId="302EC486">
      <w:pPr>
        <w:pStyle w:val="23"/>
      </w:pPr>
      <w:r>
        <w:t>Unique Companies KPI</w:t>
      </w:r>
    </w:p>
    <w:p w14:paraId="78F6EB82">
      <w:pPr>
        <w:pStyle w:val="23"/>
      </w:pPr>
      <w:r>
        <w:t>Average P/E, P/B, ROE and Debt/Equity KPIs</w:t>
      </w:r>
    </w:p>
    <w:p w14:paraId="70C9248E">
      <w:pPr>
        <w:pStyle w:val="23"/>
      </w:pPr>
      <w:r>
        <w:t>Financial Year filter</w:t>
      </w:r>
    </w:p>
    <w:p w14:paraId="4E59AD9F">
      <w:pPr>
        <w:pStyle w:val="23"/>
      </w:pPr>
      <w:r>
        <w:t>Industry filter</w:t>
      </w:r>
    </w:p>
    <w:p w14:paraId="0BB1B68D">
      <w:pPr>
        <w:pStyle w:val="23"/>
      </w:pPr>
      <w:r>
        <w:t>Maximum P/E control</w:t>
      </w:r>
    </w:p>
    <w:p w14:paraId="41C4E538">
      <w:pPr>
        <w:pStyle w:val="23"/>
      </w:pPr>
      <w:r>
        <w:t>Maximum P/B control</w:t>
      </w:r>
    </w:p>
    <w:p w14:paraId="237C6B51">
      <w:pPr>
        <w:pStyle w:val="23"/>
      </w:pPr>
      <w:r>
        <w:t>Minimum ROE control</w:t>
      </w:r>
    </w:p>
    <w:p w14:paraId="3BCD8661">
      <w:pPr>
        <w:pStyle w:val="23"/>
      </w:pPr>
      <w:r>
        <w:t>Maximum Debt/Equity control</w:t>
      </w:r>
    </w:p>
    <w:p w14:paraId="02F43BD2">
      <w:pPr>
        <w:pStyle w:val="23"/>
      </w:pPr>
      <w:r>
        <w:t>Reset Filters button</w:t>
      </w:r>
    </w:p>
    <w:p w14:paraId="1466E615">
      <w:pPr>
        <w:pStyle w:val="23"/>
      </w:pPr>
      <w:r>
        <w:t>Average ROE by Industry chart</w:t>
      </w:r>
    </w:p>
    <w:p w14:paraId="36DF6BDD">
      <w:pPr>
        <w:pStyle w:val="23"/>
      </w:pPr>
      <w:r>
        <w:t>ROE by Company chart</w:t>
      </w:r>
    </w:p>
    <w:p w14:paraId="45494207">
      <w:pPr>
        <w:pStyle w:val="23"/>
      </w:pPr>
      <w:r>
        <w:t>P/E distribution chart</w:t>
      </w:r>
    </w:p>
    <w:p w14:paraId="0A45DF5E">
      <w:pPr>
        <w:pStyle w:val="23"/>
      </w:pPr>
      <w:r>
        <w:t>Debt-to-Equity by Company chart</w:t>
      </w:r>
    </w:p>
    <w:p w14:paraId="48558D6F">
      <w:pPr>
        <w:pStyle w:val="23"/>
      </w:pPr>
      <w:r>
        <w:t>Stock Screener Results table</w:t>
      </w:r>
    </w:p>
    <w:p w14:paraId="44AA6628">
      <w:pPr>
        <w:pStyle w:val="2"/>
      </w:pPr>
      <w:r>
        <w:t>16. How Screening Works</w:t>
      </w:r>
    </w:p>
    <w:p w14:paraId="704AB02F">
      <w:r>
        <w:t>The user can set ratio limits. The dashboard applies the selected conditions together and shows the financial records that match. Year and industry selections can further narrow the results.</w:t>
      </w:r>
    </w:p>
    <w:p w14:paraId="31141D23">
      <w:r>
        <w:t>Example: a user can select a financial year and industry, then set a maximum P/E, maximum P/B, minimum ROE and maximum Debt/Equity. The result table updates according to those conditions.</w:t>
      </w:r>
    </w:p>
    <w:p w14:paraId="51531882">
      <w:pPr>
        <w:pStyle w:val="2"/>
      </w:pPr>
      <w:r>
        <w:t>17. P/E Special Case in the Dashboard</w:t>
      </w:r>
    </w:p>
    <w:p w14:paraId="3732A968">
      <w:r>
        <w:t>Companies with zero or negative EPS are not assigned a normal P/E. The dashboard identifies P/E as N/A for these records because a conventional P/E calculation is not meaningful when earnings are non-positive.</w:t>
      </w:r>
    </w:p>
    <w:p w14:paraId="376D5CF9">
      <w:pPr>
        <w:pStyle w:val="2"/>
      </w:pPr>
      <w:r>
        <w:t>18. Key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7DA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shd w:val="clear" w:color="auto" w:fill="D9EAF7"/>
          </w:tcPr>
          <w:p w14:paraId="0BA73B42">
            <w:pPr>
              <w:spacing w:after="0" w:line="240" w:lineRule="auto"/>
            </w:pPr>
            <w:r>
              <w:rPr>
                <w:b/>
              </w:rPr>
              <w:t>Measure</w:t>
            </w:r>
          </w:p>
        </w:tc>
        <w:tc>
          <w:tcPr>
            <w:tcW w:w="5040" w:type="dxa"/>
            <w:shd w:val="clear" w:color="auto" w:fill="D9EAF7"/>
          </w:tcPr>
          <w:p w14:paraId="00B0CB2B">
            <w:pPr>
              <w:spacing w:after="0" w:line="240" w:lineRule="auto"/>
            </w:pPr>
            <w:r>
              <w:rPr>
                <w:b/>
              </w:rPr>
              <w:t>Result</w:t>
            </w:r>
          </w:p>
        </w:tc>
      </w:tr>
      <w:tr w14:paraId="041D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55020740">
            <w:pPr>
              <w:spacing w:after="0" w:line="240" w:lineRule="auto"/>
            </w:pPr>
            <w:r>
              <w:t>Financial records</w:t>
            </w:r>
          </w:p>
        </w:tc>
        <w:tc>
          <w:tcPr>
            <w:tcW w:w="5040" w:type="dxa"/>
          </w:tcPr>
          <w:p w14:paraId="6E7C87B0">
            <w:pPr>
              <w:spacing w:after="0" w:line="240" w:lineRule="auto"/>
            </w:pPr>
            <w:r>
              <w:t>400</w:t>
            </w:r>
          </w:p>
        </w:tc>
      </w:tr>
      <w:tr w14:paraId="42EB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5A28F7">
            <w:pPr>
              <w:spacing w:after="0" w:line="240" w:lineRule="auto"/>
            </w:pPr>
            <w:r>
              <w:t>Unique companies</w:t>
            </w:r>
          </w:p>
        </w:tc>
        <w:tc>
          <w:tcPr>
            <w:tcW w:w="5040" w:type="dxa"/>
          </w:tcPr>
          <w:p w14:paraId="27936690">
            <w:pPr>
              <w:spacing w:after="0" w:line="240" w:lineRule="auto"/>
            </w:pPr>
            <w:r>
              <w:t>200</w:t>
            </w:r>
          </w:p>
        </w:tc>
      </w:tr>
      <w:tr w14:paraId="0F7C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9284F94">
            <w:pPr>
              <w:spacing w:after="0" w:line="240" w:lineRule="auto"/>
            </w:pPr>
            <w:r>
              <w:t>Financial years</w:t>
            </w:r>
          </w:p>
        </w:tc>
        <w:tc>
          <w:tcPr>
            <w:tcW w:w="5040" w:type="dxa"/>
          </w:tcPr>
          <w:p w14:paraId="40026533">
            <w:pPr>
              <w:spacing w:after="0" w:line="240" w:lineRule="auto"/>
            </w:pPr>
            <w:r>
              <w:t>FY2025, FY2026</w:t>
            </w:r>
          </w:p>
        </w:tc>
      </w:tr>
      <w:tr w14:paraId="464B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05FFD6C">
            <w:pPr>
              <w:spacing w:after="0" w:line="240" w:lineRule="auto"/>
            </w:pPr>
            <w:r>
              <w:t>Industries</w:t>
            </w:r>
          </w:p>
        </w:tc>
        <w:tc>
          <w:tcPr>
            <w:tcW w:w="5040" w:type="dxa"/>
          </w:tcPr>
          <w:p w14:paraId="70EAA1F2">
            <w:pPr>
              <w:spacing w:after="0" w:line="240" w:lineRule="auto"/>
            </w:pPr>
            <w:r>
              <w:t>10</w:t>
            </w:r>
          </w:p>
        </w:tc>
      </w:tr>
      <w:tr w14:paraId="3CB50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4D97D5C">
            <w:pPr>
              <w:spacing w:after="0" w:line="240" w:lineRule="auto"/>
            </w:pPr>
            <w:r>
              <w:t>EPS ≤ 0 records</w:t>
            </w:r>
          </w:p>
        </w:tc>
        <w:tc>
          <w:tcPr>
            <w:tcW w:w="5040" w:type="dxa"/>
          </w:tcPr>
          <w:p w14:paraId="12ACF48D">
            <w:pPr>
              <w:spacing w:after="0" w:line="240" w:lineRule="auto"/>
            </w:pPr>
            <w:r>
              <w:t>43</w:t>
            </w:r>
          </w:p>
        </w:tc>
      </w:tr>
      <w:tr w14:paraId="1892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BDEE87E">
            <w:pPr>
              <w:spacing w:after="0" w:line="240" w:lineRule="auto"/>
            </w:pPr>
            <w:r>
              <w:t>P/E range (valid records)</w:t>
            </w:r>
          </w:p>
        </w:tc>
        <w:tc>
          <w:tcPr>
            <w:tcW w:w="5040" w:type="dxa"/>
          </w:tcPr>
          <w:p w14:paraId="23696324">
            <w:pPr>
              <w:spacing w:after="0" w:line="240" w:lineRule="auto"/>
            </w:pPr>
            <w:r>
              <w:t>8.02 to 39.89</w:t>
            </w:r>
          </w:p>
        </w:tc>
      </w:tr>
      <w:tr w14:paraId="4FEB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190018">
            <w:pPr>
              <w:spacing w:after="0" w:line="240" w:lineRule="auto"/>
            </w:pPr>
            <w:r>
              <w:t>P/B range</w:t>
            </w:r>
          </w:p>
        </w:tc>
        <w:tc>
          <w:tcPr>
            <w:tcW w:w="5040" w:type="dxa"/>
          </w:tcPr>
          <w:p w14:paraId="4335C97C">
            <w:pPr>
              <w:spacing w:after="0" w:line="240" w:lineRule="auto"/>
            </w:pPr>
            <w:r>
              <w:t>0.16 to 10.67</w:t>
            </w:r>
          </w:p>
        </w:tc>
      </w:tr>
      <w:tr w14:paraId="61FA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2D7368">
            <w:pPr>
              <w:spacing w:after="0" w:line="240" w:lineRule="auto"/>
            </w:pPr>
            <w:r>
              <w:t>ROE range</w:t>
            </w:r>
          </w:p>
        </w:tc>
        <w:tc>
          <w:tcPr>
            <w:tcW w:w="5040" w:type="dxa"/>
          </w:tcPr>
          <w:p w14:paraId="09D5CB08">
            <w:pPr>
              <w:spacing w:after="0" w:line="240" w:lineRule="auto"/>
            </w:pPr>
            <w:r>
              <w:t>-11.74% to 27.85%</w:t>
            </w:r>
          </w:p>
        </w:tc>
      </w:tr>
      <w:tr w14:paraId="74F4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4C0313E">
            <w:pPr>
              <w:spacing w:after="0" w:line="240" w:lineRule="auto"/>
            </w:pPr>
            <w:r>
              <w:t>D/E range</w:t>
            </w:r>
          </w:p>
        </w:tc>
        <w:tc>
          <w:tcPr>
            <w:tcW w:w="5040" w:type="dxa"/>
          </w:tcPr>
          <w:p w14:paraId="25F11C94">
            <w:pPr>
              <w:spacing w:after="0" w:line="240" w:lineRule="auto"/>
            </w:pPr>
            <w:r>
              <w:t>0.06 to 2.00</w:t>
            </w:r>
          </w:p>
        </w:tc>
      </w:tr>
    </w:tbl>
    <w:p w14:paraId="27EFCBF0">
      <w:pPr>
        <w:pStyle w:val="2"/>
      </w:pPr>
      <w:r>
        <w:t>19. Project Architecture</w:t>
      </w:r>
    </w:p>
    <w:p w14:paraId="2A3DA6B5">
      <w:r>
        <w:rPr>
          <w:b/>
        </w:rPr>
        <w:t>Raw Financial Data → Python/Pandas Data Checking → Ratio Calculation → Final CSV → Interactive Dashboard → User-defined Stock Screening</w:t>
      </w:r>
    </w:p>
    <w:p w14:paraId="4582FD9E">
      <w:pPr>
        <w:pStyle w:val="2"/>
      </w:pPr>
      <w:r>
        <w:t>20. Challenges and Solutions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AB9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shd w:val="clear" w:color="auto" w:fill="D9EAF7"/>
          </w:tcPr>
          <w:p w14:paraId="38A25435">
            <w:pPr>
              <w:spacing w:after="0" w:line="240" w:lineRule="auto"/>
            </w:pPr>
            <w:r>
              <w:rPr>
                <w:b/>
              </w:rPr>
              <w:t>Challenge</w:t>
            </w:r>
          </w:p>
        </w:tc>
        <w:tc>
          <w:tcPr>
            <w:tcW w:w="5040" w:type="dxa"/>
            <w:shd w:val="clear" w:color="auto" w:fill="D9EAF7"/>
          </w:tcPr>
          <w:p w14:paraId="653CB668">
            <w:pPr>
              <w:spacing w:after="0" w:line="240" w:lineRule="auto"/>
            </w:pPr>
            <w:r>
              <w:rPr>
                <w:b/>
              </w:rPr>
              <w:t>Solution</w:t>
            </w:r>
          </w:p>
        </w:tc>
      </w:tr>
      <w:tr w14:paraId="3C43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539F998">
            <w:pPr>
              <w:spacing w:after="0" w:line="240" w:lineRule="auto"/>
            </w:pPr>
            <w:r>
              <w:t>P/E for zero/negative EPS</w:t>
            </w:r>
          </w:p>
        </w:tc>
        <w:tc>
          <w:tcPr>
            <w:tcW w:w="5040" w:type="dxa"/>
          </w:tcPr>
          <w:p w14:paraId="19477CC4">
            <w:pPr>
              <w:spacing w:after="0" w:line="240" w:lineRule="auto"/>
            </w:pPr>
            <w:r>
              <w:t>Use N/A/NaN instead of a normal P/E.</w:t>
            </w:r>
          </w:p>
        </w:tc>
      </w:tr>
      <w:tr w14:paraId="4EBD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B14439D">
            <w:pPr>
              <w:spacing w:after="0" w:line="240" w:lineRule="auto"/>
            </w:pPr>
            <w:r>
              <w:t>Need to analyse different years</w:t>
            </w:r>
          </w:p>
        </w:tc>
        <w:tc>
          <w:tcPr>
            <w:tcW w:w="5040" w:type="dxa"/>
          </w:tcPr>
          <w:p w14:paraId="2EA48CF4">
            <w:pPr>
              <w:spacing w:after="0" w:line="240" w:lineRule="auto"/>
            </w:pPr>
            <w:r>
              <w:t>Keep Financial_Year and provide year filtering.</w:t>
            </w:r>
          </w:p>
        </w:tc>
      </w:tr>
      <w:tr w14:paraId="5958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21E8B1">
            <w:pPr>
              <w:spacing w:after="0" w:line="240" w:lineRule="auto"/>
            </w:pPr>
            <w:r>
              <w:t>Different screening requirements</w:t>
            </w:r>
          </w:p>
        </w:tc>
        <w:tc>
          <w:tcPr>
            <w:tcW w:w="5040" w:type="dxa"/>
          </w:tcPr>
          <w:p w14:paraId="03F1A26A">
            <w:pPr>
              <w:spacing w:after="0" w:line="240" w:lineRule="auto"/>
            </w:pPr>
            <w:r>
              <w:t>Provide editable ratio thresholds.</w:t>
            </w:r>
          </w:p>
        </w:tc>
      </w:tr>
      <w:tr w14:paraId="4DF3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AA0270">
            <w:pPr>
              <w:spacing w:after="0" w:line="240" w:lineRule="auto"/>
            </w:pPr>
            <w:r>
              <w:t>Need understandable results</w:t>
            </w:r>
          </w:p>
        </w:tc>
        <w:tc>
          <w:tcPr>
            <w:tcW w:w="5040" w:type="dxa"/>
          </w:tcPr>
          <w:p w14:paraId="68A7377D">
            <w:pPr>
              <w:spacing w:after="0" w:line="240" w:lineRule="auto"/>
            </w:pPr>
            <w:r>
              <w:t>Use KPI cards, charts and a result table.</w:t>
            </w:r>
          </w:p>
        </w:tc>
      </w:tr>
      <w:tr w14:paraId="6138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2BFC28C">
            <w:pPr>
              <w:spacing w:after="0" w:line="240" w:lineRule="auto"/>
            </w:pPr>
            <w:r>
              <w:t>Ratios should be calculated by the project</w:t>
            </w:r>
          </w:p>
        </w:tc>
        <w:tc>
          <w:tcPr>
            <w:tcW w:w="5040" w:type="dxa"/>
          </w:tcPr>
          <w:p w14:paraId="0813520E">
            <w:pPr>
              <w:spacing w:after="0" w:line="240" w:lineRule="auto"/>
            </w:pPr>
            <w:r>
              <w:t>Use raw financial inputs and calculate ratios in Python.</w:t>
            </w:r>
          </w:p>
        </w:tc>
      </w:tr>
    </w:tbl>
    <w:p w14:paraId="618EC9B0">
      <w:pPr>
        <w:pStyle w:val="2"/>
      </w:pPr>
      <w:r>
        <w:t>2</w:t>
      </w:r>
      <w:r>
        <w:rPr>
          <w:rFonts w:hint="default"/>
          <w:lang w:val="en-IN"/>
        </w:rPr>
        <w:t>1</w:t>
      </w:r>
      <w:r>
        <w:t>. Simple Presentation Script</w:t>
      </w:r>
    </w:p>
    <w:p w14:paraId="72C0D8B8">
      <w:r>
        <w:t>Our project is a Stock Screener with Fundamental Ratios for Equity Research. We start with financial data containing market price, EPS, book value, net income, shareholders' equity and debt. We use Python and Pandas to load and check the data. Then we calculate P/E, P/B, ROE and Debt-to-Equity. If EPS is zero or negative, P/E is treated as not applicable. We retain financial-year information so the user can analyse different years. Finally, the dashboard allows the user to select the year, industry and ratio limits and shows the companies that match the selected screening conditions.</w:t>
      </w:r>
    </w:p>
    <w:p w14:paraId="584CD1A9">
      <w:pPr>
        <w:pStyle w:val="2"/>
      </w:pPr>
      <w:r>
        <w:t>2</w:t>
      </w:r>
      <w:r>
        <w:rPr>
          <w:rFonts w:hint="default"/>
          <w:lang w:val="en-IN"/>
        </w:rPr>
        <w:t>2</w:t>
      </w:r>
      <w:r>
        <w:t>. Future Scope</w:t>
      </w:r>
    </w:p>
    <w:p w14:paraId="70165391">
      <w:pPr>
        <w:pStyle w:val="23"/>
      </w:pPr>
      <w:r>
        <w:t>Connect to regularly updated financial data.</w:t>
      </w:r>
    </w:p>
    <w:p w14:paraId="3C155021">
      <w:pPr>
        <w:pStyle w:val="23"/>
      </w:pPr>
      <w:r>
        <w:t>Add more financial ratios.</w:t>
      </w:r>
    </w:p>
    <w:p w14:paraId="0C97C1E1">
      <w:pPr>
        <w:pStyle w:val="23"/>
      </w:pPr>
      <w:r>
        <w:t>Add historical trends and company comparisons.</w:t>
      </w:r>
    </w:p>
    <w:p w14:paraId="41B4A64B">
      <w:pPr>
        <w:pStyle w:val="23"/>
      </w:pPr>
      <w:r>
        <w:t>Add market-performance metrics.</w:t>
      </w:r>
    </w:p>
    <w:p w14:paraId="14311B36">
      <w:pPr>
        <w:pStyle w:val="23"/>
      </w:pPr>
      <w:r>
        <w:t>Automate data refresh.</w:t>
      </w:r>
    </w:p>
    <w:p w14:paraId="0263A78D">
      <w:pPr>
        <w:pStyle w:val="23"/>
      </w:pPr>
      <w:r>
        <w:t>Connect the dashboard to a database.</w:t>
      </w:r>
    </w:p>
    <w:p w14:paraId="1E61725C">
      <w:pPr>
        <w:pStyle w:val="23"/>
      </w:pPr>
      <w:r>
        <w:t>Expand the project with additional equity-research metrics.</w:t>
      </w:r>
    </w:p>
    <w:p w14:paraId="1BBE7F3C">
      <w:pPr>
        <w:pStyle w:val="2"/>
      </w:pPr>
      <w:r>
        <w:t>2</w:t>
      </w:r>
      <w:r>
        <w:rPr>
          <w:rFonts w:hint="default"/>
          <w:lang w:val="en-IN"/>
        </w:rPr>
        <w:t>3</w:t>
      </w:r>
      <w:r>
        <w:t>. Conclusion</w:t>
      </w:r>
    </w:p>
    <w:p w14:paraId="541765FA">
      <w:r>
        <w:t>The project demonstrates a complete data-analysis workflow from financial CSV data to an interactive stock-screening dashboard. It calculates four fundamental ratios, handles non-positive EPS correctly, preserves financial-year information, and allows users to apply their own screening conditions. The final dashboard makes the financial records easier to explore and filter.</w:t>
      </w:r>
    </w:p>
    <w:p w14:paraId="09E7B79F">
      <w:pPr>
        <w:pStyle w:val="2"/>
      </w:pPr>
      <w:r>
        <w:t>2</w:t>
      </w:r>
      <w:r>
        <w:rPr>
          <w:rFonts w:hint="default"/>
          <w:lang w:val="en-IN"/>
        </w:rPr>
        <w:t>4</w:t>
      </w:r>
      <w:bookmarkStart w:id="0" w:name="_GoBack"/>
      <w:bookmarkEnd w:id="0"/>
      <w:r>
        <w:t>. Final Files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BB2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5C5422E3">
            <w:pPr>
              <w:spacing w:after="0" w:line="240" w:lineRule="auto"/>
            </w:pPr>
            <w:r>
              <w:rPr>
                <w:b/>
              </w:rPr>
              <w:t>File</w:t>
            </w:r>
          </w:p>
        </w:tc>
        <w:tc>
          <w:tcPr>
            <w:tcW w:w="5040" w:type="dxa"/>
            <w:shd w:val="clear" w:color="auto" w:fill="D9EAF7"/>
          </w:tcPr>
          <w:p w14:paraId="4DA0A07D">
            <w:pPr>
              <w:spacing w:after="0" w:line="240" w:lineRule="auto"/>
            </w:pPr>
            <w:r>
              <w:rPr>
                <w:b/>
              </w:rPr>
              <w:t>Purpose</w:t>
            </w:r>
          </w:p>
        </w:tc>
      </w:tr>
      <w:tr w14:paraId="6437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711F02D">
            <w:pPr>
              <w:spacing w:after="0" w:line="240" w:lineRule="auto"/>
            </w:pPr>
            <w:r>
              <w:t>stock_screener_final_with_ratios.csv</w:t>
            </w:r>
          </w:p>
        </w:tc>
        <w:tc>
          <w:tcPr>
            <w:tcW w:w="5040" w:type="dxa"/>
          </w:tcPr>
          <w:p w14:paraId="7B1055AA">
            <w:pPr>
              <w:spacing w:after="0" w:line="240" w:lineRule="auto"/>
            </w:pPr>
            <w:r>
              <w:t>Final financial dataset with calculated ratios.</w:t>
            </w:r>
          </w:p>
        </w:tc>
      </w:tr>
      <w:tr w14:paraId="6B37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3C45BB3">
            <w:pPr>
              <w:spacing w:after="0" w:line="240" w:lineRule="auto"/>
            </w:pPr>
            <w:r>
              <w:t>Stock_Screener_Dashboard.html</w:t>
            </w:r>
          </w:p>
        </w:tc>
        <w:tc>
          <w:tcPr>
            <w:tcW w:w="5040" w:type="dxa"/>
          </w:tcPr>
          <w:p w14:paraId="05E448C0">
            <w:pPr>
              <w:spacing w:after="0" w:line="240" w:lineRule="auto"/>
            </w:pPr>
            <w:r>
              <w:t>Interactive dashboard built from the final dataset.</w:t>
            </w:r>
          </w:p>
        </w:tc>
      </w:tr>
    </w:tbl>
    <w:p w14:paraId="5469DD12"/>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8645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634</Words>
  <Characters>4015</Characters>
  <Lines>0</Lines>
  <Paragraphs>0</Paragraphs>
  <TotalTime>6</TotalTime>
  <ScaleCrop>false</ScaleCrop>
  <LinksUpToDate>false</LinksUpToDate>
  <CharactersWithSpaces>4532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Sweety</cp:lastModifiedBy>
  <dcterms:modified xsi:type="dcterms:W3CDTF">2026-09-26T23:09:53Z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eyJoZGlkIjoiZTQ0NjczZjEyMTM2Zjc5MDg0Y2JkYWFlYzM3MzAwMmQiLCJ1c2VySWQiOiIzNzI4NTAyMDM4MTA4In0=</vt:lpwstr>
  </property>
  <property fmtid="{D5CDD505-2E9C-101B-9397-08002B2CF9AE}" pid="3" name="KSOProductBuildVer">
    <vt:lpwstr>1033-12.1.0.28485</vt:lpwstr>
  </property>
  <property fmtid="{D5CDD505-2E9C-101B-9397-08002B2CF9AE}" pid="4" name="ICV">
    <vt:lpwstr>97F0EA0F383C4495A7601D396877856F_12</vt:lpwstr>
  </property>
</Properties>
</file>