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MarketAI Pro: Autonomous B2B Sales &amp; Marketing Ecosystem</w:t>
        <w:br w:type="textWrapping"/>
        <w:t xml:space="preserve">Team : Gen Programmers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Problem:</w:t>
      </w:r>
      <w:r w:rsidDel="00000000" w:rsidR="00000000" w:rsidRPr="00000000">
        <w:rPr>
          <w:rFonts w:ascii="Times New Roman" w:cs="Times New Roman" w:eastAsia="Times New Roman" w:hAnsi="Times New Roman"/>
          <w:color w:val="1f1f1f"/>
          <w:rtl w:val="0"/>
        </w:rPr>
        <w:t xml:space="preserve"> Traditional B2B outbound relies on generic templates and siloed operations, leading to low conversion rates, high Customer Acquisition Costs (CAC), and reps spending 60% of their time drafting emails instead of selling.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The Solution:</w:t>
      </w:r>
      <w:r w:rsidDel="00000000" w:rsidR="00000000" w:rsidRPr="00000000">
        <w:rPr>
          <w:rFonts w:ascii="Times New Roman" w:cs="Times New Roman" w:eastAsia="Times New Roman" w:hAnsi="Times New Roman"/>
          <w:color w:val="1f1f1f"/>
          <w:rtl w:val="0"/>
        </w:rPr>
        <w:t xml:space="preserve"> MarketAI Pro is an end-to-end, autonomous B2B CRM powered by Google's Gemini. It moves beyond static text generation by actively finding deep business synergies, executing email campaigns, monitoring engagement, and guiding human sales reps to close.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Core Innovation: Dual-Company Contextual Analysis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Instead of generic "Customer Personas," our engine performs deep cross-analysis between </w:t>
      </w:r>
      <w:r w:rsidDel="00000000" w:rsidR="00000000" w:rsidRPr="00000000">
        <w:rPr>
          <w:rFonts w:ascii="Times New Roman" w:cs="Times New Roman" w:eastAsia="Times New Roman" w:hAnsi="Times New Roman"/>
          <w:b w:val="1"/>
          <w:bCs w:val="1"/>
          <w:color w:val="1f1f1f"/>
          <w:rtl w:val="0"/>
        </w:rPr>
        <w:t xml:space="preserve">Input A</w:t>
      </w:r>
      <w:r w:rsidDel="00000000" w:rsidR="00000000" w:rsidRPr="00000000">
        <w:rPr>
          <w:rFonts w:ascii="Times New Roman" w:cs="Times New Roman" w:eastAsia="Times New Roman" w:hAnsi="Times New Roman"/>
          <w:color w:val="1f1f1f"/>
          <w:rtl w:val="0"/>
        </w:rPr>
        <w:t xml:space="preserve"> (Our Company's value props/case studies) and </w:t>
      </w:r>
      <w:r w:rsidDel="00000000" w:rsidR="00000000" w:rsidRPr="00000000">
        <w:rPr>
          <w:rFonts w:ascii="Times New Roman" w:cs="Times New Roman" w:eastAsia="Times New Roman" w:hAnsi="Times New Roman"/>
          <w:b w:val="1"/>
          <w:bCs w:val="1"/>
          <w:color w:val="1f1f1f"/>
          <w:rtl w:val="0"/>
        </w:rPr>
        <w:t xml:space="preserve">Input B</w:t>
      </w:r>
      <w:r w:rsidDel="00000000" w:rsidR="00000000" w:rsidRPr="00000000">
        <w:rPr>
          <w:rFonts w:ascii="Times New Roman" w:cs="Times New Roman" w:eastAsia="Times New Roman" w:hAnsi="Times New Roman"/>
          <w:color w:val="1f1f1f"/>
          <w:rtl w:val="0"/>
        </w:rPr>
        <w:t xml:space="preserve"> (The Target Company's website/news/POC data). Gemini finds the </w:t>
      </w:r>
      <w:r w:rsidDel="00000000" w:rsidR="00000000" w:rsidRPr="00000000">
        <w:rPr>
          <w:rFonts w:ascii="Times New Roman" w:cs="Times New Roman" w:eastAsia="Times New Roman" w:hAnsi="Times New Roman"/>
          <w:i w:val="1"/>
          <w:iCs w:val="1"/>
          <w:color w:val="1f1f1f"/>
          <w:rtl w:val="0"/>
        </w:rPr>
        <w:t xml:space="preserve">exact</w:t>
      </w:r>
      <w:r w:rsidDel="00000000" w:rsidR="00000000" w:rsidRPr="00000000">
        <w:rPr>
          <w:rFonts w:ascii="Times New Roman" w:cs="Times New Roman" w:eastAsia="Times New Roman" w:hAnsi="Times New Roman"/>
          <w:color w:val="1f1f1f"/>
          <w:rtl w:val="0"/>
        </w:rPr>
        <w:t xml:space="preserve"> reasons these two specific companies must work together, ensuring hyper-personalized outreach.</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Multi-Agent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Python backend orchestrates a network of specialized, Gemini-powered AI Agents: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Campaign Planner:</w:t>
      </w:r>
      <w:r w:rsidDel="00000000" w:rsidR="00000000" w:rsidRPr="00000000">
        <w:rPr>
          <w:rFonts w:ascii="Times New Roman" w:cs="Times New Roman" w:eastAsia="Times New Roman" w:hAnsi="Times New Roman"/>
          <w:color w:val="1f1f1f"/>
          <w:rtl w:val="0"/>
        </w:rPr>
        <w:t xml:space="preserve"> Generates the timeline, touchpoints, and overarching strategy.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Copywriter:</w:t>
      </w:r>
      <w:r w:rsidDel="00000000" w:rsidR="00000000" w:rsidRPr="00000000">
        <w:rPr>
          <w:rFonts w:ascii="Times New Roman" w:cs="Times New Roman" w:eastAsia="Times New Roman" w:hAnsi="Times New Roman"/>
          <w:color w:val="1f1f1f"/>
          <w:rtl w:val="0"/>
        </w:rPr>
        <w:t xml:space="preserve"> Drafts emails, LinkedIn messages, and elevator pitches based on the Dual-Company Analysis.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Executor &amp; Monitor:</w:t>
      </w:r>
      <w:r w:rsidDel="00000000" w:rsidR="00000000" w:rsidRPr="00000000">
        <w:rPr>
          <w:rFonts w:ascii="Times New Roman" w:cs="Times New Roman" w:eastAsia="Times New Roman" w:hAnsi="Times New Roman"/>
          <w:color w:val="1f1f1f"/>
          <w:rtl w:val="0"/>
        </w:rPr>
        <w:t xml:space="preserve"> Uses IMAP/SMTP to autonomously send emails and read incoming replies for sentiment (Interested, Not Now, Unsubscribe).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 Predictive Scorer:</w:t>
      </w:r>
      <w:r w:rsidDel="00000000" w:rsidR="00000000" w:rsidRPr="00000000">
        <w:rPr>
          <w:rFonts w:ascii="Times New Roman" w:cs="Times New Roman" w:eastAsia="Times New Roman" w:hAnsi="Times New Roman"/>
          <w:color w:val="1f1f1f"/>
          <w:rtl w:val="0"/>
        </w:rPr>
        <w:t xml:space="preserve"> Dynamically adjusts a lead's "Synergy Score" (0-100) based on live email engagement.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Sales Guide (Human Handoff):</w:t>
      </w:r>
      <w:r w:rsidDel="00000000" w:rsidR="00000000" w:rsidRPr="00000000">
        <w:rPr>
          <w:rFonts w:ascii="Times New Roman" w:cs="Times New Roman" w:eastAsia="Times New Roman" w:hAnsi="Times New Roman"/>
          <w:color w:val="1f1f1f"/>
          <w:rtl w:val="0"/>
        </w:rPr>
        <w:t xml:space="preserve"> Generates highly contextual Call Scripts when a lead goes cold or books a meeting, briefing the human rep on exactly what to say.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Technical Stack</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Frontend:</w:t>
      </w:r>
      <w:r w:rsidDel="00000000" w:rsidR="00000000" w:rsidRPr="00000000">
        <w:rPr>
          <w:rFonts w:ascii="Times New Roman" w:cs="Times New Roman" w:eastAsia="Times New Roman" w:hAnsi="Times New Roman"/>
          <w:color w:val="1f1f1f"/>
          <w:rtl w:val="0"/>
        </w:rPr>
        <w:t xml:space="preserve"> React (Next.js) for a snappy, dynamic user dashboard.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Backend:</w:t>
      </w:r>
      <w:r w:rsidDel="00000000" w:rsidR="00000000" w:rsidRPr="00000000">
        <w:rPr>
          <w:rFonts w:ascii="Times New Roman" w:cs="Times New Roman" w:eastAsia="Times New Roman" w:hAnsi="Times New Roman"/>
          <w:color w:val="1f1f1f"/>
          <w:rtl w:val="0"/>
        </w:rPr>
        <w:t xml:space="preserve"> Python (FastAPI/Flask) for asynchronous background tasks and agent orchestration.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AI Brain:</w:t>
      </w:r>
      <w:r w:rsidDel="00000000" w:rsidR="00000000" w:rsidRPr="00000000">
        <w:rPr>
          <w:rFonts w:ascii="Times New Roman" w:cs="Times New Roman" w:eastAsia="Times New Roman" w:hAnsi="Times New Roman"/>
          <w:color w:val="1f1f1f"/>
          <w:rtl w:val="0"/>
        </w:rPr>
        <w:t xml:space="preserve"> Google Gemini API for advanced reasoning and multi-agent workflows.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Infrastructure:</w:t>
      </w:r>
      <w:r w:rsidDel="00000000" w:rsidR="00000000" w:rsidRPr="00000000">
        <w:rPr>
          <w:rFonts w:ascii="Times New Roman" w:cs="Times New Roman" w:eastAsia="Times New Roman" w:hAnsi="Times New Roman"/>
          <w:color w:val="1f1f1f"/>
          <w:rtl w:val="0"/>
        </w:rPr>
        <w:t xml:space="preserve"> MongoDB/PostgreSQL (Stateful pipeline tracking) + IMAP/SMTP (Live email execution).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 Impact &amp; Exponential ROI</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Enterprise Scale:</w:t>
      </w:r>
      <w:r w:rsidDel="00000000" w:rsidR="00000000" w:rsidRPr="00000000">
        <w:rPr>
          <w:rFonts w:ascii="Times New Roman" w:cs="Times New Roman" w:eastAsia="Times New Roman" w:hAnsi="Times New Roman"/>
          <w:color w:val="1f1f1f"/>
          <w:rtl w:val="0"/>
        </w:rPr>
        <w:t xml:space="preserve"> Empowers a 3-person startup to output the targeted volume of a 50-person SDR floor.</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Reduced CAC:</w:t>
      </w:r>
      <w:r w:rsidDel="00000000" w:rsidR="00000000" w:rsidRPr="00000000">
        <w:rPr>
          <w:rFonts w:ascii="Times New Roman" w:cs="Times New Roman" w:eastAsia="Times New Roman" w:hAnsi="Times New Roman"/>
          <w:color w:val="1f1f1f"/>
          <w:rtl w:val="0"/>
        </w:rPr>
        <w:t xml:space="preserve"> Automates the top and middle of the funnel so reps focus 100% on closing.</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Higher Conversions:</w:t>
      </w:r>
      <w:r w:rsidDel="00000000" w:rsidR="00000000" w:rsidRPr="00000000">
        <w:rPr>
          <w:rFonts w:ascii="Times New Roman" w:cs="Times New Roman" w:eastAsia="Times New Roman" w:hAnsi="Times New Roman"/>
          <w:color w:val="1f1f1f"/>
          <w:rtl w:val="0"/>
        </w:rPr>
        <w:t xml:space="preserve"> Deep contextual analysis cuts through digital noise and drastically improves reply rates.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MarketAI Pro: Turning AI from a writing assistant into an autonomous revenue engine.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