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02DDE" w14:textId="0B7C6364" w:rsidR="00522FBE" w:rsidRPr="00881306" w:rsidRDefault="00881306" w:rsidP="00881306">
      <w:r w:rsidRPr="00881306">
        <w:t>https://www.kaggle.com/datasets/thedevastator/unlock-profits-with-e-commerce-sales-data</w:t>
      </w:r>
    </w:p>
    <w:sectPr w:rsidR="00522FBE" w:rsidRPr="00881306" w:rsidSect="00881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06"/>
    <w:rsid w:val="00522FBE"/>
    <w:rsid w:val="0076430E"/>
    <w:rsid w:val="00881306"/>
    <w:rsid w:val="008B63CB"/>
    <w:rsid w:val="00A7606D"/>
    <w:rsid w:val="00BA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31803"/>
  <w15:chartTrackingRefBased/>
  <w15:docId w15:val="{C9226611-7094-4BC6-B46A-817A4518C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Choudhary</dc:creator>
  <cp:keywords/>
  <dc:description/>
  <cp:lastModifiedBy>Naveen Choudhary</cp:lastModifiedBy>
  <cp:revision>1</cp:revision>
  <dcterms:created xsi:type="dcterms:W3CDTF">2024-03-12T15:14:00Z</dcterms:created>
  <dcterms:modified xsi:type="dcterms:W3CDTF">2024-03-12T15:14:00Z</dcterms:modified>
</cp:coreProperties>
</file>