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33A7C" w14:textId="3D7B44E7" w:rsidR="004E4C91" w:rsidRDefault="00360354">
      <w:hyperlink r:id="rId4" w:history="1">
        <w:r w:rsidRPr="00360354">
          <w:rPr>
            <w:rStyle w:val="Hyperlink"/>
          </w:rPr>
          <w:t>https://www.kaggle.com/datasets/iamxman/transglobe-business/data</w:t>
        </w:r>
      </w:hyperlink>
    </w:p>
    <w:sectPr w:rsidR="004E4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54"/>
    <w:rsid w:val="001B6083"/>
    <w:rsid w:val="00360354"/>
    <w:rsid w:val="004E4C91"/>
    <w:rsid w:val="00BE267C"/>
    <w:rsid w:val="00BE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428E6"/>
  <w15:chartTrackingRefBased/>
  <w15:docId w15:val="{9ABEA3B2-EBD7-4C8B-AA00-A66130CE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3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03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3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iamxman/transglobe-business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Choudhary</dc:creator>
  <cp:keywords/>
  <dc:description/>
  <cp:lastModifiedBy>Naveen Choudhary</cp:lastModifiedBy>
  <cp:revision>1</cp:revision>
  <dcterms:created xsi:type="dcterms:W3CDTF">2026-09-16T04:02:00Z</dcterms:created>
  <dcterms:modified xsi:type="dcterms:W3CDTF">2026-09-16T04:03:00Z</dcterms:modified>
</cp:coreProperties>
</file>