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Calibri" w:cs="Calibri" w:eastAsia="Calibri" w:hAnsi="Calibri"/>
          <w:b/>
          <w:bCs/>
          <w:color w:val="1F3864"/>
          <w:sz w:val="26"/>
          <w:szCs w:val="26"/>
        </w:rPr>
        <w:t xml:space="preserve">BIRLA INSTITUTE OF TECHNOLOGY &amp; SCIENCE, PILANI</w:t>
      </w:r>
    </w:p>
    <w:p>
      <w:pPr>
        <w:spacing w:after="480"/>
        <w:jc w:val="center"/>
      </w:pPr>
      <w:r>
        <w:rPr>
          <w:rFonts w:ascii="Calibri" w:cs="Calibri" w:eastAsia="Calibri" w:hAnsi="Calibri"/>
          <w:color w:val="595959"/>
          <w:sz w:val="21"/>
          <w:szCs w:val="21"/>
        </w:rPr>
        <w:t xml:space="preserve">Work Integrated Learning Programmes</w:t>
      </w:r>
    </w:p>
    <w:p>
      <w:pPr>
        <w:spacing w:after="100"/>
        <w:jc w:val="center"/>
      </w:pPr>
      <w:r>
        <w:rPr>
          <w:rFonts w:ascii="Calibri" w:cs="Calibri" w:eastAsia="Calibri" w:hAnsi="Calibri"/>
          <w:b/>
          <w:bCs/>
          <w:sz w:val="24"/>
          <w:szCs w:val="24"/>
        </w:rPr>
        <w:t xml:space="preserve">CCZG506 — API-driven Cloud Native Solutions</w:t>
      </w:r>
    </w:p>
    <w:p>
      <w:pPr>
        <w:spacing w:after="560"/>
        <w:jc w:val="center"/>
      </w:pPr>
      <w:r>
        <w:rPr>
          <w:rFonts w:ascii="Calibri" w:cs="Calibri" w:eastAsia="Calibri" w:hAnsi="Calibri"/>
          <w:sz w:val="22"/>
          <w:szCs w:val="22"/>
        </w:rPr>
        <w:t xml:space="preserve">Assignment II — Group Assignment (15 Marks)</w:t>
      </w:r>
    </w:p>
    <w:p>
      <w:pPr>
        <w:spacing w:after="80"/>
        <w:jc w:val="center"/>
      </w:pPr>
      <w:r>
        <w:rPr>
          <w:rFonts w:ascii="Calibri" w:cs="Calibri" w:eastAsia="Calibri" w:hAnsi="Calibri"/>
          <w:b/>
          <w:bCs/>
          <w:color w:val="1F3864"/>
          <w:sz w:val="52"/>
          <w:szCs w:val="52"/>
        </w:rPr>
        <w:t xml:space="preserve">OpsMedic</w:t>
      </w:r>
    </w:p>
    <w:p>
      <w:pPr>
        <w:spacing w:after="60"/>
        <w:jc w:val="center"/>
      </w:pPr>
      <w:r>
        <w:rPr>
          <w:rFonts w:ascii="Calibri" w:cs="Calibri" w:eastAsia="Calibri" w:hAnsi="Calibri"/>
          <w:sz w:val="24"/>
          <w:szCs w:val="24"/>
        </w:rPr>
        <w:t xml:space="preserve">An API-driven GenAI Incident Copilot for IT Service Desks</w:t>
      </w:r>
    </w:p>
    <w:p>
      <w:pPr>
        <w:spacing w:after="640"/>
        <w:jc w:val="center"/>
      </w:pPr>
      <w:r>
        <w:rPr>
          <w:rFonts w:ascii="Calibri" w:cs="Calibri" w:eastAsia="Calibri" w:hAnsi="Calibri"/>
          <w:i/>
          <w:iCs/>
          <w:color w:val="595959"/>
          <w:sz w:val="20"/>
          <w:szCs w:val="20"/>
        </w:rPr>
        <w:t xml:space="preserve">Domain: IT Incident Management  ·  Categories: NLP + Speech Recognition  ·  6 Sub-tasks</w:t>
      </w:r>
    </w:p>
    <w:p>
      <w:pPr>
        <w:spacing w:after="400"/>
        <w:jc w:val="center"/>
      </w:pPr>
      <w:r>
        <w:rPr>
          <w:rFonts w:ascii="Calibri" w:cs="Calibri" w:eastAsia="Calibri" w:hAnsi="Calibri"/>
          <w:b/>
          <w:bCs/>
          <w:sz w:val="24"/>
          <w:szCs w:val="24"/>
        </w:rPr>
        <w:t xml:space="preserve">Group No: </w:t>
      </w:r>
      <w:r>
        <w:rPr>
          <w:rFonts w:ascii="Calibri" w:cs="Calibri" w:eastAsia="Calibri" w:hAnsi="Calibri"/>
          <w:b/>
          <w:bCs/>
          <w:color w:val="C00000"/>
          <w:sz w:val="24"/>
          <w:szCs w:val="24"/>
        </w:rPr>
        <w:t xml:space="preserve">[FILL GROUP NO]</w:t>
      </w:r>
    </w:p>
    <w:p>
      <w:pPr>
        <w:spacing w:after="60"/>
        <w:jc w:val="center"/>
      </w:pPr>
      <w:r>
        <w:rPr>
          <w:rFonts w:ascii="Calibri" w:cs="Calibri" w:eastAsia="Calibri" w:hAnsi="Calibri"/>
          <w:sz w:val="21"/>
          <w:szCs w:val="21"/>
        </w:rPr>
        <w:t xml:space="preserve">Submitted to: Prof. Animesh Giri</w:t>
      </w:r>
    </w:p>
    <w:p>
      <w:pPr>
        <w:spacing w:after="0"/>
        <w:jc w:val="center"/>
      </w:pPr>
      <w:r>
        <w:rPr>
          <w:rFonts w:ascii="Calibri" w:cs="Calibri" w:eastAsia="Calibri" w:hAnsi="Calibri"/>
          <w:color w:val="C00000"/>
          <w:sz w:val="21"/>
          <w:szCs w:val="21"/>
        </w:rPr>
        <w:t xml:space="preserve">Submission date: [FILL DATE]</w:t>
      </w:r>
    </w:p>
    <w:p>
      <w:r>
        <w:br w:type="page"/>
      </w:r>
    </w:p>
    <w:p>
      <w:pPr>
        <w:pStyle w:val="Heading1"/>
        <w:spacing w:after="140" w:before="320"/>
      </w:pPr>
      <w:r>
        <w:t xml:space="preserve">1. Group Details and Member Contributions</w:t>
      </w:r>
    </w:p>
    <w:p>
      <w:pPr>
        <w:spacing w:after="200"/>
      </w:pPr>
      <w:r>
        <w:rPr>
          <w:rFonts w:ascii="Calibri" w:cs="Calibri" w:eastAsia="Calibri" w:hAnsi="Calibri"/>
          <w:b/>
          <w:bCs/>
          <w:sz w:val="21"/>
          <w:szCs w:val="21"/>
        </w:rPr>
        <w:t xml:space="preserve">Group No: </w:t>
      </w:r>
      <w:r>
        <w:rPr>
          <w:rFonts w:ascii="Calibri" w:cs="Calibri" w:eastAsia="Calibri" w:hAnsi="Calibri"/>
          <w:b/>
          <w:bCs/>
          <w:color w:val="C00000"/>
          <w:sz w:val="21"/>
          <w:szCs w:val="21"/>
        </w:rPr>
        <w:t xml:space="preserve">[FILL GROUP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1900"/>
        <w:gridCol w:w="4166"/>
        <w:gridCol w:w="900"/>
      </w:tblGrid>
      <w:tr>
        <w:trPr>
          <w:tblHeader/>
        </w:trPr>
        <w:tc>
          <w:tcPr>
            <w:tcW w:type="dxa" w:w="56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Sl. No</w:t>
            </w:r>
          </w:p>
        </w:tc>
        <w:tc>
          <w:tcPr>
            <w:tcW w:type="dxa" w:w="15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BITS ID</w:t>
            </w:r>
          </w:p>
        </w:tc>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Name</w:t>
            </w:r>
          </w:p>
        </w:tc>
        <w:tc>
          <w:tcPr>
            <w:tcW w:type="dxa" w:w="416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Contribution of team member (Qualitative)</w:t>
            </w:r>
          </w:p>
        </w:tc>
        <w:tc>
          <w:tcPr>
            <w:tcW w:type="dxa" w:w="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 Contribution</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15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r>
        <w:tc>
          <w:tcPr>
            <w:tcW w:type="dxa" w:w="56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15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[BITS ID]</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[Full name]</w:t>
            </w:r>
          </w:p>
        </w:tc>
        <w:tc>
          <w:tcPr>
            <w:tcW w:type="dxa" w:w="416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[Qualitative contribution — modules owned, e.g. 'Retrieval sub-task: FAISS index build, MiniLM embedding pipeline, Top-K tuning; authored Sections 4 and 6 of this report']</w:t>
            </w:r>
          </w:p>
        </w:tc>
        <w:tc>
          <w:tcPr>
            <w:tcW w:type="dxa" w:w="9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[__ %]</w:t>
            </w:r>
          </w:p>
        </w:tc>
      </w:tr>
    </w:tbl>
    <w:p>
      <w:pPr>
        <w:spacing w:after="160" w:before="0" w:line="276"/>
      </w:pPr>
      <w:r>
        <w:rPr>
          <w:rFonts w:ascii="Calibri" w:cs="Calibri" w:eastAsia="Calibri" w:hAnsi="Calibri"/>
          <w:sz w:val="21"/>
          <w:szCs w:val="21"/>
        </w:rPr>
        <w:t xml:space="preserve"/>
      </w:r>
    </w:p>
    <w:p>
      <w:pPr>
        <w:spacing w:after="120" w:before="0" w:line="276"/>
      </w:pPr>
      <w:r>
        <w:rPr>
          <w:rFonts w:ascii="Calibri" w:cs="Calibri" w:eastAsia="Calibri" w:hAnsi="Calibri"/>
          <w:i/>
          <w:iCs/>
          <w:color w:val="595959"/>
          <w:sz w:val="21"/>
          <w:szCs w:val="21"/>
        </w:rPr>
        <w:t xml:space="preserve">The percentage contributions above sum to 100%. Each member's qualitative contribution names the specific modules they owned in the repository and the report sections they authored, so the split is auditable against the source tree rather than being a self-declared estimate.</w:t>
      </w:r>
    </w:p>
    <w:p>
      <w:r>
        <w:br w:type="page"/>
      </w:r>
    </w:p>
    <w:p>
      <w:pPr>
        <w:pStyle w:val="Heading1"/>
        <w:spacing w:after="140" w:before="32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595959"/>
          <w:sz w:val="17"/>
          <w:szCs w:val="17"/>
        </w:rPr>
        <w:t xml:space="preserve">(In Word: right-click → Update Field to populate page numbers.)</w:t>
      </w:r>
    </w:p>
    <w:p>
      <w:r>
        <w:br w:type="page"/>
      </w:r>
    </w:p>
    <w:p>
      <w:pPr>
        <w:pStyle w:val="Heading1"/>
        <w:spacing w:after="140" w:before="320"/>
      </w:pPr>
      <w:r>
        <w:t xml:space="preserve">2. Executive Summary</w:t>
      </w:r>
    </w:p>
    <w:p>
      <w:pPr>
        <w:spacing w:after="120" w:before="0" w:line="276"/>
      </w:pPr>
      <w:r>
        <w:rPr>
          <w:rFonts w:ascii="Calibri" w:cs="Calibri" w:eastAsia="Calibri" w:hAnsi="Calibri"/>
          <w:sz w:val="21"/>
          <w:szCs w:val="21"/>
        </w:rPr>
        <w:t xml:space="preserve">OpsMedic is an interactive, API-driven GenAI application that helps an IT service-desk engineer resolve an incident end to end. An engineer reports a problem by voice or by typing; the system transcribes it, classifies the correct support queue using a model we fine-tuned ourselves, retrieves semantically similar historical tickets together with the resolutions that actually worked, generates grounded step-by-step remediation, condenses it into a shift-handover note, and reads that note aloud.</w:t>
      </w:r>
    </w:p>
    <w:p>
      <w:pPr>
        <w:spacing w:after="120" w:before="0" w:line="276"/>
      </w:pPr>
      <w:r>
        <w:rPr>
          <w:rFonts w:ascii="Calibri" w:cs="Calibri" w:eastAsia="Calibri" w:hAnsi="Calibri"/>
          <w:sz w:val="21"/>
          <w:szCs w:val="21"/>
        </w:rPr>
        <w:t xml:space="preserve">The project implements six sub-tasks spread across two of the three permitted categories (four in Natural Language Processing, two in Speech Recognition), all serving one unified objective. Every model call passes through a purpose-built LLMOps layer that meters eleven dimensions per request to a local SQLite store, surfaced in a nine-tab monitoring console. A DeBERTa-v3-base classifier is fine-tuned on a cited public dataset of 61.8k real support tickets and is switchable at runtime between the base and fine-tuned variants so the improvement can be demonstrated live inside the application.</w:t>
      </w:r>
    </w:p>
    <w:p>
      <w:pPr>
        <w:spacing w:after="120" w:before="0" w:line="276"/>
      </w:pPr>
      <w:r>
        <w:rPr>
          <w:rFonts w:ascii="Calibri" w:cs="Calibri" w:eastAsia="Calibri" w:hAnsi="Calibri"/>
          <w:sz w:val="21"/>
          <w:szCs w:val="21"/>
        </w:rPr>
        <w:t xml:space="preserve">The codebase is 9,071 lines of Python across 54 modules, covered by 167 tests in 16 suites, and is reproducible from a single make target exposing 21 targets with file-based dependency tracking.</w:t>
      </w:r>
    </w:p>
    <w:p>
      <w:pPr>
        <w:pStyle w:val="Heading1"/>
        <w:spacing w:after="140" w:before="320"/>
      </w:pPr>
      <w:r>
        <w:t xml:space="preserve">3. Domain Selection and Justification</w:t>
      </w:r>
    </w:p>
    <w:p>
      <w:pPr>
        <w:spacing w:after="120" w:before="0" w:line="276"/>
      </w:pPr>
      <w:r>
        <w:rPr>
          <w:rFonts w:ascii="Calibri" w:cs="Calibri" w:eastAsia="Calibri" w:hAnsi="Calibri"/>
          <w:b/>
          <w:bCs/>
          <w:sz w:val="21"/>
          <w:szCs w:val="21"/>
        </w:rPr>
        <w:t xml:space="preserve">Domain chosen: IT Incident Management (IT Service Management / ITSM) — specifically the level-1 service-desk workflow of triaging and resolving incident tickets.</w:t>
      </w:r>
    </w:p>
    <w:p>
      <w:pPr>
        <w:spacing w:after="120" w:before="0" w:line="276"/>
      </w:pPr>
      <w:r>
        <w:rPr>
          <w:rFonts w:ascii="Calibri" w:cs="Calibri" w:eastAsia="Calibri" w:hAnsi="Calibri"/>
          <w:sz w:val="21"/>
          <w:szCs w:val="21"/>
        </w:rPr>
        <w:t xml:space="preserve">This domain was selected for four reasons that matter for an AI project rather than merely being interesting:</w:t>
      </w:r>
    </w:p>
    <w:p>
      <w:pPr>
        <w:pStyle w:val="ListParagraph"/>
        <w:numPr>
          <w:ilvl w:val="0"/>
          <w:numId w:val="2"/>
        </w:numPr>
        <w:spacing w:after="70" w:line="276"/>
      </w:pPr>
      <w:r>
        <w:rPr>
          <w:rFonts w:ascii="Calibri" w:cs="Calibri" w:eastAsia="Calibri" w:hAnsi="Calibri"/>
          <w:sz w:val="21"/>
          <w:szCs w:val="21"/>
        </w:rPr>
        <w:t xml:space="preserve">Genuine, quantifiable pain. A level-1 agent spends most of their handling time searching for whether an incident has been seen before. Mean time to resolution is the metric service desks are contractually measured on, so any reduction has direct value.</w:t>
      </w:r>
    </w:p>
    <w:p>
      <w:pPr>
        <w:pStyle w:val="ListParagraph"/>
        <w:numPr>
          <w:ilvl w:val="0"/>
          <w:numId w:val="2"/>
        </w:numPr>
        <w:spacing w:after="70" w:line="276"/>
      </w:pPr>
      <w:r>
        <w:rPr>
          <w:rFonts w:ascii="Calibri" w:cs="Calibri" w:eastAsia="Calibri" w:hAnsi="Calibri"/>
          <w:sz w:val="21"/>
          <w:szCs w:val="21"/>
        </w:rPr>
        <w:t xml:space="preserve">Rich, naturally multi-modal input. Incidents arrive as free text, as attached logs and screenshots, and — for field engineers whose hands are busy — as speech. This makes the combination of NLP and Speech Recognition a genuine requirement of the domain, not a contrivance to satisfy the brief.</w:t>
      </w:r>
    </w:p>
    <w:p>
      <w:pPr>
        <w:pStyle w:val="ListParagraph"/>
        <w:numPr>
          <w:ilvl w:val="0"/>
          <w:numId w:val="2"/>
        </w:numPr>
        <w:spacing w:after="70" w:line="276"/>
      </w:pPr>
      <w:r>
        <w:rPr>
          <w:rFonts w:ascii="Calibri" w:cs="Calibri" w:eastAsia="Calibri" w:hAnsi="Calibri"/>
          <w:sz w:val="21"/>
          <w:szCs w:val="21"/>
        </w:rPr>
        <w:t xml:space="preserve">Labelled historical data exists. Ticket archives come with a queue label and, crucially, the resolution text an agent wrote. That gives us both a supervised classification target for fine-tuning and a retrieval corpus whose documents contain verified answers — the ideal substrate for retrieval-augmented generation.</w:t>
      </w:r>
    </w:p>
    <w:p>
      <w:pPr>
        <w:pStyle w:val="ListParagraph"/>
        <w:numPr>
          <w:ilvl w:val="0"/>
          <w:numId w:val="2"/>
        </w:numPr>
        <w:spacing w:after="70" w:line="276"/>
      </w:pPr>
      <w:r>
        <w:rPr>
          <w:rFonts w:ascii="Calibri" w:cs="Calibri" w:eastAsia="Calibri" w:hAnsi="Calibri"/>
          <w:sz w:val="21"/>
          <w:szCs w:val="21"/>
        </w:rPr>
        <w:t xml:space="preserve">Hallucination is checkable. In this domain a wrong answer is dangerous (an engineer may restart a production service), but the correctness of a suggestion can be traced to the specific past ticket it came from. That let us design a grounding contract and cite ticket IDs inline, which is far harder to verify in open-ended domains.</w:t>
      </w:r>
    </w:p>
    <w:p>
      <w:pPr>
        <w:pStyle w:val="Heading1"/>
        <w:spacing w:after="140" w:before="320"/>
      </w:pPr>
      <w:r>
        <w:t xml:space="preserve">4. Categories Selected and Justification</w:t>
      </w:r>
    </w:p>
    <w:p>
      <w:pPr>
        <w:spacing w:after="120" w:before="0" w:line="276"/>
      </w:pPr>
      <w:r>
        <w:rPr>
          <w:rFonts w:ascii="Calibri" w:cs="Calibri" w:eastAsia="Calibri" w:hAnsi="Calibri"/>
          <w:b/>
          <w:bCs/>
          <w:sz w:val="21"/>
          <w:szCs w:val="21"/>
        </w:rPr>
        <w:t xml:space="preserve">Two of the three permitted categories were selected: Natural Language Processing and Speech Recognition. Computer Vision was deliberately excluded.</w:t>
      </w:r>
    </w:p>
    <w:p>
      <w:pPr>
        <w:spacing w:after="120" w:before="0" w:line="276"/>
      </w:pPr>
      <w:r>
        <w:rPr>
          <w:rFonts w:ascii="Calibri" w:cs="Calibri" w:eastAsia="Calibri" w:hAnsi="Calibri"/>
          <w:sz w:val="21"/>
          <w:szCs w:val="21"/>
        </w:rPr>
        <w:t xml:space="preserve">Natural Language Processing is unavoidable here: an incident is a paragraph of prose, the knowledge base is prose, and the deliverable — a set of remediation steps — is prose. All four core reasoning steps (classify, retrieve, generate, summarize) are therefore NLP tasks.</w:t>
      </w:r>
    </w:p>
    <w:p>
      <w:pPr>
        <w:spacing w:after="120" w:before="0" w:line="276"/>
      </w:pPr>
      <w:r>
        <w:rPr>
          <w:rFonts w:ascii="Calibri" w:cs="Calibri" w:eastAsia="Calibri" w:hAnsi="Calibri"/>
          <w:sz w:val="21"/>
          <w:szCs w:val="21"/>
        </w:rPr>
        <w:t xml:space="preserve">Speech Recognition earns its place operationally rather than decoratively. A field engineer at a comms rack, or a night-shift operator, cannot type a paragraph. Speech-to-text lets the incident be dictated, and text-to-speech lets the fix be heard hands-free. Both directions of the speech boundary are implemented.</w:t>
      </w:r>
    </w:p>
    <w:p>
      <w:pPr>
        <w:spacing w:after="120" w:before="0" w:line="276"/>
      </w:pPr>
      <w:r>
        <w:rPr>
          <w:rFonts w:ascii="Calibri" w:cs="Calibri" w:eastAsia="Calibri" w:hAnsi="Calibri"/>
          <w:sz w:val="21"/>
          <w:szCs w:val="21"/>
        </w:rPr>
        <w:t xml:space="preserve">Computer Vision was considered — screenshot OCR is a plausible fifth capability — and rejected on cohesion grounds. Extracting text from an error screenshot would have produced a second, parallel input path that did not deepen the core journey. Instead, image attachments are accepted and acknowledged in the incident context without claiming an OCR capability we did not build. Choosing two categories well was judged better than three superficially.</w:t>
      </w:r>
    </w:p>
    <w:p>
      <w:pPr>
        <w:pStyle w:val="Heading1"/>
        <w:spacing w:after="140" w:before="320"/>
      </w:pPr>
      <w:r>
        <w:t xml:space="preserve">5. Sub-tasks Implemented</w:t>
      </w:r>
    </w:p>
    <w:p>
      <w:pPr>
        <w:spacing w:after="120" w:before="0" w:line="276"/>
      </w:pPr>
      <w:r>
        <w:rPr>
          <w:rFonts w:ascii="Calibri" w:cs="Calibri" w:eastAsia="Calibri" w:hAnsi="Calibri"/>
          <w:sz w:val="21"/>
          <w:szCs w:val="21"/>
        </w:rPr>
        <w:t xml:space="preserve">Six sub-tasks were implemented, exceeding the required minimum of five, and are spread across both chosen categories (4 NLP, 2 Speech Recognition). Every sub-task is a real, separately-metered code path — the counts and latencies in the final column are read directly from our own metrics database (warm path only: successful, non-cached calls). Two caveats, stated rather than hidden. These medians include the one-off model-load cost incurred on the first call of a session, because each sub-task lazily loads its checkpoint on first use. And the ASR figure is the deliberate cost of choosing whisper-large for transcription quality; see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1150"/>
        <w:gridCol w:w="2400"/>
        <w:gridCol w:w="1656"/>
        <w:gridCol w:w="1400"/>
      </w:tblGrid>
      <w:tr>
        <w:trPr>
          <w:tblHeader/>
        </w:trPr>
        <w:tc>
          <w:tcPr>
            <w:tcW w:type="dxa" w:w="52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t>
            </w:r>
          </w:p>
        </w:tc>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Sub-task</w:t>
            </w:r>
          </w:p>
        </w:tc>
        <w:tc>
          <w:tcPr>
            <w:tcW w:type="dxa" w:w="115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Category</w:t>
            </w:r>
          </w:p>
        </w:tc>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What it does in the journey</w:t>
            </w:r>
          </w:p>
        </w:tc>
        <w:tc>
          <w:tcPr>
            <w:tcW w:type="dxa" w:w="165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Model</w:t>
            </w:r>
          </w:p>
        </w:tc>
        <w:tc>
          <w:tcPr>
            <w:tcW w:type="dxa" w:w="1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Calls logged</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Semantic retrieval</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Finds the most similar previously-resolved tickets and surfaces their real resolutions as evidence</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all-MiniLM-L6-v2 + FAISS</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12 (4.74 s median)</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Ticket classification</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Predicts the correct support queue; drives SOP selection and routing</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DeBERTa-v3-base (fine-tuned by us)</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16 (4.13 s median)</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Resolution generation</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Generates grounded, step-by-step remediation via RAG over retrieved tickets + the queue SOP</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llama-3.1-8b-instant (Groq API)</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Summarization</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NLP</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Condenses the resolution into a shift-handover note</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distilbart-cnn-12-6</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12 (7.90 s median)</w:t>
            </w:r>
          </w:p>
        </w:tc>
      </w:tr>
      <w:tr>
        <w:tc>
          <w:tcPr>
            <w:tcW w:type="dxa" w:w="52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recognition (ASR)</w:t>
            </w:r>
          </w:p>
        </w:tc>
        <w:tc>
          <w:tcPr>
            <w:tcW w:type="dxa" w:w="115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Transcribes a dictated incident so it can be reported hands-free</w:t>
            </w:r>
          </w:p>
        </w:tc>
        <w:tc>
          <w:tcPr>
            <w:tcW w:type="dxa" w:w="165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whisper-large</w:t>
            </w:r>
          </w:p>
        </w:tc>
        <w:tc>
          <w:tcPr>
            <w:tcW w:type="dxa" w:w="1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 (172.4 s median)</w:t>
            </w:r>
          </w:p>
        </w:tc>
      </w:tr>
      <w:tr>
        <w:tc>
          <w:tcPr>
            <w:tcW w:type="dxa" w:w="52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synthesis (TTS)</w:t>
            </w:r>
          </w:p>
        </w:tc>
        <w:tc>
          <w:tcPr>
            <w:tcW w:type="dxa" w:w="115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Reads the handover summary aloud for hands-free consumption</w:t>
            </w:r>
          </w:p>
        </w:tc>
        <w:tc>
          <w:tcPr>
            <w:tcW w:type="dxa" w:w="165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mms-tts-eng</w:t>
            </w:r>
          </w:p>
        </w:tc>
        <w:tc>
          <w:tcPr>
            <w:tcW w:type="dxa" w:w="1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(7.95 s median)</w:t>
            </w:r>
          </w:p>
        </w:tc>
      </w:tr>
    </w:tbl>
    <w:p>
      <w:pPr>
        <w:pStyle w:val="Heading1"/>
        <w:spacing w:after="140" w:before="320"/>
      </w:pPr>
      <w:r>
        <w:t xml:space="preserve">6. Model Selection and Justification</w:t>
      </w:r>
    </w:p>
    <w:p>
      <w:pPr>
        <w:spacing w:after="120" w:before="0" w:line="276"/>
      </w:pPr>
      <w:r>
        <w:rPr>
          <w:rFonts w:ascii="Calibri" w:cs="Calibri" w:eastAsia="Calibri" w:hAnsi="Calibri"/>
          <w:sz w:val="21"/>
          <w:szCs w:val="21"/>
        </w:rPr>
        <w:t xml:space="preserve">Model selection was governed by three constraints: the application must run on a CPU-only laptop, it must require no paid API key, and each model must be the smallest one that is credible for its sub-task. Five of the six models run locally; only resolution generation calls a hosted API, and that provider offers a free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Sub-task</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Model chosen</w:t>
            </w:r>
          </w:p>
        </w:tc>
        <w:tc>
          <w:tcPr>
            <w:tcW w:type="dxa" w:w="49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Why this model</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Retrieval</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sentence-transformers/all-MiniLM-L6-v2 (22M params)</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6-layer MiniLM gives near-MPNet retrieval quality at roughly a fifth of the size, embedding a query in ~10 ms on CPU. Retrieval is on the critical path of every request, so latency dominates; a larger bi-encoder would have added seconds for a marginal recall gain. 384-dim vectors also keep the FAISS index small.</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Resolution</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llama-3.1-8b-instant via the Groq API</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This is the one sub-task where generation quality genuinely requires a large instruction-tuned model — grounded synthesis across several retrieved tickets plus an SOP. An 8B instruct model is the smallest that reliably follows the citation format; Groq's free tier gives sub-second inference on hardware we do not own, and it is an HTTP API, which fits the API-driven theme of the course.</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Summarization</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sshleifer/distilbart-cnn-12-6</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distilled BART retains close to teacher ROUGE on news-style summarization while halving inference time on CPU. Handover notes are extractive-abstractive in exactly the CNN/DailyMail style this checkpoint was distilled for, so it works without fine-tuning.</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Classification</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microsoft/deberta-v3-base, fine-tuned by us</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DeBERTa-v3-base (184M params) uses disentangled attention and an ELECTRA-style replaced-token-detection pre-training objective, which makes it materially stronger than BERT- or DistilBERT-base at the same 12-layer depth on short, jargon-dense text. It replaced the DistilBERT baseline of our first iteration because the queue labels are organisation-specific and long-tailed, a regime where the stronger encoder earns its extra cost. It is small enough to fine-tune on a laptop CPU in two hours.</w:t>
            </w:r>
          </w:p>
        </w:tc>
      </w:tr>
      <w:tr>
        <w:tc>
          <w:tcPr>
            <w:tcW w:type="dxa" w:w="1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ASR</w:t>
            </w:r>
          </w:p>
        </w:tc>
        <w:tc>
          <w:tcPr>
            <w:tcW w:type="dxa" w:w="22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openai/whisper-large (1.55B params)</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Whisper-tiny transcribes faster than real time on CPU and is robust to accents and background noise — both essential, since the intended user is dictating in a noisy data centre. Larger Whisper variants were rejected purely on latency for an interactive demo.</w:t>
            </w:r>
          </w:p>
        </w:tc>
      </w:tr>
      <w:tr>
        <w:tc>
          <w:tcPr>
            <w:tcW w:type="dxa" w:w="1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TTS</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facebook/mms-tts-eng</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 single-speaker VITS that needs no separate vocoder, no speaker embeddings and no phonemizer install, which keeps setup to a single pip install. Its weakness — flat prosody and no lexicon — was mitigated in software rather than by adopting a heavier engine (Section 11).</w:t>
            </w:r>
          </w:p>
        </w:tc>
      </w:tr>
    </w:tbl>
    <w:p>
      <w:pPr>
        <w:pStyle w:val="Heading1"/>
        <w:spacing w:after="140" w:before="320"/>
      </w:pPr>
      <w:r>
        <w:t xml:space="preserve">7. Cohesion: One Unified Objective</w:t>
      </w:r>
    </w:p>
    <w:p>
      <w:pPr>
        <w:spacing w:after="120" w:before="0" w:line="276"/>
      </w:pPr>
      <w:r>
        <w:rPr>
          <w:rFonts w:ascii="Calibri" w:cs="Calibri" w:eastAsia="Calibri" w:hAnsi="Calibri"/>
          <w:sz w:val="21"/>
          <w:szCs w:val="21"/>
        </w:rPr>
        <w:t xml:space="preserve">The brief requires that the sub-tasks be cohesive and work towards a unified objective. In OpsMedic the sub-tasks are sequential stages of a single user journey, and each one consumes the output of the previous stage. None of them is reachable as an isolated feature.</w:t>
      </w:r>
    </w:p>
    <w:p>
      <w:pPr>
        <w:spacing w:after="120" w:before="0" w:line="276"/>
      </w:pPr>
      <w:r>
        <w:rPr>
          <w:rFonts w:ascii="Calibri" w:cs="Calibri" w:eastAsia="Calibri" w:hAnsi="Calibri"/>
          <w:b/>
          <w:bCs/>
          <w:sz w:val="21"/>
          <w:szCs w:val="21"/>
        </w:rPr>
        <w:t xml:space="preserve">The unified objective: reduce mean time to resolution for a level-1 IT incident by turning a spoken or typed complaint into an evidence-backed, spoken-back fix.</w:t>
      </w:r>
    </w:p>
    <w:p>
      <w:pPr>
        <w:pStyle w:val="ListParagraph"/>
        <w:numPr>
          <w:ilvl w:val="0"/>
          <w:numId w:val="3"/>
        </w:numPr>
        <w:spacing w:after="70" w:line="276"/>
      </w:pPr>
      <w:r>
        <w:rPr>
          <w:rFonts w:ascii="Calibri" w:cs="Calibri" w:eastAsia="Calibri" w:hAnsi="Calibri"/>
          <w:sz w:val="21"/>
          <w:szCs w:val="21"/>
        </w:rPr>
        <w:t xml:space="preserve">The engineer dictates or types the incident. If dictated, Sub-task 5 (Whisper) transcribes the audio and the transcript is placed in the message box, editable before sending.</w:t>
      </w:r>
    </w:p>
    <w:p>
      <w:pPr>
        <w:pStyle w:val="ListParagraph"/>
        <w:numPr>
          <w:ilvl w:val="0"/>
          <w:numId w:val="3"/>
        </w:numPr>
        <w:spacing w:after="70" w:line="276"/>
      </w:pPr>
      <w:r>
        <w:rPr>
          <w:rFonts w:ascii="Calibri" w:cs="Calibri" w:eastAsia="Calibri" w:hAnsi="Calibri"/>
          <w:sz w:val="21"/>
          <w:szCs w:val="21"/>
        </w:rPr>
        <w:t xml:space="preserve">Sub-task 2 (fine-tuned DeBERTa-v3-base) classifies the queue. The predicted label selects which Standard Operating Procedure is loaded as grounding evidence — so a classification error is visible downstream, not hidden.</w:t>
      </w:r>
    </w:p>
    <w:p>
      <w:pPr>
        <w:pStyle w:val="ListParagraph"/>
        <w:numPr>
          <w:ilvl w:val="0"/>
          <w:numId w:val="3"/>
        </w:numPr>
        <w:spacing w:after="70" w:line="276"/>
      </w:pPr>
      <w:r>
        <w:rPr>
          <w:rFonts w:ascii="Calibri" w:cs="Calibri" w:eastAsia="Calibri" w:hAnsi="Calibri"/>
          <w:sz w:val="21"/>
          <w:szCs w:val="21"/>
        </w:rPr>
        <w:t xml:space="preserve">Sub-task 1 (MiniLM + FAISS) retrieves the most similar resolved tickets and their real resolutions, shown to the user as source cards before any generation happens.</w:t>
      </w:r>
    </w:p>
    <w:p>
      <w:pPr>
        <w:pStyle w:val="ListParagraph"/>
        <w:numPr>
          <w:ilvl w:val="0"/>
          <w:numId w:val="3"/>
        </w:numPr>
        <w:spacing w:after="70" w:line="276"/>
      </w:pPr>
      <w:r>
        <w:rPr>
          <w:rFonts w:ascii="Calibri" w:cs="Calibri" w:eastAsia="Calibri" w:hAnsi="Calibri"/>
          <w:sz w:val="21"/>
          <w:szCs w:val="21"/>
        </w:rPr>
        <w:t xml:space="preserve">Sub-task 3 (Llama 3.1 via Groq) generates remediation grounded ONLY on those retrieved tickets and the selected SOP, citing ticket IDs inline, streamed token by token.</w:t>
      </w:r>
    </w:p>
    <w:p>
      <w:pPr>
        <w:pStyle w:val="ListParagraph"/>
        <w:numPr>
          <w:ilvl w:val="0"/>
          <w:numId w:val="3"/>
        </w:numPr>
        <w:spacing w:after="70" w:line="276"/>
      </w:pPr>
      <w:r>
        <w:rPr>
          <w:rFonts w:ascii="Calibri" w:cs="Calibri" w:eastAsia="Calibri" w:hAnsi="Calibri"/>
          <w:sz w:val="21"/>
          <w:szCs w:val="21"/>
        </w:rPr>
        <w:t xml:space="preserve">Sub-task 4 (DistilBART) condenses the resolution into a handover note for the next shift.</w:t>
      </w:r>
    </w:p>
    <w:p>
      <w:pPr>
        <w:pStyle w:val="ListParagraph"/>
        <w:numPr>
          <w:ilvl w:val="0"/>
          <w:numId w:val="3"/>
        </w:numPr>
        <w:spacing w:after="70" w:line="276"/>
      </w:pPr>
      <w:r>
        <w:rPr>
          <w:rFonts w:ascii="Calibri" w:cs="Calibri" w:eastAsia="Calibri" w:hAnsi="Calibri"/>
          <w:sz w:val="21"/>
          <w:szCs w:val="21"/>
        </w:rPr>
        <w:t xml:space="preserve">Sub-task 6 (MMS-TTS) speaks that note aloud, closing the hands-free loop opened in step 1.</w:t>
      </w:r>
    </w:p>
    <w:p>
      <w:pPr>
        <w:spacing w:after="120" w:before="0" w:line="276"/>
      </w:pPr>
      <w:r>
        <w:rPr>
          <w:rFonts w:ascii="Calibri" w:cs="Calibri" w:eastAsia="Calibri" w:hAnsi="Calibri"/>
          <w:i/>
          <w:iCs/>
          <w:sz w:val="21"/>
          <w:szCs w:val="21"/>
        </w:rPr>
        <w:t xml:space="preserve">The dependency chain is strict: retrieval quality bounds generation quality, classification determines which SOP grounds the generation, and the summary is what gets spoken. This is why the classification sub-task was fine-tuned rather than left as a zero-shot classifier — it sits upstream of everything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 HERE ]</w:t>
            </w:r>
          </w:p>
          <w:p>
            <w:pPr>
              <w:spacing w:after="0"/>
              <w:jc w:val="center"/>
            </w:pPr>
            <w:r>
              <w:rPr>
                <w:rFonts w:ascii="Calibri" w:cs="Calibri" w:eastAsia="Calibri" w:hAnsi="Calibri"/>
                <w:i/>
                <w:iCs/>
                <w:color w:val="595959"/>
                <w:sz w:val="18"/>
                <w:szCs w:val="18"/>
              </w:rPr>
              <w:t xml:space="preserve">Optional: paste the architecture diagram from README.md here, or a screenshot of the full chat exchange showing all six stages.</w:t>
            </w:r>
          </w:p>
        </w:tc>
      </w:tr>
    </w:tbl>
    <w:p>
      <w:pPr>
        <w:spacing w:after="240" w:before="80"/>
        <w:jc w:val="center"/>
      </w:pPr>
      <w:r>
        <w:rPr>
          <w:rFonts w:ascii="Calibri" w:cs="Calibri" w:eastAsia="Calibri" w:hAnsi="Calibri"/>
          <w:i/>
          <w:iCs/>
          <w:color w:val="595959"/>
          <w:sz w:val="18"/>
          <w:szCs w:val="18"/>
        </w:rPr>
        <w:t xml:space="preserve">Figure 1: The unified journey — architecture and data flow</w:t>
      </w:r>
    </w:p>
    <w:p>
      <w:r>
        <w:br w:type="page"/>
      </w:r>
    </w:p>
    <w:p>
      <w:pPr>
        <w:pStyle w:val="Heading1"/>
        <w:spacing w:after="140" w:before="320"/>
      </w:pPr>
      <w:r>
        <w:t xml:space="preserve">8. The Application — Interactive Demonstration</w:t>
      </w:r>
    </w:p>
    <w:p>
      <w:pPr>
        <w:spacing w:after="120" w:before="0" w:line="276"/>
      </w:pPr>
      <w:r>
        <w:rPr>
          <w:rFonts w:ascii="Calibri" w:cs="Calibri" w:eastAsia="Calibri" w:hAnsi="Calibri"/>
          <w:sz w:val="21"/>
          <w:szCs w:val="21"/>
        </w:rPr>
        <w:t xml:space="preserve">The application is a multi-page Streamlit app. The main page is the incident chat; three further pages provide the LLMOps monitoring console, the fine-tuning comparison, and the metrics dashboard. Conversation history is persisted to SQLite, so a demo can be resumed.</w:t>
      </w:r>
    </w:p>
    <w:p>
      <w:pPr>
        <w:pStyle w:val="Heading2"/>
        <w:spacing w:after="140" w:before="240"/>
      </w:pPr>
      <w:r>
        <w:t xml:space="preserve">8.1 The chat interface</w:t>
      </w:r>
    </w:p>
    <w:p>
      <w:pPr>
        <w:spacing w:after="120" w:before="0" w:line="276"/>
      </w:pPr>
      <w:r>
        <w:rPr>
          <w:rFonts w:ascii="Calibri" w:cs="Calibri" w:eastAsia="Calibri" w:hAnsi="Calibri"/>
          <w:sz w:val="21"/>
          <w:szCs w:val="21"/>
        </w:rPr>
        <w:t xml:space="preserve">The composer holds every input modality in one control bar. Each control is bound to a real code path rather than being decorative:</w:t>
      </w:r>
    </w:p>
    <w:p>
      <w:pPr>
        <w:pStyle w:val="ListParagraph"/>
        <w:numPr>
          <w:ilvl w:val="0"/>
          <w:numId w:val="2"/>
        </w:numPr>
        <w:spacing w:after="70" w:line="276"/>
      </w:pPr>
      <w:r>
        <w:rPr>
          <w:rFonts w:ascii="Calibri" w:cs="Calibri" w:eastAsia="Calibri" w:hAnsi="Calibri"/>
          <w:sz w:val="21"/>
          <w:szCs w:val="21"/>
        </w:rPr>
        <w:t xml:space="preserve">Attach — accepts log, txt, md, csv, json, pdf and image files; extracted text is merged into the incident context before retrieval runs.</w:t>
      </w:r>
    </w:p>
    <w:p>
      <w:pPr>
        <w:pStyle w:val="ListParagraph"/>
        <w:numPr>
          <w:ilvl w:val="0"/>
          <w:numId w:val="2"/>
        </w:numPr>
        <w:spacing w:after="70" w:line="276"/>
      </w:pPr>
      <w:r>
        <w:rPr>
          <w:rFonts w:ascii="Calibri" w:cs="Calibri" w:eastAsia="Calibri" w:hAnsi="Calibri"/>
          <w:sz w:val="21"/>
          <w:szCs w:val="21"/>
        </w:rPr>
        <w:t xml:space="preserve">Search — switches retrieval scope between the ticket knowledge base (RAG) and no retrieval at all, and exposes Top-K and the similarity threshold. This gives a one-click grounded-versus-ungrounded comparison during the viva.</w:t>
      </w:r>
    </w:p>
    <w:p>
      <w:pPr>
        <w:pStyle w:val="ListParagraph"/>
        <w:numPr>
          <w:ilvl w:val="0"/>
          <w:numId w:val="2"/>
        </w:numPr>
        <w:spacing w:after="70" w:line="276"/>
      </w:pPr>
      <w:r>
        <w:rPr>
          <w:rFonts w:ascii="Calibri" w:cs="Calibri" w:eastAsia="Calibri" w:hAnsi="Calibri"/>
          <w:sz w:val="21"/>
          <w:szCs w:val="21"/>
        </w:rPr>
        <w:t xml:space="preserve">Writing Styles — swaps the resolver's system prompt between four versioned variants (Section 10.2).</w:t>
      </w:r>
    </w:p>
    <w:p>
      <w:pPr>
        <w:pStyle w:val="ListParagraph"/>
        <w:numPr>
          <w:ilvl w:val="0"/>
          <w:numId w:val="2"/>
        </w:numPr>
        <w:spacing w:after="70" w:line="276"/>
      </w:pPr>
      <w:r>
        <w:rPr>
          <w:rFonts w:ascii="Calibri" w:cs="Calibri" w:eastAsia="Calibri" w:hAnsi="Calibri"/>
          <w:sz w:val="21"/>
          <w:szCs w:val="21"/>
        </w:rPr>
        <w:t xml:space="preserve">Voice — records via the microphone or accepts an audio upload, transcribes with Whisper, and places the editable transcript in the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2 HERE ]</w:t>
            </w:r>
          </w:p>
          <w:p>
            <w:pPr>
              <w:spacing w:after="0"/>
              <w:jc w:val="center"/>
            </w:pPr>
            <w:r>
              <w:rPr>
                <w:rFonts w:ascii="Calibri" w:cs="Calibri" w:eastAsia="Calibri" w:hAnsi="Calibri"/>
                <w:i/>
                <w:iCs/>
                <w:color w:val="595959"/>
                <w:sz w:val="18"/>
                <w:szCs w:val="18"/>
              </w:rPr>
              <w:t xml:space="preserve">Screenshot the app immediately after 'make run', before sending any message. Include the left sidebar so the Workspace / Recents / Knowledge Base sections are visible.</w:t>
            </w:r>
          </w:p>
        </w:tc>
      </w:tr>
    </w:tbl>
    <w:p>
      <w:pPr>
        <w:spacing w:after="240" w:before="80"/>
        <w:jc w:val="center"/>
      </w:pPr>
      <w:r>
        <w:rPr>
          <w:rFonts w:ascii="Calibri" w:cs="Calibri" w:eastAsia="Calibri" w:hAnsi="Calibri"/>
          <w:i/>
          <w:iCs/>
          <w:color w:val="595959"/>
          <w:sz w:val="18"/>
          <w:szCs w:val="18"/>
        </w:rPr>
        <w:t xml:space="preserve">Figure 2: Chat landing page — hero state with suggested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3 HERE ]</w:t>
            </w:r>
          </w:p>
          <w:p>
            <w:pPr>
              <w:spacing w:after="0"/>
              <w:jc w:val="center"/>
            </w:pPr>
            <w:r>
              <w:rPr>
                <w:rFonts w:ascii="Calibri" w:cs="Calibri" w:eastAsia="Calibri" w:hAnsi="Calibri"/>
                <w:i/>
                <w:iCs/>
                <w:color w:val="595959"/>
                <w:sz w:val="18"/>
                <w:szCs w:val="18"/>
              </w:rPr>
              <w:t xml:space="preserve">Close-up of the input box showing the Attach, Search, Writing Styles and Voice pills plus the send button.</w:t>
            </w:r>
          </w:p>
        </w:tc>
      </w:tr>
    </w:tbl>
    <w:p>
      <w:pPr>
        <w:spacing w:after="240" w:before="80"/>
        <w:jc w:val="center"/>
      </w:pPr>
      <w:r>
        <w:rPr>
          <w:rFonts w:ascii="Calibri" w:cs="Calibri" w:eastAsia="Calibri" w:hAnsi="Calibri"/>
          <w:i/>
          <w:iCs/>
          <w:color w:val="595959"/>
          <w:sz w:val="18"/>
          <w:szCs w:val="18"/>
        </w:rPr>
        <w:t xml:space="preserve">Figure 3: The composer control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4 HERE ]</w:t>
            </w:r>
          </w:p>
          <w:p>
            <w:pPr>
              <w:spacing w:after="0"/>
              <w:jc w:val="center"/>
            </w:pPr>
            <w:r>
              <w:rPr>
                <w:rFonts w:ascii="Calibri" w:cs="Calibri" w:eastAsia="Calibri" w:hAnsi="Calibri"/>
                <w:i/>
                <w:iCs/>
                <w:color w:val="595959"/>
                <w:sz w:val="18"/>
                <w:szCs w:val="18"/>
              </w:rPr>
              <w:t xml:space="preserve">Open the Voice popover, record a short incident, and capture the transcript appearing in the message box with the 'Transcribed by whisper-large in NNN ms' caption.</w:t>
            </w:r>
          </w:p>
        </w:tc>
      </w:tr>
    </w:tbl>
    <w:p>
      <w:pPr>
        <w:spacing w:after="240" w:before="80"/>
        <w:jc w:val="center"/>
      </w:pPr>
      <w:r>
        <w:rPr>
          <w:rFonts w:ascii="Calibri" w:cs="Calibri" w:eastAsia="Calibri" w:hAnsi="Calibri"/>
          <w:i/>
          <w:iCs/>
          <w:color w:val="595959"/>
          <w:sz w:val="18"/>
          <w:szCs w:val="18"/>
        </w:rPr>
        <w:t xml:space="preserve">Figure 4: Voice input — Whisper transcription in the composer</w:t>
      </w:r>
    </w:p>
    <w:p>
      <w:pPr>
        <w:pStyle w:val="Heading2"/>
        <w:spacing w:after="140" w:before="240"/>
      </w:pPr>
      <w:r>
        <w:t xml:space="preserve">8.2 A complete incident, end to end</w:t>
      </w:r>
    </w:p>
    <w:p>
      <w:pPr>
        <w:spacing w:after="120" w:before="0" w:line="276"/>
      </w:pPr>
      <w:r>
        <w:rPr>
          <w:rFonts w:ascii="Calibri" w:cs="Calibri" w:eastAsia="Calibri" w:hAnsi="Calibri"/>
          <w:sz w:val="21"/>
          <w:szCs w:val="21"/>
        </w:rPr>
        <w:t xml:space="preserve">The following figures capture one incident traversing all six sub-tasks. Use a realistic incident such as "Several users in Finance cannot sign in to the portal since the morning; SSO page times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5 HERE ]</w:t>
            </w:r>
          </w:p>
          <w:p>
            <w:pPr>
              <w:spacing w:after="0"/>
              <w:jc w:val="center"/>
            </w:pPr>
            <w:r>
              <w:rPr>
                <w:rFonts w:ascii="Calibri" w:cs="Calibri" w:eastAsia="Calibri" w:hAnsi="Calibri"/>
                <w:i/>
                <w:iCs/>
                <w:color w:val="595959"/>
                <w:sz w:val="18"/>
                <w:szCs w:val="18"/>
              </w:rPr>
              <w:t xml:space="preserve">Capture the queue badge (label, confidence, which model variant served it) together with the retrieved source cards showing similar ticket IDs and similarity scores.</w:t>
            </w:r>
          </w:p>
        </w:tc>
      </w:tr>
    </w:tbl>
    <w:p>
      <w:pPr>
        <w:spacing w:after="240" w:before="80"/>
        <w:jc w:val="center"/>
      </w:pPr>
      <w:r>
        <w:rPr>
          <w:rFonts w:ascii="Calibri" w:cs="Calibri" w:eastAsia="Calibri" w:hAnsi="Calibri"/>
          <w:i/>
          <w:iCs/>
          <w:color w:val="595959"/>
          <w:sz w:val="18"/>
          <w:szCs w:val="18"/>
        </w:rPr>
        <w:t xml:space="preserve">Figure 5: Classification and retrieved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6 HERE ]</w:t>
            </w:r>
          </w:p>
          <w:p>
            <w:pPr>
              <w:spacing w:after="0"/>
              <w:jc w:val="center"/>
            </w:pPr>
            <w:r>
              <w:rPr>
                <w:rFonts w:ascii="Calibri" w:cs="Calibri" w:eastAsia="Calibri" w:hAnsi="Calibri"/>
                <w:i/>
                <w:iCs/>
                <w:color w:val="595959"/>
                <w:sz w:val="18"/>
                <w:szCs w:val="18"/>
              </w:rPr>
              <w:t xml:space="preserve">Capture the generated resolution with inline [OPM-xxxxx] citations, the blue handover-summary box, and the audio player after pressing the speaker button.</w:t>
            </w:r>
          </w:p>
        </w:tc>
      </w:tr>
    </w:tbl>
    <w:p>
      <w:pPr>
        <w:spacing w:after="240" w:before="80"/>
        <w:jc w:val="center"/>
      </w:pPr>
      <w:r>
        <w:rPr>
          <w:rFonts w:ascii="Calibri" w:cs="Calibri" w:eastAsia="Calibri" w:hAnsi="Calibri"/>
          <w:i/>
          <w:iCs/>
          <w:color w:val="595959"/>
          <w:sz w:val="18"/>
          <w:szCs w:val="18"/>
        </w:rPr>
        <w:t xml:space="preserve">Figure 6: Streamed grounded resolution, handover summary and audio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7 HERE ]</w:t>
            </w:r>
          </w:p>
          <w:p>
            <w:pPr>
              <w:spacing w:after="0"/>
              <w:jc w:val="center"/>
            </w:pPr>
            <w:r>
              <w:rPr>
                <w:rFonts w:ascii="Calibri" w:cs="Calibri" w:eastAsia="Calibri" w:hAnsi="Calibri"/>
                <w:i/>
                <w:iCs/>
                <w:color w:val="595959"/>
                <w:sz w:val="18"/>
                <w:szCs w:val="18"/>
              </w:rPr>
              <w:t xml:space="preserve">Send the same incident twice, once with 'Step-by-step' and once with 'Shift handover', and place the two answers side by side to show the prompt-version effect.</w:t>
            </w:r>
          </w:p>
        </w:tc>
      </w:tr>
    </w:tbl>
    <w:p>
      <w:pPr>
        <w:spacing w:after="240" w:before="80"/>
        <w:jc w:val="center"/>
      </w:pPr>
      <w:r>
        <w:rPr>
          <w:rFonts w:ascii="Calibri" w:cs="Calibri" w:eastAsia="Calibri" w:hAnsi="Calibri"/>
          <w:i/>
          <w:iCs/>
          <w:color w:val="595959"/>
          <w:sz w:val="18"/>
          <w:szCs w:val="18"/>
        </w:rPr>
        <w:t xml:space="preserve">Figure 7: Writing Styles — the same incident in two prompt variants</w:t>
      </w:r>
    </w:p>
    <w:p>
      <w:r>
        <w:br w:type="page"/>
      </w:r>
    </w:p>
    <w:p>
      <w:pPr>
        <w:pStyle w:val="Heading1"/>
        <w:spacing w:after="140" w:before="320"/>
      </w:pPr>
      <w:r>
        <w:t xml:space="preserve">9. APIs Used</w:t>
      </w:r>
    </w:p>
    <w:p>
      <w:pPr>
        <w:spacing w:after="120" w:before="0" w:line="276"/>
      </w:pPr>
      <w:r>
        <w:rPr>
          <w:rFonts w:ascii="Calibri" w:cs="Calibri" w:eastAsia="Calibri" w:hAnsi="Calibri"/>
          <w:sz w:val="21"/>
          <w:szCs w:val="21"/>
        </w:rPr>
        <w:t xml:space="preserve">The brief requires the application to be built using relevant APIs. Two are used, for different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tblHeader/>
        </w:trPr>
        <w:tc>
          <w:tcPr>
            <w:tcW w:type="dxa" w:w="21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API</w:t>
            </w:r>
          </w:p>
        </w:tc>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Used for</w:t>
            </w:r>
          </w:p>
        </w:tc>
        <w:tc>
          <w:tcPr>
            <w:tcW w:type="dxa" w:w="45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Notes</w:t>
            </w:r>
          </w:p>
        </w:tc>
      </w:tr>
      <w:tr>
        <w:tc>
          <w:tcPr>
            <w:tcW w:type="dxa" w:w="2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Groq Chat Completions API (REST, OpenAI-compatible schema)</w:t>
            </w:r>
          </w:p>
        </w:tc>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Sub-task 3 — resolution generation</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Called over HTTPS with server-sent-event streaming enabled, so tokens render as they arrive. stream_options.include_usage is set, which returns exact prompt and completion token counts — our cost metric is therefore measured, not estimated. Free tier; no payment required.</w:t>
            </w:r>
          </w:p>
        </w:tc>
      </w:tr>
      <w:tr>
        <w:tc>
          <w:tcPr>
            <w:tcW w:type="dxa" w:w="2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Hugging Face Transformers / Hub</w:t>
            </w:r>
          </w:p>
        </w:tc>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Sub-tasks 1, 2, 4, 5, 6</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Model weights are pulled from the Hub on first run and cached locally, then executed in-process. This keeps the application functional without network access after the first run and avoids per-call inference cost.</w:t>
            </w:r>
          </w:p>
        </w:tc>
      </w:tr>
    </w:tbl>
    <w:p>
      <w:pPr>
        <w:spacing w:after="120" w:before="0" w:line="276"/>
      </w:pPr>
      <w:r>
        <w:rPr>
          <w:rFonts w:ascii="Calibri" w:cs="Calibri" w:eastAsia="Calibri" w:hAnsi="Calibri"/>
          <w:sz w:val="21"/>
          <w:szCs w:val="21"/>
        </w:rPr>
        <w:t xml:space="preserve">Internally, every sub-task is wrapped behind one uniform interface — run(payload) returning {output, metrics} — so the six heterogeneous backends (local transformer, FAISS index, remote HTTP API) are interchangeable to the caller. This is what allowed the fine-tuned and base classifiers to be swapped at runtime, and it is the same abstraction that would allow the TTS engine to be replaced without touching the UI.</w:t>
      </w:r>
    </w:p>
    <w:p>
      <w:pPr>
        <w:pStyle w:val="Heading1"/>
        <w:spacing w:after="140" w:before="320"/>
      </w:pPr>
      <w:r>
        <w:t xml:space="preserve">10. LLMOps Implementation</w:t>
      </w:r>
    </w:p>
    <w:p>
      <w:pPr>
        <w:spacing w:after="120" w:before="0" w:line="276"/>
      </w:pPr>
      <w:r>
        <w:rPr>
          <w:rFonts w:ascii="Calibri" w:cs="Calibri" w:eastAsia="Calibri" w:hAnsi="Calibri"/>
          <w:sz w:val="21"/>
          <w:szCs w:val="21"/>
        </w:rPr>
        <w:t xml:space="preserve">The brief asks for LLMOps principles to be applied and at least five relevant metrics to be measured. We built a metrics layer rather than adopting a heavyweight tracking server, so that the instrumentation is explainable line by line and adds no runtime dependency to the demo.</w:t>
      </w:r>
    </w:p>
    <w:p>
      <w:pPr>
        <w:pStyle w:val="Heading2"/>
        <w:spacing w:after="140" w:before="240"/>
      </w:pPr>
      <w:r>
        <w:t xml:space="preserve">10.1 Metrics measured</w:t>
      </w:r>
    </w:p>
    <w:p>
      <w:pPr>
        <w:spacing w:after="120" w:before="0" w:line="276"/>
      </w:pPr>
      <w:r>
        <w:rPr>
          <w:rFonts w:ascii="Calibri" w:cs="Calibri" w:eastAsia="Calibri" w:hAnsi="Calibri"/>
          <w:sz w:val="21"/>
          <w:szCs w:val="21"/>
        </w:rPr>
        <w:t xml:space="preserve">Eleven dimensions are written synchronously to SQLite as each call completes — there is no batch job, so the dashboards always reflect the request that just ran. The measured column below is read from the metrics database captured during development (143 metered requests across all six sub-tasks). Rows from superseded model choices are retained rather than deleted, because model-version stamping is itself one of the metrics: the history records which checkpoint served which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tblHeader/>
        </w:trPr>
        <w:tc>
          <w:tcPr>
            <w:tcW w:type="dxa" w:w="20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Metric</w:t>
            </w:r>
          </w:p>
        </w:tc>
        <w:tc>
          <w:tcPr>
            <w:tcW w:type="dxa" w:w="39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How it is captured</w:t>
            </w:r>
          </w:p>
        </w:tc>
        <w:tc>
          <w:tcPr>
            <w:tcW w:type="dxa" w:w="31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Measured (development run)</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 Latency (per call)</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Wall-clock around each sub-task; p50/p95 computed on read so any window can be queried</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retrieve 4.74 s · classify 4.13 s · summarize 7.90 s · ASR 172.4 s · TTS 7.95 s (warm-path medians, p50/p95/p99 all available)</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 Time to first token</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Timestamp of the first streamed content chunk</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Stamped on the first streamed content chunk and written to the row's extra field</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 Throughput (tokens/sec)</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Completion tokens divided by decode time, excluding queueing</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Recorded per streamed generation</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 Tokens in / out</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Exact values from the Groq usage field; estimated only for local models and flagged as such</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17,086 in / 19,351 out</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 Estimated cost per request</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Token counts multiplied by a per-model price table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$0.00085 total across all metered requests</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 Error rate</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Exceptions caught, logged with type and message, then re-raised</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28 of 143 requests (19.6%), dominated by the intentionally unset GROQ_API_KEY; see Section 17</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7. Cache-hit rate</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Flag set when a response is served from the TTL cache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35 hits of 143 requests (24.5%)</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8. User feedback</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Thumbs up / thumbs down per answer, stored against the turn</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Captured in-app</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9. Model version</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Model identifier stamped on every row, including the fine-tune artifact path</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e.g. deberta-v3-base-tickets@ plus a build timestamp</w:t>
            </w:r>
          </w:p>
        </w:tc>
      </w:tr>
      <w:tr>
        <w:tc>
          <w:tcPr>
            <w:tcW w:type="dxa" w:w="20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10. Prompt version</w:t>
            </w:r>
          </w:p>
        </w:tc>
        <w:tc>
          <w:tcPr>
            <w:tcW w:type="dxa" w:w="39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Writing-style variant stamped on streamed, cached and fallback rows alike</w:t>
            </w:r>
          </w:p>
        </w:tc>
        <w:tc>
          <w:tcPr>
            <w:tcW w:type="dxa" w:w="31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 variants defined (Section 10.2); 1 exercised in the captured run</w:t>
            </w:r>
          </w:p>
        </w:tc>
      </w:tr>
      <w:tr>
        <w:tc>
          <w:tcPr>
            <w:tcW w:type="dxa" w:w="20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11. Requests per sub-task</w:t>
            </w:r>
          </w:p>
        </w:tc>
        <w:tc>
          <w:tcPr>
            <w:tcW w:type="dxa" w:w="39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Grouped counts, used to spot an unused or over-called stage</w:t>
            </w:r>
          </w:p>
        </w:tc>
        <w:tc>
          <w:tcPr>
            <w:tcW w:type="dxa" w:w="31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143 across 6 sub-tasks</w:t>
            </w:r>
          </w:p>
        </w:tc>
      </w:tr>
    </w:tbl>
    <w:p>
      <w:pPr>
        <w:pStyle w:val="Heading2"/>
        <w:spacing w:after="140" w:before="240"/>
      </w:pPr>
      <w:r>
        <w:t xml:space="preserve">10.2 Prompt versioning</w:t>
      </w:r>
    </w:p>
    <w:p>
      <w:pPr>
        <w:spacing w:after="120" w:before="0" w:line="276"/>
      </w:pPr>
      <w:r>
        <w:rPr>
          <w:rFonts w:ascii="Calibri" w:cs="Calibri" w:eastAsia="Calibri" w:hAnsi="Calibri"/>
          <w:sz w:val="21"/>
          <w:szCs w:val="21"/>
        </w:rPr>
        <w:t xml:space="preserve">The Writing Styles control in the composer is a prompt-versioning experiment, not a cosmetic setting. Each style is a distinct system prompt with its own version string, which is written to the metrics row — so latency, tokens and cost can be grouped by prompt in the console. All four are composed from one shared grounding clause, which means no style can weaken the anti-hallucination contract; this invariant is enforced by an automated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Style</w:t>
            </w:r>
          </w:p>
        </w:tc>
        <w:tc>
          <w:tcPr>
            <w:tcW w:type="dxa" w:w="23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Prompt version</w:t>
            </w:r>
          </w:p>
        </w:tc>
        <w:tc>
          <w:tcPr>
            <w:tcW w:type="dxa" w:w="49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Output shape</w:t>
            </w:r>
          </w:p>
        </w:tc>
      </w:tr>
      <w:tr>
        <w:tc>
          <w:tcPr>
            <w:tcW w:type="dxa" w:w="18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Step-by-step (default)</w:t>
            </w:r>
          </w:p>
        </w:tc>
        <w:tc>
          <w:tcPr>
            <w:tcW w:type="dxa" w:w="23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resolve-v1-stepwise</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One-line diagnosis, numbered resolution steps, escalation condition</w:t>
            </w:r>
          </w:p>
        </w:tc>
      </w:tr>
      <w:tr>
        <w:tc>
          <w:tcPr>
            <w:tcW w:type="dxa" w:w="18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Concise</w:t>
            </w:r>
          </w:p>
        </w:tc>
        <w:tc>
          <w:tcPr>
            <w:tcW w:type="dxa" w:w="23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resolve-v1-concise</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At most four bullets, no preamble — fastest to read during a live call</w:t>
            </w:r>
          </w:p>
        </w:tc>
      </w:tr>
      <w:tr>
        <w:tc>
          <w:tcPr>
            <w:tcW w:type="dxa" w:w="18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Customer-facing</w:t>
            </w:r>
          </w:p>
        </w:tc>
        <w:tc>
          <w:tcPr>
            <w:tcW w:type="dxa" w:w="23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resolve-v1-customer</w:t>
            </w:r>
          </w:p>
        </w:tc>
        <w:tc>
          <w:tcPr>
            <w:tcW w:type="dxa" w:w="49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Plain-language reply to the requester, no internal jargon, with an internal evidence line</w:t>
            </w:r>
          </w:p>
        </w:tc>
      </w:tr>
      <w:tr>
        <w:tc>
          <w:tcPr>
            <w:tcW w:type="dxa" w:w="18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Shift handover</w:t>
            </w:r>
          </w:p>
        </w:tc>
        <w:tc>
          <w:tcPr>
            <w:tcW w:type="dxa" w:w="23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resolve-v1-handover</w:t>
            </w:r>
          </w:p>
        </w:tc>
        <w:tc>
          <w:tcPr>
            <w:tcW w:type="dxa" w:w="49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IMPACT / DIAGNOSIS / ACTIONS TAKEN / NEXT STEPS FOR ON-CALL / ESCALATE IF</w:t>
            </w:r>
          </w:p>
        </w:tc>
      </w:tr>
    </w:tbl>
    <w:p>
      <w:pPr>
        <w:pStyle w:val="Heading2"/>
        <w:spacing w:after="140" w:before="240"/>
      </w:pPr>
      <w:r>
        <w:t xml:space="preserve">10.3 Other LLMOps practices</w:t>
      </w:r>
    </w:p>
    <w:p>
      <w:pPr>
        <w:pStyle w:val="ListParagraph"/>
        <w:numPr>
          <w:ilvl w:val="0"/>
          <w:numId w:val="2"/>
        </w:numPr>
        <w:spacing w:after="70" w:line="276"/>
      </w:pPr>
      <w:r>
        <w:rPr>
          <w:rFonts w:ascii="Calibri" w:cs="Calibri" w:eastAsia="Calibri" w:hAnsi="Calibri"/>
          <w:sz w:val="21"/>
          <w:szCs w:val="21"/>
        </w:rPr>
        <w:t xml:space="preserve">Response caching with TTL, keyed on the complete request payload including the writing style, so an identical incident in the same style is free on the second call. Cache hits are logged as such and excluded from cost.</w:t>
      </w:r>
    </w:p>
    <w:p>
      <w:pPr>
        <w:pStyle w:val="ListParagraph"/>
        <w:numPr>
          <w:ilvl w:val="0"/>
          <w:numId w:val="2"/>
        </w:numPr>
        <w:spacing w:after="70" w:line="276"/>
      </w:pPr>
      <w:r>
        <w:rPr>
          <w:rFonts w:ascii="Calibri" w:cs="Calibri" w:eastAsia="Calibri" w:hAnsi="Calibri"/>
          <w:sz w:val="21"/>
          <w:szCs w:val="21"/>
        </w:rPr>
        <w:t xml:space="preserve">Graceful degradation: if the generation API key is absent the application still returns the most similar historical ticket's real resolution rather than failing, and the fallback is flagged in the metrics row.</w:t>
      </w:r>
    </w:p>
    <w:p>
      <w:pPr>
        <w:pStyle w:val="ListParagraph"/>
        <w:numPr>
          <w:ilvl w:val="0"/>
          <w:numId w:val="2"/>
        </w:numPr>
        <w:spacing w:after="70" w:line="276"/>
      </w:pPr>
      <w:r>
        <w:rPr>
          <w:rFonts w:ascii="Calibri" w:cs="Calibri" w:eastAsia="Calibri" w:hAnsi="Calibri"/>
          <w:sz w:val="21"/>
          <w:szCs w:val="21"/>
        </w:rPr>
        <w:t xml:space="preserve">Runtime model switching between the base and fine-tuned classifier, which makes the fine-tuning benefit demonstrable inside the running app.</w:t>
      </w:r>
    </w:p>
    <w:p>
      <w:pPr>
        <w:pStyle w:val="ListParagraph"/>
        <w:numPr>
          <w:ilvl w:val="0"/>
          <w:numId w:val="2"/>
        </w:numPr>
        <w:spacing w:after="70" w:line="276"/>
      </w:pPr>
      <w:r>
        <w:rPr>
          <w:rFonts w:ascii="Calibri" w:cs="Calibri" w:eastAsia="Calibri" w:hAnsi="Calibri"/>
          <w:sz w:val="21"/>
          <w:szCs w:val="21"/>
        </w:rPr>
        <w:t xml:space="preserve">Reproducible training: fixed seeds, a pinned dependency set, and a logged per-epoch training history.</w:t>
      </w:r>
    </w:p>
    <w:p>
      <w:pPr>
        <w:pStyle w:val="ListParagraph"/>
        <w:numPr>
          <w:ilvl w:val="0"/>
          <w:numId w:val="2"/>
        </w:numPr>
        <w:spacing w:after="70" w:line="276"/>
      </w:pPr>
      <w:r>
        <w:rPr>
          <w:rFonts w:ascii="Calibri" w:cs="Calibri" w:eastAsia="Calibri" w:hAnsi="Calibri"/>
          <w:sz w:val="21"/>
          <w:szCs w:val="21"/>
        </w:rPr>
        <w:t xml:space="preserve">Config-driven model registry — every model identifier and tuning constant is an environment variable with a documented default, so no experiment requires a code edit. Model-quality instrumentation. Latency and cost describe how cheap an answer was, not whether it was any good, so each sub-task also reports quality signals through a single uniform hook, BaseSubTask.report_signals(), which writes them into the metrics row: retrieval reports its top and mean similarity, the count of evidence that cleared the threshold and a no-evidence flag; the classifier reports softmax confidence and whether it fell below the escalation floor; the summariser reports its compression ratio; ASR reports audio duration, decode time and real-time factor; TTS reports which engine actually produced the audio and whether it degraded away from real synthesis; and the generator reports time to first token, decode throughput, and how many of the retrieved ticket identifiers it actually cited. Signals that a run never reported are omitted from the dashboard rather than displayed as a misleading zero. Error-budget accounting. A configurable success-rate objective turns the raw error rate into budget burn, so a 19.6% failure rate against a 99% objective is reported as a breach rather than as a number needing interpretation. Two measurement defects found and fixed. The streamed generation path computed its elapsed time and discarded it, then opened the timing context manager on an already-drained generator, so every streamed row recorded approximately zero milliseconds; the median latency for the generation sub-task was 0.0 ms across twelve successful calls. The same path caught its own exception so that partial output could still be rendered, but wrote the row with status 'ok', so every streaming failure was silently counted as a success in the error-rate metric. Both are now covered by regression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8 HERE ]</w:t>
            </w:r>
          </w:p>
          <w:p>
            <w:pPr>
              <w:spacing w:after="0"/>
              <w:jc w:val="center"/>
            </w:pPr>
            <w:r>
              <w:rPr>
                <w:rFonts w:ascii="Calibri" w:cs="Calibri" w:eastAsia="Calibri" w:hAnsi="Calibri"/>
                <w:i/>
                <w:iCs/>
                <w:color w:val="595959"/>
                <w:sz w:val="18"/>
                <w:szCs w:val="18"/>
              </w:rPr>
              <w:t xml:space="preserve">Monitor page, Overview tab: total requests, p50/p95/p99 latency, error rate, cache-hit rate, estimated spend.</w:t>
            </w:r>
          </w:p>
        </w:tc>
      </w:tr>
    </w:tbl>
    <w:p>
      <w:pPr>
        <w:spacing w:after="240" w:before="80"/>
        <w:jc w:val="center"/>
      </w:pPr>
      <w:r>
        <w:rPr>
          <w:rFonts w:ascii="Calibri" w:cs="Calibri" w:eastAsia="Calibri" w:hAnsi="Calibri"/>
          <w:i/>
          <w:iCs/>
          <w:color w:val="595959"/>
          <w:sz w:val="18"/>
          <w:szCs w:val="18"/>
        </w:rPr>
        <w:t xml:space="preserve">Figure 8: LLMOps console — overview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9 HERE ]</w:t>
            </w:r>
          </w:p>
          <w:p>
            <w:pPr>
              <w:spacing w:after="0"/>
              <w:jc w:val="center"/>
            </w:pPr>
            <w:r>
              <w:rPr>
                <w:rFonts w:ascii="Calibri" w:cs="Calibri" w:eastAsia="Calibri" w:hAnsi="Calibri"/>
                <w:i/>
                <w:iCs/>
                <w:color w:val="595959"/>
                <w:sz w:val="18"/>
                <w:szCs w:val="18"/>
              </w:rPr>
              <w:t xml:space="preserve">The Golden Signals tab: the four SRE signals as KPI tiles, stacked-area traffic by sub-task, the error-budget gauge and the sub-task x time latency heatmap.</w:t>
            </w:r>
          </w:p>
        </w:tc>
      </w:tr>
    </w:tbl>
    <w:p>
      <w:pPr>
        <w:spacing w:after="240" w:before="80"/>
        <w:jc w:val="center"/>
      </w:pPr>
      <w:r>
        <w:rPr>
          <w:rFonts w:ascii="Calibri" w:cs="Calibri" w:eastAsia="Calibri" w:hAnsi="Calibri"/>
          <w:i/>
          <w:iCs/>
          <w:color w:val="595959"/>
          <w:sz w:val="18"/>
          <w:szCs w:val="18"/>
        </w:rPr>
        <w:t xml:space="preserve">Figure 9: LLMOps console — latency and cost by sub-task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10 HERE ]</w:t>
            </w:r>
          </w:p>
          <w:p>
            <w:pPr>
              <w:spacing w:after="0"/>
              <w:jc w:val="center"/>
            </w:pPr>
            <w:r>
              <w:rPr>
                <w:rFonts w:ascii="Calibri" w:cs="Calibri" w:eastAsia="Calibri" w:hAnsi="Calibri"/>
                <w:i/>
                <w:iCs/>
                <w:color w:val="595959"/>
                <w:sz w:val="18"/>
                <w:szCs w:val="18"/>
              </w:rPr>
              <w:t xml:space="preserve">The Metrics tab: the per-sub-task breakdown of all six stages, the model-quality signal table, and the raw metric rows showing the @timestamp model-version stamp.</w:t>
            </w:r>
          </w:p>
        </w:tc>
      </w:tr>
    </w:tbl>
    <w:p>
      <w:pPr>
        <w:spacing w:after="240" w:before="80"/>
        <w:jc w:val="center"/>
      </w:pPr>
      <w:r>
        <w:rPr>
          <w:rFonts w:ascii="Calibri" w:cs="Calibri" w:eastAsia="Calibri" w:hAnsi="Calibri"/>
          <w:i/>
          <w:iCs/>
          <w:color w:val="595959"/>
          <w:sz w:val="18"/>
          <w:szCs w:val="18"/>
        </w:rPr>
        <w:t xml:space="preserve">Figure 10: LLMOps console — cache, errors and prompt versions</w:t>
      </w:r>
    </w:p>
    <w:p>
      <w:pPr>
        <w:pStyle w:val="Heading1"/>
        <w:spacing w:after="140" w:before="320"/>
      </w:pPr>
      <w:r>
        <w:t xml:space="preserve">11. Engineering the Speech Output</w:t>
      </w:r>
    </w:p>
    <w:p>
      <w:pPr>
        <w:spacing w:after="120" w:before="0" w:line="276"/>
      </w:pPr>
      <w:r>
        <w:rPr>
          <w:rFonts w:ascii="Calibri" w:cs="Calibri" w:eastAsia="Calibri" w:hAnsi="Calibri"/>
          <w:sz w:val="21"/>
          <w:szCs w:val="21"/>
        </w:rPr>
        <w:t xml:space="preserve">The TTS sub-task required work beyond calling a model, and the investigation is included here because the method — measure, then fix the measured defect — is the point.</w:t>
      </w:r>
    </w:p>
    <w:p>
      <w:pPr>
        <w:spacing w:after="120" w:before="0" w:line="276"/>
      </w:pPr>
      <w:r>
        <w:rPr>
          <w:rFonts w:ascii="Calibri" w:cs="Calibri" w:eastAsia="Calibri" w:hAnsi="Calibri"/>
          <w:sz w:val="21"/>
          <w:szCs w:val="21"/>
        </w:rPr>
        <w:t xml:space="preserve">The first audio output was intelligible but poor. Rather than guessing, we measured the generated waveform's spectral distribution and found 83.2% of energy below 500 Hz and only 2.69% in the 1.5–4 kHz band where consonants carry intelligibility. The audio was not harsh, as first assumed — it was boomy and consonant-poor, which is why words sounded slurred. A presence lift and rumble cut raised that band to 4.54% (a factor of 1.7), and peak level was normalised from 0.86 to 0.72 of full scale.</w:t>
      </w:r>
    </w:p>
    <w:p>
      <w:pPr>
        <w:spacing w:after="120" w:before="0" w:line="276"/>
      </w:pPr>
      <w:r>
        <w:rPr>
          <w:rFonts w:ascii="Calibri" w:cs="Calibri" w:eastAsia="Calibri" w:hAnsi="Calibri"/>
          <w:sz w:val="21"/>
          <w:szCs w:val="21"/>
        </w:rPr>
        <w:t xml:space="preserve">A second, separate defect was mispronunciation of domain terms. The chosen model has a character-level vocabulary with no digits and no pronunciation lexicon, so its tokenizer silently discards unknown characters: "L2" reached the model as a bare "l" and emerged as a garbled stream of consonants. We therefore normalise text before tokenization — "L2" becomes "level two" (correct for ITSM, where L2 is a support tier), "SSO" becomes "single sign on", "VPN" is spelled "vee pee en" because it has no voiceable vowel, and ticket IDs such as OPM-00042 become "ticket oh pee em forty two". A final pass guarantees that no digit or out-of-vocabulary character can reach the model, so any term our rules miss degrades to spelled-out letters instead of noise.</w:t>
      </w:r>
    </w:p>
    <w:p>
      <w:pPr>
        <w:spacing w:after="200" w:before="0" w:line="276"/>
      </w:pPr>
      <w:r>
        <w:rPr>
          <w:rFonts w:ascii="Calibri" w:cs="Calibri" w:eastAsia="Calibri" w:hAnsi="Calibri"/>
          <w:sz w:val="21"/>
          <w:szCs w:val="21"/>
        </w:rPr>
        <w:t xml:space="preserve">Delivery was also restructured: the text is split into sentences and numbered steps, each synthesized separately, silence padding trimmed, and the pieces rejoined with deliberate pauses — 34% of the original clip was dead air, which is what made it sound halting.</w:t>
      </w:r>
    </w:p>
    <w:p>
      <w:r>
        <w:br w:type="page"/>
      </w:r>
    </w:p>
    <w:p>
      <w:pPr>
        <w:pStyle w:val="Heading1"/>
        <w:spacing w:after="140" w:before="320"/>
      </w:pPr>
      <w:r>
        <w:t xml:space="preserve">12. Dataset</w:t>
      </w:r>
    </w:p>
    <w:p>
      <w:pPr>
        <w:spacing w:after="120" w:before="0" w:line="276"/>
      </w:pPr>
      <w:r>
        <w:rPr>
          <w:rFonts w:ascii="Calibri" w:cs="Calibri" w:eastAsia="Calibri" w:hAnsi="Calibri"/>
          <w:b/>
          <w:bCs/>
          <w:sz w:val="21"/>
          <w:szCs w:val="21"/>
        </w:rPr>
        <w:t xml:space="preserve">Dataset: Tobias Bueck, "Customer Support Tickets", Hugging Face Datasets. DOI: 10.57967/hf/6184. Licence: CC-BY-NC-4.0.</w:t>
      </w:r>
    </w:p>
    <w:p>
      <w:pPr>
        <w:spacing w:after="120" w:before="0" w:line="276"/>
      </w:pPr>
      <w:r>
        <w:rPr>
          <w:rFonts w:ascii="Calibri" w:cs="Calibri" w:eastAsia="Calibri" w:hAnsi="Calibri"/>
          <w:sz w:val="21"/>
          <w:szCs w:val="21"/>
        </w:rPr>
        <w:t xml:space="preserve">The dataset contains approximately 61,800 real customer-support tickets with, for each ticket, the subject and body, the queue it was routed to, its priority and type, the language, and — the field that makes this dataset unusually suitable — the answer text an agent actually wrote to resolve it.</w:t>
      </w:r>
    </w:p>
    <w:p>
      <w:pPr>
        <w:spacing w:after="120" w:before="0" w:line="276"/>
      </w:pPr>
      <w:r>
        <w:rPr>
          <w:rFonts w:ascii="Calibri" w:cs="Calibri" w:eastAsia="Calibri" w:hAnsi="Calibri"/>
          <w:sz w:val="21"/>
          <w:szCs w:val="21"/>
        </w:rPr>
        <w:t xml:space="preserve">It was chosen because a single source supplies all three things the project needs, which keeps the domain consistent end to end:</w:t>
      </w:r>
    </w:p>
    <w:p>
      <w:pPr>
        <w:pStyle w:val="ListParagraph"/>
        <w:numPr>
          <w:ilvl w:val="0"/>
          <w:numId w:val="2"/>
        </w:numPr>
        <w:spacing w:after="70" w:line="276"/>
      </w:pPr>
      <w:r>
        <w:rPr>
          <w:rFonts w:ascii="Calibri" w:cs="Calibri" w:eastAsia="Calibri" w:hAnsi="Calibri"/>
          <w:sz w:val="21"/>
          <w:szCs w:val="21"/>
        </w:rPr>
        <w:t xml:space="preserve">A retrieval corpus whose documents contain verified resolutions, so generation can be grounded on fixes that demonstrably worked rather than on model priors.</w:t>
      </w:r>
    </w:p>
    <w:p>
      <w:pPr>
        <w:pStyle w:val="ListParagraph"/>
        <w:numPr>
          <w:ilvl w:val="0"/>
          <w:numId w:val="2"/>
        </w:numPr>
        <w:spacing w:after="70" w:line="276"/>
      </w:pPr>
      <w:r>
        <w:rPr>
          <w:rFonts w:ascii="Calibri" w:cs="Calibri" w:eastAsia="Calibri" w:hAnsi="Calibri"/>
          <w:sz w:val="21"/>
          <w:szCs w:val="21"/>
        </w:rPr>
        <w:t xml:space="preserve">A supervised label (the queue) for the classification fine-tune.</w:t>
      </w:r>
    </w:p>
    <w:p>
      <w:pPr>
        <w:pStyle w:val="ListParagraph"/>
        <w:numPr>
          <w:ilvl w:val="0"/>
          <w:numId w:val="2"/>
        </w:numPr>
        <w:spacing w:after="70" w:line="276"/>
      </w:pPr>
      <w:r>
        <w:rPr>
          <w:rFonts w:ascii="Calibri" w:cs="Calibri" w:eastAsia="Calibri" w:hAnsi="Calibri"/>
          <w:sz w:val="21"/>
          <w:szCs w:val="21"/>
        </w:rPr>
        <w:t xml:space="preserve">Realistic, jargon-dense phrasing — abbreviations, product names and partial log excerpts — which is exactly the text distribution the deployed system would face and which a synthetic dataset would not reproduce.</w:t>
      </w:r>
    </w:p>
    <w:p>
      <w:pPr>
        <w:spacing w:after="120" w:before="0" w:line="276"/>
      </w:pPr>
      <w:r>
        <w:rPr>
          <w:rFonts w:ascii="Calibri" w:cs="Calibri" w:eastAsia="Calibri" w:hAnsi="Calibri"/>
          <w:sz w:val="21"/>
          <w:szCs w:val="21"/>
        </w:rPr>
        <w:t xml:space="preserve">Preparation pipeline: rows are normalised and deduplicated, English tickets retained, queue labels canonicalised, and a stratified train/test split written for fine-tuning. The retrieval index was built over 13,728 prepared tickets, and 18 per-queue Standard Operating Procedure pages provide the second grounding layer alongside retrieved tickets.</w:t>
      </w:r>
    </w:p>
    <w:p>
      <w:pPr>
        <w:pStyle w:val="Heading1"/>
        <w:spacing w:after="140" w:before="320"/>
      </w:pPr>
      <w:r>
        <w:t xml:space="preserve">13. Fine-tuning and Demonstration</w:t>
      </w:r>
    </w:p>
    <w:p>
      <w:pPr>
        <w:spacing w:after="120" w:before="0" w:line="276"/>
      </w:pPr>
      <w:r>
        <w:rPr>
          <w:rFonts w:ascii="Calibri" w:cs="Calibri" w:eastAsia="Calibri" w:hAnsi="Calibri"/>
          <w:sz w:val="21"/>
          <w:szCs w:val="21"/>
        </w:rPr>
        <w:t xml:space="preserve">Sub-task 2 (queue classification) was fine-tuned because it sits upstream of retrieval and generation: it selects which SOP grounds the answer, so its errors propagate. It is also the sub-task where a general-purpose model performs worst, because queue names are organisation-specific.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Setting</w:t>
            </w:r>
          </w:p>
        </w:tc>
        <w:tc>
          <w:tcPr>
            <w:tcW w:type="dxa" w:w="64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Value</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Base model</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microsoft/deberta-v3-base</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Task head</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Sequence classification over the canonical queue labels</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Training rows</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6,146 train / 1,000 eval over 10 queue classes. All 11,668 prepared English rows are loaded, then median-downsampled by --balanced to 864 per class</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Epochs</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3</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Split</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Stratified train/test from the prepared dataset</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Hardware</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CPU, fp32, 120.3 min for 1,155 optimiser steps. finetune/device.py refuses the Apple MPS backend for DeBERTa-v3 automatically, because its disentangled-attention kernels produce NaN gradients there; no CUDA device was available</w:t>
            </w:r>
          </w:p>
        </w:tc>
      </w:tr>
      <w:tr>
        <w:tc>
          <w:tcPr>
            <w:tcW w:type="dxa" w:w="26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Reproducibility</w:t>
            </w:r>
          </w:p>
        </w:tc>
        <w:tc>
          <w:tcPr>
            <w:tcW w:type="dxa" w:w="64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Fixed random seed; pinned dependency versions; per-epoch history written to training_log.json</w:t>
            </w:r>
          </w:p>
        </w:tc>
      </w:tr>
      <w:tr>
        <w:tc>
          <w:tcPr>
            <w:tcW w:type="dxa" w:w="26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Artifact</w:t>
            </w:r>
          </w:p>
        </w:tc>
        <w:tc>
          <w:tcPr>
            <w:tcW w:type="dxa" w:w="64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Versioned directory, e.g. deberta-v3-base-tickets, stamped with a build timestamp into every metrics row it serves</w:t>
            </w:r>
          </w:p>
        </w:tc>
      </w:tr>
    </w:tbl>
    <w:p>
      <w:pPr>
        <w:pStyle w:val="Heading2"/>
        <w:spacing w:after="140" w:before="240"/>
      </w:pPr>
      <w:r>
        <w:t xml:space="preserve">13.1 Before-and-after comparison</w:t>
      </w:r>
    </w:p>
    <w:p>
      <w:pPr>
        <w:spacing w:after="120" w:before="0" w:line="276"/>
      </w:pPr>
      <w:r>
        <w:rPr>
          <w:rFonts w:ascii="Calibri" w:cs="Calibri" w:eastAsia="Calibri" w:hAnsi="Calibri"/>
          <w:i/>
          <w:iCs/>
          <w:sz w:val="21"/>
          <w:szCs w:val="21"/>
        </w:rPr>
        <w:t xml:space="preserve">The comparison is produced by finetune/compare.py, which evaluates the base and fine-tuned checkpoints on the same 1,000-row stratified held-out split and writes compare.json. The figures below are that script's actual output. Note the third row: the base variant is the pre-trained encoder with a randomly initialised classification head, so its score is a chance-level floor that is re-rolled on every run. Because that makes the delta against it irreproducible, we also report the majority-class baseline, which is seed-independent and is the comparator we 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Metric (held-out test split)</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Base model</w:t>
            </w:r>
          </w:p>
        </w:tc>
        <w:tc>
          <w:tcPr>
            <w:tcW w:type="dxa" w:w="22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Fine-tuned</w:t>
            </w:r>
          </w:p>
        </w:tc>
        <w:tc>
          <w:tcPr>
            <w:tcW w:type="dxa" w:w="22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Change</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Accuracy</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0.0140 (1.4%)</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0.3570 (35.7%)</w:t>
            </w:r>
          </w:p>
        </w:tc>
        <w:tc>
          <w:tcPr>
            <w:tcW w:type="dxa" w:w="222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+34.3 pp</w:t>
            </w:r>
          </w:p>
        </w:tc>
      </w:tr>
      <w:tr>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Macro F1</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0.0028</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0.2817</w:t>
            </w:r>
          </w:p>
        </w:tc>
        <w:tc>
          <w:tcPr>
            <w:tcW w:type="dxa" w:w="222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+0.2789</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Macro recall</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0.1000</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0.3064</w:t>
            </w:r>
          </w:p>
        </w:tc>
        <w:tc>
          <w:tcPr>
            <w:tcW w:type="dxa" w:w="2226"/>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+0.2064</w:t>
            </w:r>
          </w:p>
        </w:tc>
      </w:tr>
      <w:tr>
        <w:tc>
          <w:tcPr>
            <w:tcW w:type="dxa" w:w="2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Held-out eval throughput</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not measured separately</w:t>
            </w:r>
          </w:p>
        </w:tc>
        <w:tc>
          <w:tcPr>
            <w:tcW w:type="dxa" w:w="2200"/>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105 ms / row (9.5 rows/s, CPU)</w:t>
            </w:r>
          </w:p>
        </w:tc>
        <w:tc>
          <w:tcPr>
            <w:tcW w:type="dxa" w:w="2226"/>
            <w:shd w:fill="F7F9FC" w:val="clear"/>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w:t>
            </w:r>
          </w:p>
        </w:tc>
      </w:tr>
      <w:tr>
        <w:tc>
          <w:tcPr>
            <w:tcW w:type="dxa" w:w="2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 rows evaluated</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1,000</w:t>
            </w:r>
          </w:p>
        </w:tc>
        <w:tc>
          <w:tcPr>
            <w:tcW w:type="dxa" w:w="2200"/>
            <w:tcMar>
              <w:top w:type="dxa" w:w="80"/>
              <w:left w:type="dxa" w:w="110"/>
              <w:bottom w:type="dxa" w:w="80"/>
              <w:right w:type="dxa" w:w="110"/>
            </w:tcMar>
            <w:vAlign w:val="center"/>
          </w:tcPr>
          <w:p>
            <w:pPr>
              <w:spacing w:after="0" w:line="260"/>
            </w:pPr>
            <w:r>
              <w:rPr>
                <w:rFonts w:ascii="Calibri" w:cs="Calibri" w:eastAsia="Calibri" w:hAnsi="Calibri"/>
                <w:color w:val="C00000"/>
                <w:sz w:val="19"/>
                <w:szCs w:val="19"/>
              </w:rPr>
              <w:t xml:space="preserve">1,000</w:t>
            </w:r>
          </w:p>
        </w:tc>
        <w:tc>
          <w:tcPr>
            <w:tcW w:type="dxa" w:w="22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w:t>
            </w:r>
          </w:p>
        </w:tc>
      </w:tr>
    </w:tbl>
    <w:p>
      <w:pPr>
        <w:spacing w:after="120" w:before="0" w:line="276"/>
      </w:pPr>
      <w:r>
        <w:rPr>
          <w:rFonts w:ascii="Calibri" w:cs="Calibri" w:eastAsia="Calibri" w:hAnsi="Calibri"/>
          <w:i/>
          <w:iCs/>
          <w:color w:val="C00000"/>
          <w:sz w:val="21"/>
          <w:szCs w:val="21"/>
        </w:rPr>
        <w:t xml:space="preserve">Reading these numbers. Macro F1 rose from 0.0028 to 0.2817, which is 6.3 times the 0.0449 a single-class predictor would score, and accuracy of 0.3570 clears the 0.2893 majority-class floor. Macro F1 rather than accuracy is the honest headline here: training used --balanced, so the model deliberately forgoes the majority-class prior, while evaluation uses the true class distribution. The sampled predictions contain five distinct labels across ten rows with four correct, so the model is discriminating between queues rather than collapsing onto one. Macro recall of 0.3064 confirms this: a collapsed model scores exactly 0.1000 on a ten-class problem, which is precisely what the base column shows. Two honest limitations. First, several queues overlap semantically — Technical Support, IT Support and Product Support describe adjacent work, and Returns and Exchanges sits inside Customer Service — so a human annotator would disagree with the gold label on some rows, and the practical ceiling on this taxonomy is well below 1.0. The errors we inspected are confusions between neighbouring queues rather than random misrouting, which is the less costly failure mode. Second, macro F1 gained only 0.0009 between epochs 2 and 3, so the run has plateaued; more epochs would not help materially without a larger or cleaner label set. Training history, recorded because the failures were instructive. An initial attempt on the Apple MPS backend produced NaN gradients from the first logged step, ran for 105 minutes and saved a checkpoint that predicted a single class for every input, scoring 0.0981 accuracy — exactly chance for ten classes. That is now prevented programmatically: finetune/device.py maintains a list of architectures known to be numerically unsafe on MPS and refuses the backend rather than failing silently. A second attempt, on CPU, was numerically healthy but used a learning rate of 3e-6 and never escaped its initialisation: evaluation loss sat on ln(10) = 2.3026, the exact cross-entropy of a uniform predictor. The successful run above uses 2e-5, and its per-epoch curve descends monotonically on all three metrics — eval loss 1.7871, 1.6945, 1.6800 and macro F1 0.2217, 0.2808, 0.2817 — so the saved final-epoch checkpoint is also the strongest one seen during training. The Fine-tune tab in the monitoring console renders this curve against a dashed ln(10) reference line and raises an explicit warning if a variant has non-zero F1 on one class only, so the collapse mode that defeated the first two attempts cannot pass unnoticed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11 HERE ]</w:t>
            </w:r>
          </w:p>
          <w:p>
            <w:pPr>
              <w:spacing w:after="0"/>
              <w:jc w:val="center"/>
            </w:pPr>
            <w:r>
              <w:rPr>
                <w:rFonts w:ascii="Calibri" w:cs="Calibri" w:eastAsia="Calibri" w:hAnsi="Calibri"/>
                <w:i/>
                <w:iCs/>
                <w:color w:val="595959"/>
                <w:sz w:val="18"/>
                <w:szCs w:val="18"/>
              </w:rPr>
              <w:t xml:space="preserve">Screenshot the Fine-tune page showing the before/after metrics and the per-class breakdown.</w:t>
            </w:r>
          </w:p>
        </w:tc>
      </w:tr>
    </w:tbl>
    <w:p>
      <w:pPr>
        <w:spacing w:after="240" w:before="80"/>
        <w:jc w:val="center"/>
      </w:pPr>
      <w:r>
        <w:rPr>
          <w:rFonts w:ascii="Calibri" w:cs="Calibri" w:eastAsia="Calibri" w:hAnsi="Calibri"/>
          <w:i/>
          <w:iCs/>
          <w:color w:val="595959"/>
          <w:sz w:val="18"/>
          <w:szCs w:val="18"/>
        </w:rPr>
        <w:t xml:space="preserve">Figure 11: Fine-tuning comparison page — base versus fine-tuned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12 HERE ]</w:t>
            </w:r>
          </w:p>
          <w:p>
            <w:pPr>
              <w:spacing w:after="0"/>
              <w:jc w:val="center"/>
            </w:pPr>
            <w:r>
              <w:rPr>
                <w:rFonts w:ascii="Calibri" w:cs="Calibri" w:eastAsia="Calibri" w:hAnsi="Calibri"/>
                <w:i/>
                <w:iCs/>
                <w:color w:val="595959"/>
                <w:sz w:val="18"/>
                <w:szCs w:val="18"/>
              </w:rPr>
              <w:t xml:space="preserve">Send the same incident twice using the Writing Styles popover's triage selector — once on 'base', once on 'finetuned' — and capture the two queue badges so the difference is visible inside the running app.</w:t>
            </w:r>
          </w:p>
        </w:tc>
      </w:tr>
    </w:tbl>
    <w:p>
      <w:pPr>
        <w:spacing w:after="240" w:before="80"/>
        <w:jc w:val="center"/>
      </w:pPr>
      <w:r>
        <w:rPr>
          <w:rFonts w:ascii="Calibri" w:cs="Calibri" w:eastAsia="Calibri" w:hAnsi="Calibri"/>
          <w:i/>
          <w:iCs/>
          <w:color w:val="595959"/>
          <w:sz w:val="18"/>
          <w:szCs w:val="18"/>
        </w:rPr>
        <w:t xml:space="preserve">Figure 12: Fine-tuned model serving live traffic in the application</w:t>
      </w:r>
    </w:p>
    <w:p>
      <w:pPr>
        <w:pStyle w:val="Heading2"/>
        <w:spacing w:after="140" w:before="240"/>
      </w:pPr>
      <w:r>
        <w:t xml:space="preserve">13.2 Integration into the live application</w:t>
      </w:r>
    </w:p>
    <w:p>
      <w:pPr>
        <w:spacing w:after="120" w:before="0" w:line="276"/>
      </w:pPr>
      <w:r>
        <w:rPr>
          <w:rFonts w:ascii="Calibri" w:cs="Calibri" w:eastAsia="Calibri" w:hAnsi="Calibri"/>
          <w:sz w:val="21"/>
          <w:szCs w:val="21"/>
        </w:rPr>
        <w:t xml:space="preserve">The fine-tuned model is not a detached artifact. The classifier variant is selectable at runtime as base, finetuned, or auto (which prefers the fine-tuned artifact when present). The badge above each answer names the variant that served the prediction, and the metrics row records the exact artifact path — so the fine-tune can be audited after the fact, not merely asserted.</w:t>
      </w:r>
    </w:p>
    <w:p>
      <w:pPr>
        <w:pStyle w:val="Heading1"/>
        <w:spacing w:after="140" w:before="320"/>
      </w:pPr>
      <w:r>
        <w:t xml:space="preserve">14. Guardrails, Caching and Cost Optimisation</w:t>
      </w:r>
    </w:p>
    <w:p>
      <w:pPr>
        <w:pStyle w:val="ListParagraph"/>
        <w:numPr>
          <w:ilvl w:val="0"/>
          <w:numId w:val="2"/>
        </w:numPr>
        <w:spacing w:after="70" w:line="276"/>
      </w:pPr>
      <w:r>
        <w:rPr>
          <w:rFonts w:ascii="Calibri" w:cs="Calibri" w:eastAsia="Calibri" w:hAnsi="Calibri"/>
          <w:sz w:val="21"/>
          <w:szCs w:val="21"/>
        </w:rPr>
        <w:t xml:space="preserve">Grounding contract. Every generation prompt instructs the model to rely only on the retrieved tickets and the selected SOP, to cite ticket IDs inline, and — when the evidence is insufficient — to say so and recommend escalation rather than inventing steps. The clause is shared across all four writing styles so a style change cannot dilute it, and a test enforces this.</w:t>
      </w:r>
    </w:p>
    <w:p>
      <w:pPr>
        <w:pStyle w:val="ListParagraph"/>
        <w:numPr>
          <w:ilvl w:val="0"/>
          <w:numId w:val="2"/>
        </w:numPr>
        <w:spacing w:after="70" w:line="276"/>
      </w:pPr>
      <w:r>
        <w:rPr>
          <w:rFonts w:ascii="Calibri" w:cs="Calibri" w:eastAsia="Calibri" w:hAnsi="Calibri"/>
          <w:sz w:val="21"/>
          <w:szCs w:val="21"/>
        </w:rPr>
        <w:t xml:space="preserve">Visible evidence before generation. Retrieved source cards are rendered before the answer streams, so the user can judge whether the evidence supports what follows.</w:t>
      </w:r>
    </w:p>
    <w:p>
      <w:pPr>
        <w:pStyle w:val="ListParagraph"/>
        <w:numPr>
          <w:ilvl w:val="0"/>
          <w:numId w:val="2"/>
        </w:numPr>
        <w:spacing w:after="70" w:line="276"/>
      </w:pPr>
      <w:r>
        <w:rPr>
          <w:rFonts w:ascii="Calibri" w:cs="Calibri" w:eastAsia="Calibri" w:hAnsi="Calibri"/>
          <w:sz w:val="21"/>
          <w:szCs w:val="21"/>
        </w:rPr>
        <w:t xml:space="preserve">Retrieval can be switched off, which makes the difference between a grounded and an ungrounded answer directly observable — a demonstration of why grounding matters rather than a claim about it.</w:t>
      </w:r>
    </w:p>
    <w:p>
      <w:pPr>
        <w:pStyle w:val="ListParagraph"/>
        <w:numPr>
          <w:ilvl w:val="0"/>
          <w:numId w:val="2"/>
        </w:numPr>
        <w:spacing w:after="70" w:line="276"/>
      </w:pPr>
      <w:r>
        <w:rPr>
          <w:rFonts w:ascii="Calibri" w:cs="Calibri" w:eastAsia="Calibri" w:hAnsi="Calibri"/>
          <w:sz w:val="21"/>
          <w:szCs w:val="21"/>
        </w:rPr>
        <w:t xml:space="preserve">Cost control. Exact token usage is read from the API response, responses are cached with a TTL keyed on the full payload, prompts cap the number of retrieved tickets and the SOP excerpt length, and the smallest adequate model was chosen for every local sub-task. Total measured spend across all development was $0.000046.</w:t>
      </w:r>
    </w:p>
    <w:p>
      <w:pPr>
        <w:pStyle w:val="ListParagraph"/>
        <w:numPr>
          <w:ilvl w:val="0"/>
          <w:numId w:val="2"/>
        </w:numPr>
        <w:spacing w:after="70" w:line="276"/>
      </w:pPr>
      <w:r>
        <w:rPr>
          <w:rFonts w:ascii="Calibri" w:cs="Calibri" w:eastAsia="Calibri" w:hAnsi="Calibri"/>
          <w:sz w:val="21"/>
          <w:szCs w:val="21"/>
        </w:rPr>
        <w:t xml:space="preserve">Failure containment. A missing API key degrades to the nearest historical resolution instead of an error page; malformed audio, unreadable attachments and empty inputs are all handled and logged rather than propagating.</w:t>
      </w:r>
    </w:p>
    <w:p>
      <w:pPr>
        <w:pStyle w:val="Heading1"/>
        <w:spacing w:after="140" w:before="320"/>
      </w:pPr>
      <w:r>
        <w:t xml:space="preserve">15. Testing and Code Quality</w:t>
      </w:r>
    </w:p>
    <w:p>
      <w:pPr>
        <w:spacing w:after="120" w:before="0" w:line="276"/>
      </w:pPr>
      <w:r>
        <w:rPr>
          <w:rFonts w:ascii="Calibri" w:cs="Calibri" w:eastAsia="Calibri" w:hAnsi="Calibri"/>
          <w:sz w:val="21"/>
          <w:szCs w:val="21"/>
        </w:rPr>
        <w:t xml:space="preserve">The project has 167 automated tests across 16 suites, 140 of which execute fully offline — no network, no model downloads, no browser — so they can be run during the demonstration in a few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526"/>
      </w:tblGrid>
      <w:tr>
        <w:trPr>
          <w:tblHeader/>
        </w:trPr>
        <w:tc>
          <w:tcPr>
            <w:tcW w:type="dxa" w:w="34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Test suite</w:t>
            </w:r>
          </w:p>
        </w:tc>
        <w:tc>
          <w:tcPr>
            <w:tcW w:type="dxa" w:w="1100"/>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Tests</w:t>
            </w:r>
          </w:p>
        </w:tc>
        <w:tc>
          <w:tcPr>
            <w:tcW w:type="dxa" w:w="4526"/>
            <w:shd w:fill="1F3864" w:val="clear"/>
            <w:tcMar>
              <w:top w:type="dxa" w:w="80"/>
              <w:left w:type="dxa" w:w="110"/>
              <w:bottom w:type="dxa" w:w="80"/>
              <w:right w:type="dxa" w:w="110"/>
            </w:tcMar>
            <w:vAlign w:val="center"/>
          </w:tcPr>
          <w:p>
            <w:pPr>
              <w:spacing w:after="0" w:line="260"/>
            </w:pPr>
            <w:r>
              <w:rPr>
                <w:rFonts w:ascii="Calibri" w:cs="Calibri" w:eastAsia="Calibri" w:hAnsi="Calibri"/>
                <w:b/>
                <w:bCs/>
                <w:color w:val="FFFFFF"/>
                <w:sz w:val="19"/>
                <w:szCs w:val="19"/>
              </w:rPr>
              <w:t xml:space="preserve">Covers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test_config_and_data.py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Configuration loading and ticket generation</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test_prepare_dataset.py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Dataset normalisation and label canonicalisation</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test_subtasks_offline.py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10</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All six sub-task wrappers and their contracts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test_streaming_offline.py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Streamed generation, latency instrumentation, cache interaction</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test_llmops.py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11</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Metrics store, TTL cache, uniform sub-task base class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test_attachments_offline.py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File extraction and incident merging</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test_conversations_offline.py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Conversation persistence and history grouping</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test_insights_offline.py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4</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Aggregation used by the dashboards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test_finetune_offline.py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Fine-tuning data handling and splits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test_composer_offline.py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15</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Composer state machine and prompt-style registry</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test_theme_selectors_offline.py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15</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UI styling rules, validated against a DOM replica</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test_nav_chrome_offline.py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14</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Navigation chrome and page headers</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24</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TTS orchestration, tone overrides, budget and error paths</w:t>
            </w:r>
          </w:p>
        </w:tc>
      </w:tr>
      <w:tr>
        <w:tc>
          <w:tcPr>
            <w:tcW w:type="dxa" w:w="34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test_tts_prosody_offline.py</w:t>
            </w:r>
          </w:p>
        </w:tc>
        <w:tc>
          <w:tcPr>
            <w:tcW w:type="dxa" w:w="1100"/>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23</w:t>
            </w:r>
          </w:p>
        </w:tc>
        <w:tc>
          <w:tcPr>
            <w:tcW w:type="dxa" w:w="4526"/>
            <w:shd w:fill="F7F9FC" w:val="clear"/>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Speech delivery, verified by spectral measurement</w:t>
            </w:r>
          </w:p>
        </w:tc>
      </w:tr>
      <w:tr>
        <w:tc>
          <w:tcPr>
            <w:tcW w:type="dxa" w:w="34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test_tts_text_offline.py</w:t>
            </w:r>
          </w:p>
        </w:tc>
        <w:tc>
          <w:tcPr>
            <w:tcW w:type="dxa" w:w="1100"/>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26</w:t>
            </w:r>
          </w:p>
        </w:tc>
        <w:tc>
          <w:tcPr>
            <w:tcW w:type="dxa" w:w="4526"/>
            <w:tcMar>
              <w:top w:type="dxa" w:w="80"/>
              <w:left w:type="dxa" w:w="110"/>
              <w:bottom w:type="dxa" w:w="80"/>
              <w:right w:type="dxa" w:w="110"/>
            </w:tcMar>
            <w:vAlign w:val="center"/>
          </w:tcPr>
          <w:p>
            <w:pPr>
              <w:spacing w:after="0" w:line="260"/>
            </w:pPr>
            <w:r>
              <w:rPr>
                <w:rFonts w:ascii="Calibri" w:cs="Calibri" w:eastAsia="Calibri" w:hAnsi="Calibri"/>
                <w:sz w:val="19"/>
                <w:szCs w:val="19"/>
              </w:rPr>
              <w:t xml:space="preserve">Pronunciation normalisation (the L2 / SSO / ticket-ID cases)</w:t>
            </w:r>
          </w:p>
        </w:tc>
      </w:tr>
    </w:tbl>
    <w:p>
      <w:pPr>
        <w:spacing w:after="120" w:before="0" w:line="276"/>
      </w:pPr>
      <w:r>
        <w:rPr>
          <w:rFonts w:ascii="Calibri" w:cs="Calibri" w:eastAsia="Calibri" w:hAnsi="Calibri"/>
          <w:sz w:val="21"/>
          <w:szCs w:val="21"/>
        </w:rPr>
        <w:t xml:space="preserve">Two testing decisions are worth noting. The UI styling suite runs the application's real CSS selectors against a replica of the framework's DOM using a CSS engine, because an earlier styling rule was too broad and silently restyled unrelated controls — a class of bug that reading the code had missed. The speech suites assert on measured spectral energy rather than on the fact that a function was called, so a claim like "this improves clarity" is verified numerically.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13 HERE ]</w:t>
            </w:r>
          </w:p>
          <w:p>
            <w:pPr>
              <w:spacing w:after="0"/>
              <w:jc w:val="center"/>
            </w:pPr>
            <w:r>
              <w:rPr>
                <w:rFonts w:ascii="Calibri" w:cs="Calibri" w:eastAsia="Calibri" w:hAnsi="Calibri"/>
                <w:i/>
                <w:iCs/>
                <w:color w:val="595959"/>
                <w:sz w:val="18"/>
                <w:szCs w:val="18"/>
              </w:rPr>
              <w:t xml:space="preserve">Run 'make test-quick' and screenshot the summary line showing 140 passed.</w:t>
            </w:r>
          </w:p>
        </w:tc>
      </w:tr>
    </w:tbl>
    <w:p>
      <w:pPr>
        <w:spacing w:after="240" w:before="80"/>
        <w:jc w:val="center"/>
      </w:pPr>
      <w:r>
        <w:rPr>
          <w:rFonts w:ascii="Calibri" w:cs="Calibri" w:eastAsia="Calibri" w:hAnsi="Calibri"/>
          <w:i/>
          <w:iCs/>
          <w:color w:val="595959"/>
          <w:sz w:val="18"/>
          <w:szCs w:val="18"/>
        </w:rPr>
        <w:t xml:space="preserve">Figure 13: Test suite passing</w:t>
      </w:r>
    </w:p>
    <w:p>
      <w:pPr>
        <w:pStyle w:val="Heading1"/>
        <w:spacing w:after="140" w:before="320"/>
      </w:pPr>
      <w:r>
        <w:t xml:space="preserve">16. Reproducibility</w:t>
      </w:r>
    </w:p>
    <w:p>
      <w:pPr>
        <w:spacing w:after="120" w:before="0" w:line="276"/>
      </w:pPr>
      <w:r>
        <w:rPr>
          <w:rFonts w:ascii="Calibri" w:cs="Calibri" w:eastAsia="Calibri" w:hAnsi="Calibri"/>
          <w:sz w:val="21"/>
          <w:szCs w:val="21"/>
        </w:rPr>
        <w:t xml:space="preserve">The whole project builds and runs from a single entry point. Dependencies are version-pinned; the data preparation, index build and fine-tune are declared as file targets so make skips any stage whose output is already current.</w:t>
      </w:r>
    </w:p>
    <w:p>
      <w:pPr>
        <w:shd w:fill="F5F5F5" w:val="clear"/>
        <w:spacing w:after="40" w:line="240"/>
        <w:ind w:left="240"/>
      </w:pPr>
      <w:r>
        <w:rPr>
          <w:rFonts w:ascii="Consolas" w:cs="Consolas" w:eastAsia="Consolas" w:hAnsi="Consolas"/>
          <w:color w:val="1F1F1F"/>
          <w:sz w:val="18"/>
          <w:szCs w:val="18"/>
        </w:rPr>
        <w:t xml:space="preserve">make            # list all targets</w:t>
      </w:r>
    </w:p>
    <w:p>
      <w:pPr>
        <w:shd w:fill="F5F5F5" w:val="clear"/>
        <w:spacing w:after="40" w:line="240"/>
        <w:ind w:left="240"/>
      </w:pPr>
      <w:r>
        <w:rPr>
          <w:rFonts w:ascii="Consolas" w:cs="Consolas" w:eastAsia="Consolas" w:hAnsi="Consolas"/>
          <w:color w:val="1F1F1F"/>
          <w:sz w:val="18"/>
          <w:szCs w:val="18"/>
        </w:rPr>
        <w:t xml:space="preserve">make all        # install -&gt; data -&gt; index -&gt; fine-tune -&gt; test -&gt; run</w:t>
      </w:r>
    </w:p>
    <w:p>
      <w:pPr>
        <w:shd w:fill="F5F5F5" w:val="clear"/>
        <w:spacing w:after="40" w:line="240"/>
        <w:ind w:left="240"/>
      </w:pPr>
      <w:r>
        <w:rPr>
          <w:rFonts w:ascii="Consolas" w:cs="Consolas" w:eastAsia="Consolas" w:hAnsi="Consolas"/>
          <w:color w:val="1F1F1F"/>
          <w:sz w:val="18"/>
          <w:szCs w:val="18"/>
        </w:rPr>
        <w:t xml:space="preserve">make verify     # print environment and artifact status</w:t>
      </w:r>
    </w:p>
    <w:p>
      <w:pPr>
        <w:shd w:fill="F5F5F5" w:val="clear"/>
        <w:spacing w:after="40" w:line="240"/>
        <w:ind w:left="240"/>
      </w:pPr>
      <w:r>
        <w:rPr>
          <w:rFonts w:ascii="Consolas" w:cs="Consolas" w:eastAsia="Consolas" w:hAnsi="Consolas"/>
          <w:color w:val="1F1F1F"/>
          <w:sz w:val="18"/>
          <w:szCs w:val="18"/>
        </w:rPr>
        <w:t xml:space="preserve">make test-quick # 140 offline tests</w:t>
      </w:r>
    </w:p>
    <w:p>
      <w:pPr>
        <w:shd w:fill="F5F5F5" w:val="clear"/>
        <w:spacing w:after="40" w:line="240"/>
        <w:ind w:left="240"/>
      </w:pPr>
      <w:r>
        <w:rPr>
          <w:rFonts w:ascii="Consolas" w:cs="Consolas" w:eastAsia="Consolas" w:hAnsi="Consolas"/>
          <w:color w:val="1F1F1F"/>
          <w:sz w:val="18"/>
          <w:szCs w:val="18"/>
        </w:rPr>
        <w:t xml:space="preserve">make run        # launch the application</w:t>
      </w:r>
    </w:p>
    <w:p>
      <w:pPr>
        <w:spacing w:after="10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 fine-tune target detects an existing artifact under any versioned name and reuses it, so re-running the pipeline cannot accidentally trigger a multi-hour retrain; "make retrain" forces one deliberately. Destructive targets refuse to delete the metrics database without an explicit confirmation flag, because that database is the project's LLMOps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900" w:hRule="atLeast"/>
        </w:trPr>
        <w:tc>
          <w:tcPr>
            <w:tcW w:type="dxa" w:w="9026"/>
            <w:tcBorders>
              <w:top w:val="dashed" w:color="8EA9DB" w:sz="6"/>
              <w:left w:val="dashed" w:color="8EA9DB" w:sz="6"/>
              <w:bottom w:val="dashed" w:color="8EA9DB" w:sz="6"/>
              <w:right w:val="dashed" w:color="8EA9DB" w:sz="6"/>
            </w:tcBorders>
            <w:shd w:fill="F2F5FA" w:val="clear"/>
            <w:tcMar>
              <w:top w:type="dxa" w:w="200"/>
              <w:left w:type="dxa" w:w="200"/>
              <w:bottom w:type="dxa" w:w="200"/>
              <w:right w:type="dxa" w:w="200"/>
            </w:tcMar>
            <w:vAlign w:val="center"/>
          </w:tcPr>
          <w:p>
            <w:pPr>
              <w:spacing w:after="100"/>
              <w:jc w:val="center"/>
            </w:pPr>
            <w:r>
              <w:rPr>
                <w:rFonts w:ascii="Calibri" w:cs="Calibri" w:eastAsia="Calibri" w:hAnsi="Calibri"/>
                <w:b/>
                <w:bCs/>
                <w:color w:val="C00000"/>
                <w:sz w:val="22"/>
                <w:szCs w:val="22"/>
              </w:rPr>
              <w:t xml:space="preserve">[ PASTE SCREENSHOT 14 HERE ]</w:t>
            </w:r>
          </w:p>
          <w:p>
            <w:pPr>
              <w:spacing w:after="0"/>
              <w:jc w:val="center"/>
            </w:pPr>
            <w:r>
              <w:rPr>
                <w:rFonts w:ascii="Calibri" w:cs="Calibri" w:eastAsia="Calibri" w:hAnsi="Calibri"/>
                <w:i/>
                <w:iCs/>
                <w:color w:val="595959"/>
                <w:sz w:val="18"/>
                <w:szCs w:val="18"/>
              </w:rPr>
              <w:t xml:space="preserve">Screenshot the output of 'make' followed by 'make verify'.</w:t>
            </w:r>
          </w:p>
        </w:tc>
      </w:tr>
    </w:tbl>
    <w:p>
      <w:pPr>
        <w:spacing w:after="240" w:before="80"/>
        <w:jc w:val="center"/>
      </w:pPr>
      <w:r>
        <w:rPr>
          <w:rFonts w:ascii="Calibri" w:cs="Calibri" w:eastAsia="Calibri" w:hAnsi="Calibri"/>
          <w:i/>
          <w:iCs/>
          <w:color w:val="595959"/>
          <w:sz w:val="18"/>
          <w:szCs w:val="18"/>
        </w:rPr>
        <w:t xml:space="preserve">Figure 14: Reproducible build — make targets and environment check</w:t>
      </w:r>
    </w:p>
    <w:p>
      <w:pPr>
        <w:pStyle w:val="Heading1"/>
        <w:spacing w:after="140" w:before="320"/>
      </w:pPr>
      <w:r>
        <w:t xml:space="preserve">17. Limitations and Future Work</w:t>
      </w:r>
    </w:p>
    <w:p>
      <w:pPr>
        <w:spacing w:after="120" w:before="0" w:line="276"/>
      </w:pPr>
      <w:r>
        <w:rPr>
          <w:rFonts w:ascii="Calibri" w:cs="Calibri" w:eastAsia="Calibri" w:hAnsi="Calibri"/>
          <w:sz w:val="21"/>
          <w:szCs w:val="21"/>
        </w:rPr>
        <w:t xml:space="preserve">Stating these honestly is more useful than overclaiming, and each is accompanied by the reason it was accepted.</w:t>
      </w:r>
    </w:p>
    <w:p>
      <w:pPr>
        <w:pStyle w:val="ListParagraph"/>
        <w:numPr>
          <w:ilvl w:val="0"/>
          <w:numId w:val="2"/>
        </w:numPr>
        <w:spacing w:after="70" w:line="276"/>
      </w:pPr>
      <w:r>
        <w:rPr>
          <w:rFonts w:ascii="Calibri" w:cs="Calibri" w:eastAsia="Calibri" w:hAnsi="Calibri"/>
          <w:sz w:val="21"/>
          <w:szCs w:val="21"/>
        </w:rPr>
        <w:t xml:space="preserve">Speech synthesis quality is bounded by the chosen model. mms-tts-eng is a 16 kHz single-speaker model with no prosody conditioning, so expressive delivery is not attainable regardless of post-processing. A phoneme-based engine with selectable accents (for example Indian or British English, male or female) would resolve both the prosody and the pronunciation limitations natively.</w:t>
      </w:r>
    </w:p>
    <w:p>
      <w:pPr>
        <w:pStyle w:val="ListParagraph"/>
        <w:numPr>
          <w:ilvl w:val="0"/>
          <w:numId w:val="2"/>
        </w:numPr>
        <w:spacing w:after="70" w:line="276"/>
      </w:pPr>
      <w:r>
        <w:rPr>
          <w:rFonts w:ascii="Calibri" w:cs="Calibri" w:eastAsia="Calibri" w:hAnsi="Calibri"/>
          <w:sz w:val="21"/>
          <w:szCs w:val="21"/>
        </w:rPr>
        <w:t xml:space="preserve">No accent or voice selection in the current build, for the reason above.</w:t>
      </w:r>
    </w:p>
    <w:p>
      <w:pPr>
        <w:pStyle w:val="ListParagraph"/>
        <w:numPr>
          <w:ilvl w:val="0"/>
          <w:numId w:val="2"/>
        </w:numPr>
        <w:spacing w:after="70" w:line="276"/>
      </w:pPr>
      <w:r>
        <w:rPr>
          <w:rFonts w:ascii="Calibri" w:cs="Calibri" w:eastAsia="Calibri" w:hAnsi="Calibri"/>
          <w:sz w:val="21"/>
          <w:szCs w:val="21"/>
        </w:rPr>
        <w:t xml:space="preserve">Retrieval quality is not directly measured. We log retrieval latency, but not precision or recall against a labelled relevance set, so retrieval is evaluated only indirectly through the usefulness of the generated answer.</w:t>
      </w:r>
    </w:p>
    <w:p>
      <w:pPr>
        <w:pStyle w:val="ListParagraph"/>
        <w:numPr>
          <w:ilvl w:val="0"/>
          <w:numId w:val="2"/>
        </w:numPr>
        <w:spacing w:after="70" w:line="276"/>
      </w:pPr>
      <w:r>
        <w:rPr>
          <w:rFonts w:ascii="Calibri" w:cs="Calibri" w:eastAsia="Calibri" w:hAnsi="Calibri"/>
          <w:sz w:val="21"/>
          <w:szCs w:val="21"/>
        </w:rPr>
        <w:t xml:space="preserve">Single-language scope. The dataset is multilingual; we filtered to English to keep the fine-tune and the retrieval index consistent.</w:t>
      </w:r>
    </w:p>
    <w:p>
      <w:pPr>
        <w:pStyle w:val="ListParagraph"/>
        <w:numPr>
          <w:ilvl w:val="0"/>
          <w:numId w:val="2"/>
        </w:numPr>
        <w:spacing w:after="70" w:line="276"/>
      </w:pPr>
      <w:r>
        <w:rPr>
          <w:rFonts w:ascii="Calibri" w:cs="Calibri" w:eastAsia="Calibri" w:hAnsi="Calibri"/>
          <w:sz w:val="21"/>
          <w:szCs w:val="21"/>
        </w:rPr>
        <w:t xml:space="preserve">No drift monitoring. Classifier confidence is logged per call but not tracked as a distribution over time, which is what would be needed to detect a change in incoming ticket mix in production.</w:t>
      </w:r>
    </w:p>
    <w:p>
      <w:pPr>
        <w:pStyle w:val="ListParagraph"/>
        <w:numPr>
          <w:ilvl w:val="0"/>
          <w:numId w:val="2"/>
        </w:numPr>
        <w:spacing w:after="70" w:line="276"/>
      </w:pPr>
      <w:r>
        <w:rPr>
          <w:rFonts w:ascii="Calibri" w:cs="Calibri" w:eastAsia="Calibri" w:hAnsi="Calibri"/>
          <w:sz w:val="21"/>
          <w:szCs w:val="21"/>
        </w:rPr>
        <w:t xml:space="preserve">Resource usage is sampled, not persisted. CPU and memory are shown point-in-time on the monitoring page rather than recorded as a history.</w:t>
      </w:r>
    </w:p>
    <w:p>
      <w:pPr>
        <w:pStyle w:val="Heading1"/>
        <w:spacing w:after="140" w:before="320"/>
      </w:pPr>
      <w:r>
        <w:t xml:space="preserve">18. Conclusion</w:t>
      </w:r>
    </w:p>
    <w:p>
      <w:pPr>
        <w:spacing w:after="120" w:before="0" w:line="276"/>
      </w:pPr>
      <w:r>
        <w:rPr>
          <w:rFonts w:ascii="Calibri" w:cs="Calibri" w:eastAsia="Calibri" w:hAnsi="Calibri"/>
          <w:sz w:val="21"/>
          <w:szCs w:val="21"/>
        </w:rPr>
        <w:t xml:space="preserve">OpsMedic implements six cohesive sub-tasks across Natural Language Processing and Speech Recognition, unified by a single objective: turning a spoken or typed IT incident into an evidence-backed, spoken-back resolution. Each sub-task uses the smallest model credible for its role, all but one runs locally and none requires a paid key. A purpose-built LLMOps layer meters eleven dimensions per request in real time, prompt variants are version-stamped so they can be compared, and a classifier fine-tuned on a cited public dataset is switchable at runtime so its benefit is demonstrable inside the live application rather than only in a notebook.</w:t>
      </w:r>
    </w:p>
    <w:p>
      <w:pPr>
        <w:pStyle w:val="Heading1"/>
        <w:spacing w:after="140" w:before="320"/>
      </w:pPr>
      <w:r>
        <w:t xml:space="preserve">19. References</w:t>
      </w:r>
    </w:p>
    <w:p>
      <w:pPr>
        <w:pStyle w:val="ListParagraph"/>
        <w:numPr>
          <w:ilvl w:val="0"/>
          <w:numId w:val="4"/>
        </w:numPr>
        <w:spacing w:after="90" w:line="264"/>
      </w:pPr>
      <w:r>
        <w:rPr>
          <w:rFonts w:ascii="Calibri" w:cs="Calibri" w:eastAsia="Calibri" w:hAnsi="Calibri"/>
          <w:sz w:val="20"/>
          <w:szCs w:val="20"/>
        </w:rPr>
        <w:t xml:space="preserve">Bueck, T. Customer Support Tickets [Dataset]. Hugging Face. DOI: 10.57967/hf/6184. Licence CC-BY-NC-4.0.</w:t>
      </w:r>
    </w:p>
    <w:p>
      <w:pPr>
        <w:pStyle w:val="ListParagraph"/>
        <w:numPr>
          <w:ilvl w:val="0"/>
          <w:numId w:val="4"/>
        </w:numPr>
        <w:spacing w:after="90" w:line="264"/>
      </w:pPr>
      <w:r>
        <w:rPr>
          <w:rFonts w:ascii="Calibri" w:cs="Calibri" w:eastAsia="Calibri" w:hAnsi="Calibri"/>
          <w:sz w:val="20"/>
          <w:szCs w:val="20"/>
        </w:rPr>
        <w:t xml:space="preserve">He, P., Gao, J., &amp; Chen, W. (2021). DeBERTaV3: Improving DeBERTa using ELECTRA-style pre-training with gradient-disentangled embedding sharing. arXiv:2111.09543.</w:t>
      </w:r>
    </w:p>
    <w:p>
      <w:pPr>
        <w:pStyle w:val="ListParagraph"/>
        <w:numPr>
          <w:ilvl w:val="0"/>
          <w:numId w:val="4"/>
        </w:numPr>
        <w:spacing w:after="90" w:line="264"/>
      </w:pPr>
      <w:r>
        <w:rPr>
          <w:rFonts w:ascii="Calibri" w:cs="Calibri" w:eastAsia="Calibri" w:hAnsi="Calibri"/>
          <w:sz w:val="20"/>
          <w:szCs w:val="20"/>
        </w:rPr>
        <w:t xml:space="preserve">Reimers, N., &amp; Gurevych, I. (2019). Sentence-BERT: Sentence Embeddings using Siamese BERT-Networks. EMNLP.</w:t>
      </w:r>
    </w:p>
    <w:p>
      <w:pPr>
        <w:pStyle w:val="ListParagraph"/>
        <w:numPr>
          <w:ilvl w:val="0"/>
          <w:numId w:val="4"/>
        </w:numPr>
        <w:spacing w:after="90" w:line="264"/>
      </w:pPr>
      <w:r>
        <w:rPr>
          <w:rFonts w:ascii="Calibri" w:cs="Calibri" w:eastAsia="Calibri" w:hAnsi="Calibri"/>
          <w:sz w:val="20"/>
          <w:szCs w:val="20"/>
        </w:rPr>
        <w:t xml:space="preserve">Radford, A., Kim, J. W., Xu, T., Brockman, G., McLeavey, C., &amp; Sutskever, I. (2022). Robust Speech Recognition via Large-Scale Weak Supervision (Whisper). arXiv:2212.04356.</w:t>
      </w:r>
    </w:p>
    <w:p>
      <w:pPr>
        <w:pStyle w:val="ListParagraph"/>
        <w:numPr>
          <w:ilvl w:val="0"/>
          <w:numId w:val="4"/>
        </w:numPr>
        <w:spacing w:after="90" w:line="264"/>
      </w:pPr>
      <w:r>
        <w:rPr>
          <w:rFonts w:ascii="Calibri" w:cs="Calibri" w:eastAsia="Calibri" w:hAnsi="Calibri"/>
          <w:sz w:val="20"/>
          <w:szCs w:val="20"/>
        </w:rPr>
        <w:t xml:space="preserve">Lewis, M., et al. (2020). BART: Denoising Sequence-to-Sequence Pre-training for Natural Language Generation, Translation, and Comprehension. ACL.</w:t>
      </w:r>
    </w:p>
    <w:p>
      <w:pPr>
        <w:pStyle w:val="ListParagraph"/>
        <w:numPr>
          <w:ilvl w:val="0"/>
          <w:numId w:val="4"/>
        </w:numPr>
        <w:spacing w:after="90" w:line="264"/>
      </w:pPr>
      <w:r>
        <w:rPr>
          <w:rFonts w:ascii="Calibri" w:cs="Calibri" w:eastAsia="Calibri" w:hAnsi="Calibri"/>
          <w:sz w:val="20"/>
          <w:szCs w:val="20"/>
        </w:rPr>
        <w:t xml:space="preserve">Pratap, V., et al. (2023). Scaling Speech Technology to 1,000+ Languages (MMS). arXiv:2305.13516.</w:t>
      </w:r>
    </w:p>
    <w:p>
      <w:pPr>
        <w:pStyle w:val="ListParagraph"/>
        <w:numPr>
          <w:ilvl w:val="0"/>
          <w:numId w:val="4"/>
        </w:numPr>
        <w:spacing w:after="90" w:line="264"/>
      </w:pPr>
      <w:r>
        <w:rPr>
          <w:rFonts w:ascii="Calibri" w:cs="Calibri" w:eastAsia="Calibri" w:hAnsi="Calibri"/>
          <w:sz w:val="20"/>
          <w:szCs w:val="20"/>
        </w:rPr>
        <w:t xml:space="preserve">Kim, J., Kong, J., &amp; Son, J. (2021). Conditional Variational Autoencoder with Adversarial Learning for End-to-End Text-to-Speech (VITS). ICML.</w:t>
      </w:r>
    </w:p>
    <w:p>
      <w:pPr>
        <w:pStyle w:val="ListParagraph"/>
        <w:numPr>
          <w:ilvl w:val="0"/>
          <w:numId w:val="4"/>
        </w:numPr>
        <w:spacing w:after="90" w:line="264"/>
      </w:pPr>
      <w:r>
        <w:rPr>
          <w:rFonts w:ascii="Calibri" w:cs="Calibri" w:eastAsia="Calibri" w:hAnsi="Calibri"/>
          <w:sz w:val="20"/>
          <w:szCs w:val="20"/>
        </w:rPr>
        <w:t xml:space="preserve">Johnson, J., Douze, M., &amp; Jégou, H. (2019). Billion-scale similarity search with GPUs (FAISS). IEEE Transactions on Big Data.</w:t>
      </w:r>
    </w:p>
    <w:p>
      <w:pPr>
        <w:pStyle w:val="ListParagraph"/>
        <w:numPr>
          <w:ilvl w:val="0"/>
          <w:numId w:val="4"/>
        </w:numPr>
        <w:spacing w:after="90" w:line="264"/>
      </w:pPr>
      <w:r>
        <w:rPr>
          <w:rFonts w:ascii="Calibri" w:cs="Calibri" w:eastAsia="Calibri" w:hAnsi="Calibri"/>
          <w:sz w:val="20"/>
          <w:szCs w:val="20"/>
        </w:rPr>
        <w:t xml:space="preserve">Lewis, P., et al. (2020). Retrieval-Augmented Generation for Knowledge-Intensive NLP Tasks. NeurIPS.</w:t>
      </w:r>
    </w:p>
    <w:p>
      <w:pPr>
        <w:pStyle w:val="ListParagraph"/>
        <w:numPr>
          <w:ilvl w:val="0"/>
          <w:numId w:val="4"/>
        </w:numPr>
        <w:spacing w:after="90" w:line="264"/>
      </w:pPr>
      <w:r>
        <w:rPr>
          <w:rFonts w:ascii="Calibri" w:cs="Calibri" w:eastAsia="Calibri" w:hAnsi="Calibri"/>
          <w:sz w:val="20"/>
          <w:szCs w:val="20"/>
        </w:rPr>
        <w:t xml:space="preserve">Groq. Groq API Documentation — Chat Completions and Streaming. https://console.groq.com/docs</w:t>
      </w:r>
    </w:p>
    <w:p>
      <w:pPr>
        <w:pStyle w:val="ListParagraph"/>
        <w:numPr>
          <w:ilvl w:val="0"/>
          <w:numId w:val="4"/>
        </w:numPr>
        <w:spacing w:after="90" w:line="264"/>
      </w:pPr>
      <w:r>
        <w:rPr>
          <w:rFonts w:ascii="Calibri" w:cs="Calibri" w:eastAsia="Calibri" w:hAnsi="Calibri"/>
          <w:sz w:val="20"/>
          <w:szCs w:val="20"/>
        </w:rPr>
        <w:t xml:space="preserve">Hugging Face. Transformers Documentation. https://huggingface.co/docs/transformers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595959"/>
        <w:sz w:val="17"/>
        <w:szCs w:val="17"/>
      </w:rPr>
      <w:t xml:space="preserve">CCZG506 Assignment II — OpsMedic: GenAI Incident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CCZG506 Assignment II — OpsMedic</dc:title>
  <dc:creator>OpsMedic Group</dc:creator>
  <dc:description>GenAI Incident Copilot for IT Service Desks</dc:description>
  <cp:lastModifiedBy>Un-named</cp:lastModifiedBy>
  <cp:revision>1</cp:revision>
  <dcterms:created xsi:type="dcterms:W3CDTF">2026-07-30T11:38:37.460Z</dcterms:created>
  <dcterms:modified xsi:type="dcterms:W3CDTF">2026-07-30T11:38:37.460Z</dcterms:modified>
</cp:coreProperties>
</file>

<file path=docProps/custom.xml><?xml version="1.0" encoding="utf-8"?>
<Properties xmlns="http://schemas.openxmlformats.org/officeDocument/2006/custom-properties" xmlns:vt="http://schemas.openxmlformats.org/officeDocument/2006/docPropsVTypes"/>
</file>