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Domain-Specific Retrieval-Augmented Generation System for Trade Compliance and Logistics Regulation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globalization of supply chains has introduced unprecedented complexities in international trade compliance, necessitating a paradigm shift in how regulatory frameworks are navigated. Export managers, freight forwarders, and customs brokers operate in an environment where they must continuously interpret and apply a labyrinth of regulations daily. These include the International Chamber of Commerce (ICC) INCOTERMS 2020 rules, localized foreign trade policies, and highly dynamic customs tariff schedules. Misinterpretation of these legally binding parameters frequently results in severe financial penalties, supply chain bottlenecks, demurrage charges, and suboptimal risk allocation between buyers and sellers in cross-border transactions. Traditional methods of manual regulatory lookup—often relying on fragmented PDFs, disparate government portals, and dense handbooks—are increasingly untenable in high-velocity trade environments. The necessity for a sophisticated, automated system to ingest, parse, and accurately retrieve trade compliance intelligence is absolute.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Retrieval-Augmented Generation (RAG) architectures with highly specialized Large Language Models (LLMs) offers a transformative mechanism to address this challenge. By semantically indexing dense, tabular, and legally binding documents, a bespoke RAG system can dynamically generate precise, citation-backed responses to complex trade queries. The architectural formulation of such a system—specifically designed to ingest the Directorate General of Foreign Trade (DGFT) Foreign Trade Policy 2023, the INCOTERMS 2020 handbook, Indian Customs Tariff Schedules, and World Trade Organization (WTO) Trade Policy Reviews—requires rigorous document parsing strategies. Furthermore, it demands high-dimensional vector retrieval using FAISS, structured output constraints via Mistral and LangChain, an intuitive Streamlit frontend, and stringent evaluation metrics via RAGAS to guarantee context precision and hallucination-free generation.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Architecture of Global Supply Chains and Foundational Datasets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an effective RAG knowledge base, the system must first achieve deep semantic comprehension of the foundational texts governing international trade. These texts are not merely informational; they represent the statutory and commercial scaffolding that dictates financial liability, tax obligations, cross-border regulatory compliance, and macroeconomic trade policy. The ingestion pipeline must precisely capture the nuances of each specific dataset.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Dynamics and Legal Taxonomies of INCOTERMS 2020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International Commercial Terms (INCOTERMS), published by the ICC, serve as the universal lexicon for international sales contracts. They explicitly delineate the tasks, costs, and risks associated with the transportation and delivery of goods between buyers and sellers.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2020 revision introduced critical structural modifications to reflect contemporary logistics practices, security-related requirements, and modern multimodal transport realities. A robust retrieval system must accurately differentiate between the eleven rules, which are categorically divided into rules for any mode of transport and rules specifically reserved for sea and inland waterway transport.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seven multimodal rules include Ex Works (EXW), Free Carrier (FCA), Carriage Paid To (CPT), Carriage and Insurance Paid To (CIP), Delivered at Place (DAP), Delivered at Place Unloaded (DPU), and Delivered Duty Paid (DDP).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maritime-specific rules comprise Free Alongside Ship (FAS), Free on Board (FOB), Cost and Freight (CFR), and Cost, Insurance and Freight (CIF).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nuance that the RAG system must capture for accurate query resolution is the distinction between the transfer of cost and the transfer of risk. For instance, under the CFR and CIF rules, the seller fulfills their delivery obligation—and risk transfers to the buyer—when the goods are loaded on board the vessel at the origin port, even though the seller continues to bear the financial cost of freight to the destination port.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system must recognize specific updates in the 2020 iteration, such as the renaming of Delivered at Terminal (DAT) to Delivered at Place Unloaded (DPU) to clarify that delivery can occur at any designated location, not strictly a transport terminal.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Another critical update is the differentiation in default insurance coverage; while CIF maintains the Institute Cargo Clauses (C) baseline, CIP now mandates the higher, all-risk coverage of the Institute Cargo Clauses (A).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LLM correctly interprets these distinctions, the ingested data must reflect the exact responsibility matrices as defined by the ICC.</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INCOTERM (2020)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Transport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Transfer 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Freight Cost Obligation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Insurance Obligation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seller's premises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Handover to buyer's carrier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Sea/Inland Waterway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board the vessel at origin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Sea/Inland Waterway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board the vessel at origin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 (Minimum Cover)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Handover to first carrier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 (All-Risk Cover)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Unloaded at destination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Delivered at destination (cleared)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RAG framework must parse these distinctions flawlessly to output the correct obligation party and risk transfer point when queried by a freight forwarder navigating a disputed liability scenario.</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Foreign Trade Policy 2023 Framework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to international commercial terms, the regulatory environment specific to Indian imports and exports is governed by the Directorate General of Foreign Trade (DGFT) through the Foreign Trade Policy (FTP) 2023. This comprehensive policy outlines the legal framework and trade facilitation mechanisms under the Foreign Trade (Development &amp; Regulation) Act, 1992.</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FTP 2023 is structurally divided into multiple chapters, each governing a specific facet of cross-border trade, tariff exemptions, and export promotion.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RAG system must meticulously index these chapters such that queries regarding specific export benefits or procedural guidelines retrieve the exact policy citation. Chapter 1 establishes the legal framework and trade facilitation guidelines.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Chapter 2 outlines the general provisions regarding imports and exports, noting that trade is generally "Free" unless specifically regulated.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Subsequent chapters dive into highly specialized territory: Chapter 3 covers developing districts as export hubs, Chapter 4 details Duty Exemption Remission Schemes (such as Advance Authorizations), Chapter 5 governs the Export Promotion Capital Goods (EPCG) Scheme, and Chapter 6 outlines the mechanisms for Export Oriented Units (EOUs), Electronics Hardware Technology Parks (EHTPs), and Software Technology Parks (STPs).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a query regarding the conversion provisions of a domestic entity into an EOU must retrieve the specific statutory text indicating that units having an investment of Rs. 50 crores and above in plant and machinery, or exporting Rs. 50 crores and above annually, shall be placed before the Board of Approval (BOA) for a decision, as stipulated in Chapter 6.</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accurate retrieval of this specific numerical threshold and its corresponding policy citation is a core expected deliverable of the trade compliance query interface.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Harmonized System and Customs Tariff Computation Taxonomy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foundational component of the RAG system is the HS Code lookup mode. The Indian Customs Tariff Schedule relies on the Harmonized System of Nomenclature (HSN) developed by the World Customs Organization (WCO). The WCO standardizes product classification up to the 6-digit level globally, ensuring that a product is universally recognized by the same code regardless of the trading nations involved.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to accommodate highly specific domestic classifications, the Indian nomenclature extends this to an 8-digit tariff line level.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hierarchical structure cascades from 21 Sections down to Chapters (2-digit), Headings (4-digit), Subheadings (6-digit), and finally Tariff Lines (8-digit).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the minimum viable product of this system, the ingestion pipeline must capture the top-100 HS code customs tariff entries enriched with metadata. The accurate retrieval of an HS code dictates the subsequent calculation of customs duties, which are mathematically structured and compounded.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component of this taxation structure is the Basic Customs Duty (BCD), a standard tariff rate levied under the Customs Act, 1962.</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Applied sequentially to the BCD is the Social Welfare Surcharge (SWS), which is generally assessed at 10% of the BCD value, functioning effectively as a tax upon a tax.</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Finally, the Integrated Goods and Services Tax (IGST) is levied to ensure tax neutrality with domestic manufacturers, and it is calculated on the aggregate sum of the assessable value of the goods, the BCD, and the SWS.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specific scenarios involving luxury or demerit goods (such as specified motor vehicles or tobacco products), a Compensation Cess is additionally applied on top of the IGST.</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Duty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Calculation Basis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Rate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Basic Customs Duty (BCD)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Assessable Value (CIF)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import tariff for revenue and protection.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Social Welfare Surcharge (SWS)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of BCD 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Funding domestic social welfare schemes.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Integrated GST (IGST)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Assessable Value + BCD + SWS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Domestic tax neutrality.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Compensation 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Assessable Value + BCD + SWS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- 290%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 on luxury or demerit goods.</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capacity of the RAG system to accurately identify the HS code from a natural language product description—and subsequently surface these mathematical components—is foundational to its utility for customs teams estimating landed costs.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Macro-Regulatory Context via WTO Trade Policy Reviews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augment the granular operational data of INCOTERMS and HS Codes, the knowledge base must also ingest country-level trade regulation summaries provided by the World Trade Organization (WTO) Trade Policy Reviews. These reviews offer vital macroeconomic context, detailing the broader trade policies, structural economic shifts, and non-tariff barriers of member nations. When an export manager queries the system regarding potential challenges in entering a specific market, the retrieval of WTO summary data provides a comprehensive overview of quantitative restrictions, state-trading enterprises, and technical barriers to trade that might not be immediately apparent from a mere tariff schedule. This macro-contextual data enriches the RAG system, elevating it from a simple lookup tool to a strategic advisory asset.</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Ingestion and Document Parsing Architectures utilizing PyPDF2 and Python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effectiveness of any RAG pipeline is intrinsically bound to the quality of the data ingestion and parsing processes. Trade documentation poses unique and profound challenges due to its heavy reliance on dense, multi-column tables, complex legal formatting, variable page layouts, and the sheer volume of text. Standardized PDF extraction techniques frequently fail to preserve the semantic relationships required for high-precision vector retrieval.</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 of Linear Extraction with PyPDF2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suggested technology stack mandates the use of Python and PyPDF2 for document handling. When utilizing foundational libraries such as PyPDF2, text extraction operates on a linear basis that fundamentally struggles with document geometry. PyPDF2 extracts text by reading the internal PDF streams sequentially.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highly efficient for continuous narrative prose, this mechanism often results in the flattening of tabular data into incomprehensible, concatenated strings.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instance, an HS code tariff schedule containing spatially separated columns for the tariff item, product description, unit of measurement, and standard duty rate will frequently be extracted as a continuous, jumbled block of text. When this flattened text is subsequently chunked and embedded, the semantic link between a specific 8-digit HS code (e.g., 8525.20.00 for Mobile phones) and its corresponding duty rate is severed, leading to catastrophic hallucination during the generation phase.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PyPDF2 remains highly effective for extracting crucial document metadata, such as page numbers and document properties. Using the PdfReader class, developers can iterate through reader.pages and extract text while simultaneously capturing the page integer.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page number is a critical piece of metadata that must be appended to the extracted text chunks. In a regulatory context, providing an answer without a citation to the specific page and chapter of the DGFT FTP 2023 renders the output legally unusable for a freight forwarder.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Document Structuring and Context-Aware Chunking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limitations of raw text flattening in tabular structures, the Python ingestion script must employ advanced parsing heuristics before passing the text to the embedding model. This involves identifying the textual boundaries of tables within the PDF stream and programmatically transforming them into structured representations, such as Markdown formatting, prior to embedding. By converting a tariff table into a Markdown table, the structural integrity of the data is artificially maintained, allowing the embedding model to capture the contextual relationships between the rows and columns.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table structuring, the sheer volume of the DGFT FTP 2023 and the INCOTERMS 2020 handbook necessitates highly sophisticated chunking algorithms. Standard recursive character text splitting must be heavily augmented with metadata preservation. If a chunk of text regarding "Ex Works" obligations is extracted, it must be tagged with metadata indicating its source document ("INCOTERMS 2020"), section, and specific rule applicability.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when indexing the DGFT policy, retaining header information—such as explicitly tagging chunks with "Chapter 4: Duty Exemption Remission Schemes"—ensures that semantic queries can be forcefully routed or filtered. If a user queries the system about "advance authorizations for duty-free import," the retrieval mechanism can prioritize chunks tagged with Chapter 4 metadata, drastically reducing the search space and minimizing the retrieval of irrelevant, tangential mentions in other chapters.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strategy directly addresses the primary failure mode of RAG systems handling extensive legal texts: the dilution of relevant context by semantically similar but legally distinct clauses.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High-Dimensional Vectorization and FAISS Memory Management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trade documentation is meticulously parsed, structured, and chunked with its associated metadata, the texts must be mapped into a continuous vector space to enable semantic similarity search. This process requires a highly efficient embedding model coupled with a robust vector database architecture utilizing LangChain and FAISS.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Mechanics with Sentence-Transformers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the embedding model fundamentally dictates the retrieval accuracy of the entire pipeline. For domain-specific RAG applications requiring low latency, high semantic density, and offline capability, the sentence-transformers/all-MiniLM-L6-v2 model represents an optimal architectural choice. This model, based on the MiniLM architecture, maps sentences and paragraphs into a 384-dimensional dense vector space. It has been extensively trained on a massive corpus of over a billion training pairs using a contrastive learning objective, ensuring that semantically similar sentences are positioned closely within the high-dimensional vector geometry, regardless of whether they share exact lexical overlap.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processing complex trade queries—which often involve highly specific terminology that may not exactly match the statutory text—the embedding model translates the user's natural language input into this same 384-dimensional space. The system then computes the mathematical distance between the query vector and all document chunk vectors within the knowledge base.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Indexing and Persistence with FAISS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these high-dimensional vector indices, Facebook AI Similarity Search (FAISS) is utilized. FAISS is a library highly optimized for memory-efficient, rapid similarity searches across dense vectors.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a knowledge base comprising the FTP, INCOTERMS, and top 100 HS codes, the dataset size permits the use of exhaustive search indices such as IndexFlatL2, which computes the exact Euclidean (L2) distance between the query vector and every vector in the index to find the nearest neighbors.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requirement for enterprise RAG systems built on LangChain is state persistency. FAISS inherently operates as an in-memory datastore; thus, without explicit serialization, the entire computationally expensive embedding and indexing process must be repeated every time the Python application restarts.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integration of FAISS within the LangChain framework provides native, elegant serialization capabilities. Utilizing the save_local("faiss_index") function exports the vector index and the associated document store—which contains the physical text chunks and their crucial metadata—directly to disk as serialized files.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upon initialization of the Streamlit application, the load_local("faiss_index", embeddings) function deserializes the index back into memory, immediately restoring the system's search capabilities.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persistency layer is crucial for maintaining the operational readiness of the logistics knowledge base without incurring redundant computational overhead. It allows the customs team to query the database instantaneously without waiting for a re-indexing sequence.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LLM Inference and Enforcing Structured Outputs via LangChain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retrieval of relevant policy text via FAISS is only the preliminary phase of the RAG architecture; the system must then synthesize this text into precise, actionable intelligence. In the context of trade compliance, generic, narrative, chatbot-style responses are insufficient and potentially dangerous. The system must output highly specific entities: rule names, obligation parties, risk transfer points, policy citations, and numerical tax rates. To achieve this, the architecture relies on Mistral deployed via Ollama, tightly integrated with LangChain's structured output frameworks.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Sovereignty and Inference with Mistral via Ollama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International trade queries frequently contain proprietary supply chain data, sensitive pricing structures, and confidential routing information. Utilizing proprietary, cloud-based LLMs (such as OpenAI's GPT models) introduces significant data privacy, security, and sovereignty risks, particularly when dealing with government customs documentation. The deployment of open-weight models, such as Mistral, via the Ollama local inference engine fundamentally mitigates these risks by ensuring that all generative computation occurs entirely on-premises or within a secure, isolated environment.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Mistral provides exceptional reasoning and instruction-following capabilities that rival much larger parameter models, while remaining computationally tractable for local deployment on consumer-grade or edge hardware. Using the LangChain ChatOllama wrapper, developers can seamlessly interface with the locally running Mistral instance.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Schema Compliance with Pydantic</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fulfill the expected deliverable of returning the INCOTERMS rule name, obligation party, risk transfer point, and policy citation for each trade query, the generation process must be rigorously constrained. LangChain facilitates this through its structured output capabilities, interfacing seamlessly with the ChatOllama model.</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relying on fragile prompt engineering techniques to coax the LLM into generating properly formatted JSON, the architecture utilizes Pydantic models to define strict, programmatic output schemas.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Python Pydantic class is defined to represent the exact structure of the desired output, incorporating strict field types and descriptions.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INCOTERMS query interface, a Pydantic schema is constructed requiring explicit string fields for the rule name, the party bearing the obligation, the geographical point of risk transfer, and a string field for the exact policy citation or page number.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LangChain's with_structured_output method binds this Pydantic schema directly to the ChatOllama model.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utilizing Ollama, the optimal strategy for ensuring adherence involves setting the method parameter to json_schema, which leverages Ollama's native structured output API to constrain the model's token generation strictly to valid JSON that matches the provided Pydantic specification.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decision completely eliminates output parsing errors and validation exceptions. It ensures that the Streamlit frontend query interface reliably receives a structured dictionary containing the exact compliance parameters requested, completely devoid of conversational filler or hallucinated formatting.</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HS Code Semantic Lookup and Computation Engine via Streamlit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core deliverable of the RAG system is the HS Code lookup mode, deployed through a Python Streamlit user interface. In this mode, a user enters a natural language product description, and the system is required to return the matching HS code, the basic customs duty rate, and the GST (IGST) rate. This functionality requires a highly specialized integration of semantic search, metadata extraction, mathematical logic, and interactive UI design.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Harmonization of Product Descriptions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Indian Customs Tariff Schedule contains over 12,000 distinct tariff lines.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Users in the field rarely query these lines using the exact, archaic nomenclature found in the official schedule. A customs broker might query the system for "smartphones" or "mobile devices," whereas the official schedule refers to them strictly under Heading 8525 as "Mobile phones" or "cellular networks".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RAG system handles this lexical discrepancy by embedding the user's natural language query using the sentence-transformers model and matching it against the vectorized descriptions of the top-100 HS code entries stored in FAISS. Because the embedding model captures deep semantic equivalence rather than mere keyword overlap, the vector for "smartphones" will exhibit a high cosine similarity to the vector for HS code 8525.20, successfully bridging the gap between colloquial commercial language and stringent regulatory taxonomy.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identifying the closest semantic match, the system retrieves the structured metadata associated with that specific tariff line, which was meticulously extracted and mapped during the PyPDF2 parsing phase. This metadata payload contains the exact 8-digit HS Code string, the prescribed Basic Customs Duty (BCD) numerical rate, and the applicable IGST (GST) rate.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Tariff Computations and UI Delivery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base rates are retrieved from the vector store metadata, the RAG architecture can dynamically compute the total landed duty using the standard Indian customs taxation formulas.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Crucially, this mathematical cascade is executed programmatically in standard Python </w:t>
      </w:r>
      <w:r w:rsidDel="00000000" w:rsidR="00000000" w:rsidRPr="00000000">
        <w:rPr>
          <w:rFonts w:ascii="Google Sans" w:cs="Google Sans" w:eastAsia="Google Sans" w:hAnsi="Google Sans"/>
          <w:i w:val="1"/>
          <w:iCs w:val="1"/>
          <w:color w:val="1f1f1f"/>
          <w:rtl w:val="0"/>
        </w:rPr>
        <w:t xml:space="preserve">outside</w:t>
      </w:r>
      <w:r w:rsidDel="00000000" w:rsidR="00000000" w:rsidRPr="00000000">
        <w:rPr>
          <w:rFonts w:ascii="Google Sans" w:cs="Google Sans" w:eastAsia="Google Sans" w:hAnsi="Google Sans"/>
          <w:color w:val="1f1f1f"/>
          <w:rtl w:val="0"/>
        </w:rPr>
        <w:t xml:space="preserve"> the LLM. Large Language Models are notoriously unreliable at arithmetic; attempting to prompt Mistral to calculate compounded percentages introduces a severe risk of mathematical hallucination.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calculation sequence, executed on the structured metadata variables, proceeds as follows: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Assessable Value is typically derived from the Cost, Insurance, and Freight (CIF) value of the imported goods. The Basic Customs Duty (BCD) is calculated directly against this assessable value. The Social Welfare Surcharge (SWS) is then statically levied at 10% on the value of the BCD.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Finally, the Integrated Goods and Services Tax (IGST) is calculated on the aggregate of the Assessable Value, the computed BCD amount, and the computed SWS amount, ensuring that the imported goods are taxed equivalently to domestically produced goods.</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Description 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Retrieved HS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BCD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SWS Rate (on BCD)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IGST 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"Smartphones"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8525.20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"Headphones"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8518.30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"Lithium batteries"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8506.50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these calculations via a deterministic Python function acting on the semantic retrieval output, and wrapping the entire flow within a Streamlit application, the system provides export managers with an interactive, web-based dashboard. The user inputs their query into a text box, the backend orchestrates the LangChain pipeline, and the Streamlit UI renders the final mathematical tariff estimations and statutory text citations cleanly and flawlessly.</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System Evaluation: Optimizing Context Precision via RAGAS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a domain-specific RAG system for legal and logistical compliance necessitates rigorous, programmatic evaluation. Traditional generative text metrics, such as BLEU or ROUGE, are wholly inadequate for assessing factual accuracy and retrieval quality in this domain, as they merely measure n-gram overlap. To fulfill the final project deliverable, the system must be evaluated on 15 trade scenario queries using the Retrieval Augmented Generation Assessment (RAGAS) framework, specifically aiming to achieve a Context Precision score of </w:t>
      </w:r>
      <w:r w:rsidDel="00000000" w:rsidR="00000000" w:rsidRPr="00000000">
        <w:rPr>
          <w:rFonts w:ascii="Google Sans" w:cs="Google Sans" w:eastAsia="Google Sans" w:hAnsi="Google Sans"/>
          <w:color w:val="1f1f1f"/>
        </w:rPr>
        <w:drawing>
          <wp:inline distB="19050" distT="19050" distL="19050" distR="19050">
            <wp:extent cx="555307" cy="239091"/>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5307" cy="239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Formulation of Context Precision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Precision evaluates the signal-to-noise ratio of the retrieval component.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Specifically, it measures whether all the ground-truth relevant document chunks present in the retrieved contexts are ranked at the highest possible positions.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 legal compliance, if a system retrieves the correct policy clause, but it is buried in the fifth chunk while the first four chunks contain irrelevant noise, the local Mistral LLM may suffer from "lost-in-the-middle" syndrome and fail to generate the correct response. Context Precision heavily penalizes such suboptimal ranking.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Precision is calculated mathematically as the mean of the Precision@k for each relevant chunk in the context.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formula is explicitly defined as: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48649"/>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94864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899279" cy="245957"/>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99279" cy="24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as a binary relevance indicator function at rank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(equaling 1 if the chunk at rank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relevant, and 0 otherwise), and Precision@k is defined as the ratio of true positives up to rank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total number of chunks up to rank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2741"/>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77274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metric rigorously ensures that not only is the right information retrieved, but it is prioritized at the top of the context window fed to the LLM.</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RAGAS Evaluation Pipelines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evaluate the system against the 15 predefined trade scenario queries, the RAGAS framework utilizes the ContextPrecision metric, which requires an evaluator LLM to programmatically determine the relevance of the retrieved chunks.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evaluating the system without explicitly defined ground-truth reference contexts, the LLMContextPrecisionWithoutReference class is utilized in Python.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method prompts the evaluator LLM to compare each retrieved context chunk against the generated response and the user input to determine if the chunk was genuinely necessary and relevant for the generation.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Conversely, if a dataset of ground-truth reference contexts is manually curated for the 15 scenarios, the NonLLMContextPrecisionWithReference metric can be employed, offering highly deterministic evaluations using distance measures without incurring the latency and variance of LLM API calls.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Achieving the required Context Precision score of </w:t>
      </w:r>
      <w:r w:rsidDel="00000000" w:rsidR="00000000" w:rsidRPr="00000000">
        <w:rPr>
          <w:rFonts w:ascii="Google Sans" w:cs="Google Sans" w:eastAsia="Google Sans" w:hAnsi="Google Sans"/>
          <w:color w:val="1f1f1f"/>
        </w:rPr>
        <w:drawing>
          <wp:inline distB="19050" distT="19050" distL="19050" distR="19050">
            <wp:extent cx="555307" cy="239091"/>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5307" cy="239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meticulous tuning of the LangChain retrieval pipeline. If initial evaluation scores fall below this threshold, architectural interventions are required. These include implementing metadata-filtered searches within FAISS (e.g., forcing searches for "duty drawbacks" exclusively within chunks tagged with "Chapter 4" of the DGFT policy), refining the PyPDF2 chunking strategy to ensure that tables and legal clauses are not arbitrarily bifurcated, and ensuring that the sentence-transformers embeddings are accurately capturing the nuances of the logistical terminology.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Implications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advanced natural language processing architectures into international trade compliance fundamentally alters the operational dynamics of logistics and supply chain management. The deployment of a sophisticated Retrieval-Augmented Generation system—leveraging FAISS for dense vector indexing, sentence-transformers for deep semantic representation, and Mistral via Ollama for privacy-preserving, structured inference—resolves the historical inefficiencies and extreme risk profiles associated with manual regulatory lookup.</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overcoming the pervasive challenges of parsing complex PDF architectures—specifically the tabular layouts endemic to the Indian Customs Tariff Schedule, WTO Trade Policy Reviews, and the DGFT Foreign Trade Policy—the system guarantees that semantic integrity is preserved from ingestion to retrieval. This preservation is the absolute bedrock upon which high Context Precision is achieved. Furthermore, the capacity to seamlessly transition from querying the obligations of a seller under INCOTERMS 2020 Delivered at Place Unloaded (DPU) rules, to deterministically computing the cascading IGST and Basic Customs Duty of a specific 8-digit HS code based on a natural language product description, provides an unprecedented consolidation of analytical capability for the modern freight forwarder.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strict adherence to structured outputs via Pydantic schemas and LangChain ensures that the intelligence generated by the Mistral model is not merely conversational, but highly deterministic, predictable, and directly integrable into other enterprise resource planning (ERP) systems, customs declaration software, and logistics platforms. Wrapped in an accessible Streamlit user interface, this architecture democratizes access to dense regulatory knowledge. Ultimately, achieving a verified Context Precision of </w:t>
      </w:r>
      <w:r w:rsidDel="00000000" w:rsidR="00000000" w:rsidRPr="00000000">
        <w:rPr>
          <w:rFonts w:ascii="Google Sans" w:cs="Google Sans" w:eastAsia="Google Sans" w:hAnsi="Google Sans"/>
          <w:color w:val="1f1f1f"/>
        </w:rPr>
        <w:drawing>
          <wp:inline distB="19050" distT="19050" distL="19050" distR="19050">
            <wp:extent cx="555307" cy="239091"/>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5307" cy="239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the RAGAS evaluative framework validates the system's robust reliability, mitigating the profound financial and legal risks associated with manual compliance errors, and drastically accelerating the velocity of global trade operations.</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INCOTERMS® RISK TRANSFER CHART - Roanoke Insurance Group, accessed on May 30, 2026, </w:t>
      </w:r>
      <w:hyperlink r:id="rId11">
        <w:r w:rsidDel="00000000" w:rsidR="00000000" w:rsidRPr="00000000">
          <w:rPr>
            <w:rFonts w:ascii="Google Sans" w:cs="Google Sans" w:eastAsia="Google Sans" w:hAnsi="Google Sans"/>
            <w:color w:val="0000ee"/>
            <w:sz w:val="24"/>
            <w:szCs w:val="24"/>
            <w:u w:val="single"/>
            <w:rtl w:val="0"/>
          </w:rPr>
          <w:t xml:space="preserve">https://www.roanokegroup.com/static/750b79ef80e7ef653c2fed1901ea5bac/IncotermsRiskTransfer_Chart.pdf</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INCOTERMS 2020 Rules - Expeditors, accessed on May 30, 2026, </w:t>
      </w:r>
      <w:hyperlink r:id="rId12">
        <w:r w:rsidDel="00000000" w:rsidR="00000000" w:rsidRPr="00000000">
          <w:rPr>
            <w:rFonts w:ascii="Google Sans" w:cs="Google Sans" w:eastAsia="Google Sans" w:hAnsi="Google Sans"/>
            <w:color w:val="0000ee"/>
            <w:sz w:val="24"/>
            <w:szCs w:val="24"/>
            <w:u w:val="single"/>
            <w:rtl w:val="0"/>
          </w:rPr>
          <w:t xml:space="preserve">https://info.expeditors.com/hubfs/Incoterms%202020%20Chart%20with%20table.pdf</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 Your Incoterms - International Trade Administration, accessed on May 30, 2026, </w:t>
      </w:r>
      <w:hyperlink r:id="rId13">
        <w:r w:rsidDel="00000000" w:rsidR="00000000" w:rsidRPr="00000000">
          <w:rPr>
            <w:rFonts w:ascii="Google Sans" w:cs="Google Sans" w:eastAsia="Google Sans" w:hAnsi="Google Sans"/>
            <w:color w:val="0000ee"/>
            <w:sz w:val="24"/>
            <w:szCs w:val="24"/>
            <w:u w:val="single"/>
            <w:rtl w:val="0"/>
          </w:rPr>
          <w:t xml:space="preserve">https://www.trade.gov/know-your-incoterms</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INCOTERMS® 2020 RULES CHART OF RESPONSIBILITY - Haynes International, accessed on May 30, 2026, </w:t>
      </w:r>
      <w:hyperlink r:id="rId14">
        <w:r w:rsidDel="00000000" w:rsidR="00000000" w:rsidRPr="00000000">
          <w:rPr>
            <w:rFonts w:ascii="Google Sans" w:cs="Google Sans" w:eastAsia="Google Sans" w:hAnsi="Google Sans"/>
            <w:color w:val="0000ee"/>
            <w:sz w:val="24"/>
            <w:szCs w:val="24"/>
            <w:u w:val="single"/>
            <w:rtl w:val="0"/>
          </w:rPr>
          <w:t xml:space="preserve">https://haynesintl.com/wp-content/uploads/2024/07/csi34564a4546ba62e18cdfff0000376e70.pdf</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INCOTERMS 2020 - Point of Delivery and Transfer of Risk - BRP, accessed on May 30, 2026, </w:t>
      </w:r>
      <w:hyperlink r:id="rId15">
        <w:r w:rsidDel="00000000" w:rsidR="00000000" w:rsidRPr="00000000">
          <w:rPr>
            <w:rFonts w:ascii="Google Sans" w:cs="Google Sans" w:eastAsia="Google Sans" w:hAnsi="Google Sans"/>
            <w:color w:val="0000ee"/>
            <w:sz w:val="24"/>
            <w:szCs w:val="24"/>
            <w:u w:val="single"/>
            <w:rtl w:val="0"/>
          </w:rPr>
          <w:t xml:space="preserve">https://www.brp.com/content/dam/connectedassets/brp-corporate/images/website/Incoterms%202020.pdf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Incoterms® 2020 - ICC - International Chamber of Commerce, accessed on May 30, 2026, </w:t>
      </w:r>
      <w:hyperlink r:id="rId16">
        <w:r w:rsidDel="00000000" w:rsidR="00000000" w:rsidRPr="00000000">
          <w:rPr>
            <w:rFonts w:ascii="Google Sans" w:cs="Google Sans" w:eastAsia="Google Sans" w:hAnsi="Google Sans"/>
            <w:color w:val="0000ee"/>
            <w:sz w:val="24"/>
            <w:szCs w:val="24"/>
            <w:u w:val="single"/>
            <w:rtl w:val="0"/>
          </w:rPr>
          <w:t xml:space="preserve">https://iccwbo.org/business-solutions/incoterms-rules/incoterms-2020/</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Incoterms 2020: Our Handy Chart of Responsibilities of Parties | Sheppard, accessed on May 30, 2026, </w:t>
      </w:r>
      <w:hyperlink r:id="rId17">
        <w:r w:rsidDel="00000000" w:rsidR="00000000" w:rsidRPr="00000000">
          <w:rPr>
            <w:rFonts w:ascii="Google Sans" w:cs="Google Sans" w:eastAsia="Google Sans" w:hAnsi="Google Sans"/>
            <w:color w:val="0000ee"/>
            <w:sz w:val="24"/>
            <w:szCs w:val="24"/>
            <w:u w:val="single"/>
            <w:rtl w:val="0"/>
          </w:rPr>
          <w:t xml:space="preserve">https://www.sheppard.com/insights/blogs/incoterms-2020</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Trade Policy - 2023 - Chemexcil, accessed on May 30, 2026, </w:t>
      </w:r>
      <w:hyperlink r:id="rId18">
        <w:r w:rsidDel="00000000" w:rsidR="00000000" w:rsidRPr="00000000">
          <w:rPr>
            <w:rFonts w:ascii="Google Sans" w:cs="Google Sans" w:eastAsia="Google Sans" w:hAnsi="Google Sans"/>
            <w:color w:val="0000ee"/>
            <w:sz w:val="24"/>
            <w:szCs w:val="24"/>
            <w:u w:val="single"/>
            <w:rtl w:val="0"/>
          </w:rPr>
          <w:t xml:space="preserve">https://chemexcil.in/uploads/files/FTP2023.pdf</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 Policy - Directorate General of Foreign Trade | Ministry of Commerce and Industry | Government of India, accessed on May 30, 2026, </w:t>
      </w:r>
      <w:hyperlink r:id="rId19">
        <w:r w:rsidDel="00000000" w:rsidR="00000000" w:rsidRPr="00000000">
          <w:rPr>
            <w:rFonts w:ascii="Google Sans" w:cs="Google Sans" w:eastAsia="Google Sans" w:hAnsi="Google Sans"/>
            <w:color w:val="0000ee"/>
            <w:sz w:val="24"/>
            <w:szCs w:val="24"/>
            <w:u w:val="single"/>
            <w:rtl w:val="0"/>
          </w:rPr>
          <w:t xml:space="preserve">https://www.dgft.gov.in/CP/?opt=ft-policy</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 DGFT, accessed on May 30, 2026, </w:t>
      </w:r>
      <w:hyperlink r:id="rId20">
        <w:r w:rsidDel="00000000" w:rsidR="00000000" w:rsidRPr="00000000">
          <w:rPr>
            <w:rFonts w:ascii="Google Sans" w:cs="Google Sans" w:eastAsia="Google Sans" w:hAnsi="Google Sans"/>
            <w:color w:val="0000ee"/>
            <w:sz w:val="24"/>
            <w:szCs w:val="24"/>
            <w:u w:val="single"/>
            <w:rtl w:val="0"/>
          </w:rPr>
          <w:t xml:space="preserve">https://content.dgft.gov.in/Website/dgftprod/4f665d2f-20cc-4887-ae6a-5ec912bc0d44/FTP2023_Chapter02.pdf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6 - DGFT, accessed on May 30, 2026, </w:t>
      </w:r>
      <w:hyperlink r:id="rId21">
        <w:r w:rsidDel="00000000" w:rsidR="00000000" w:rsidRPr="00000000">
          <w:rPr>
            <w:rFonts w:ascii="Google Sans" w:cs="Google Sans" w:eastAsia="Google Sans" w:hAnsi="Google Sans"/>
            <w:color w:val="0000ee"/>
            <w:sz w:val="24"/>
            <w:szCs w:val="24"/>
            <w:u w:val="single"/>
            <w:rtl w:val="0"/>
          </w:rPr>
          <w:t xml:space="preserve">https://content.dgft.gov.in/Website/dgftprod/6341c956-d75d-425a-8213-7ae4f4c8930d/Chapter%206%20FTP%202023.pdf</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of Harmonized System of Nomenclature (HSN) Codes - DPIIT, accessed on May 30, 2026, </w:t>
      </w:r>
      <w:hyperlink r:id="rId22">
        <w:r w:rsidDel="00000000" w:rsidR="00000000" w:rsidRPr="00000000">
          <w:rPr>
            <w:rFonts w:ascii="Google Sans" w:cs="Google Sans" w:eastAsia="Google Sans" w:hAnsi="Google Sans"/>
            <w:color w:val="0000ee"/>
            <w:sz w:val="24"/>
            <w:szCs w:val="24"/>
            <w:u w:val="single"/>
            <w:rtl w:val="0"/>
          </w:rPr>
          <w:t xml:space="preserve">https://www.dpiit.gov.in/static/uploads/2025/12/aa547e2ea8a7d7ddd98325a155ad4549.pdf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Harmonized System (HS) Codes - International Trade Administration, accessed on May 30, 2026, </w:t>
      </w:r>
      <w:hyperlink r:id="rId23">
        <w:r w:rsidDel="00000000" w:rsidR="00000000" w:rsidRPr="00000000">
          <w:rPr>
            <w:rFonts w:ascii="Google Sans" w:cs="Google Sans" w:eastAsia="Google Sans" w:hAnsi="Google Sans"/>
            <w:color w:val="0000ee"/>
            <w:sz w:val="24"/>
            <w:szCs w:val="24"/>
            <w:u w:val="single"/>
            <w:rtl w:val="0"/>
          </w:rPr>
          <w:t xml:space="preserve">https://www.trade.gov/harmonized-system-hs-codes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Customs Duty in India – Import/Export Tariffs, Valuation &amp; Procedures - Nexdigm, accessed on May 30, 2026, </w:t>
      </w:r>
      <w:hyperlink r:id="rId24">
        <w:r w:rsidDel="00000000" w:rsidR="00000000" w:rsidRPr="00000000">
          <w:rPr>
            <w:rFonts w:ascii="Google Sans" w:cs="Google Sans" w:eastAsia="Google Sans" w:hAnsi="Google Sans"/>
            <w:color w:val="0000ee"/>
            <w:sz w:val="24"/>
            <w:szCs w:val="24"/>
            <w:u w:val="single"/>
            <w:rtl w:val="0"/>
          </w:rPr>
          <w:t xml:space="preserve">https://www.nexdigm.com/doing-business-in-india/customs-duty.php</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dojstru1.pdf - India Budget, accessed on May 30, 2026, </w:t>
      </w:r>
      <w:hyperlink r:id="rId25">
        <w:r w:rsidDel="00000000" w:rsidR="00000000" w:rsidRPr="00000000">
          <w:rPr>
            <w:rFonts w:ascii="Google Sans" w:cs="Google Sans" w:eastAsia="Google Sans" w:hAnsi="Google Sans"/>
            <w:color w:val="0000ee"/>
            <w:sz w:val="24"/>
            <w:szCs w:val="24"/>
            <w:u w:val="single"/>
            <w:rtl w:val="0"/>
          </w:rPr>
          <w:t xml:space="preserve">https://www.indiabudget.gov.in/doc/cen/dojstru1.pdf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duty calculator in India - Wise, accessed on May 30, 2026, </w:t>
      </w:r>
      <w:hyperlink r:id="rId26">
        <w:r w:rsidDel="00000000" w:rsidR="00000000" w:rsidRPr="00000000">
          <w:rPr>
            <w:rFonts w:ascii="Google Sans" w:cs="Google Sans" w:eastAsia="Google Sans" w:hAnsi="Google Sans"/>
            <w:color w:val="0000ee"/>
            <w:sz w:val="24"/>
            <w:szCs w:val="24"/>
            <w:u w:val="single"/>
            <w:rtl w:val="0"/>
          </w:rPr>
          <w:t xml:space="preserve">https://wise.com/in/import-duty/calculator</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Customs Duty and Import-Export Taxes in India - India Guide | Doing Business in India, accessed on May 30, 2026, </w:t>
      </w:r>
      <w:hyperlink r:id="rId27">
        <w:r w:rsidDel="00000000" w:rsidR="00000000" w:rsidRPr="00000000">
          <w:rPr>
            <w:rFonts w:ascii="Google Sans" w:cs="Google Sans" w:eastAsia="Google Sans" w:hAnsi="Google Sans"/>
            <w:color w:val="0000ee"/>
            <w:sz w:val="24"/>
            <w:szCs w:val="24"/>
            <w:u w:val="single"/>
            <w:rtl w:val="0"/>
          </w:rPr>
          <w:t xml:space="preserve">https://www.india-briefing.com/doing-business-guide/india/taxation-and-accounting/customs-duty-and-import-export-taxes-in-india</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Calculation of Import Duty in India — Formula, Online Tools and Exemptions, accessed on May 30, 2026, </w:t>
      </w:r>
      <w:hyperlink r:id="rId28">
        <w:r w:rsidDel="00000000" w:rsidR="00000000" w:rsidRPr="00000000">
          <w:rPr>
            <w:rFonts w:ascii="Google Sans" w:cs="Google Sans" w:eastAsia="Google Sans" w:hAnsi="Google Sans"/>
            <w:color w:val="0000ee"/>
            <w:sz w:val="24"/>
            <w:szCs w:val="24"/>
            <w:u w:val="single"/>
            <w:rtl w:val="0"/>
          </w:rPr>
          <w:t xml:space="preserve">https://www.investindia.gov.in/blogs/calculation-import-duty-india-formula-online-tools-and-exemptions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 Text from a PDF — PyPDF2 documentation - Read the Docs, accessed on May 30, 2026, </w:t>
      </w:r>
      <w:hyperlink r:id="rId29">
        <w:r w:rsidDel="00000000" w:rsidR="00000000" w:rsidRPr="00000000">
          <w:rPr>
            <w:rFonts w:ascii="Google Sans" w:cs="Google Sans" w:eastAsia="Google Sans" w:hAnsi="Google Sans"/>
            <w:color w:val="0000ee"/>
            <w:sz w:val="24"/>
            <w:szCs w:val="24"/>
            <w:u w:val="single"/>
            <w:rtl w:val="0"/>
          </w:rPr>
          <w:t xml:space="preserve">https://pypdf2.readthedocs.io/en/3.x/user/extract-text.html</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 Text from a PDF — pypdf 6.12.2 documentation - Read the Docs, accessed on May 30, 2026, </w:t>
      </w:r>
      <w:hyperlink r:id="rId30">
        <w:r w:rsidDel="00000000" w:rsidR="00000000" w:rsidRPr="00000000">
          <w:rPr>
            <w:rFonts w:ascii="Google Sans" w:cs="Google Sans" w:eastAsia="Google Sans" w:hAnsi="Google Sans"/>
            <w:color w:val="0000ee"/>
            <w:sz w:val="24"/>
            <w:szCs w:val="24"/>
            <w:u w:val="single"/>
            <w:rtl w:val="0"/>
          </w:rPr>
          <w:t xml:space="preserve">https://pypdf.readthedocs.io/en/stable/user/extract-text.html</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Harmonized System codes of items sent frequently by post - India Post, accessed on May 30, 2026, </w:t>
      </w:r>
      <w:hyperlink r:id="rId31">
        <w:r w:rsidDel="00000000" w:rsidR="00000000" w:rsidRPr="00000000">
          <w:rPr>
            <w:rFonts w:ascii="Google Sans" w:cs="Google Sans" w:eastAsia="Google Sans" w:hAnsi="Google Sans"/>
            <w:color w:val="0000ee"/>
            <w:sz w:val="24"/>
            <w:szCs w:val="24"/>
            <w:u w:val="single"/>
            <w:rtl w:val="0"/>
          </w:rPr>
          <w:t xml:space="preserve">https://www.indiapost.gov.in/documents/offerings/prohibited_items/List_of_Harmonized_System_Codes.pdf</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parsing for RAG is still a mess in 2026. What's your current setup? - Reddit, accessed on May 30, 2026, </w:t>
      </w:r>
      <w:hyperlink r:id="rId32">
        <w:r w:rsidDel="00000000" w:rsidR="00000000" w:rsidRPr="00000000">
          <w:rPr>
            <w:rFonts w:ascii="Google Sans" w:cs="Google Sans" w:eastAsia="Google Sans" w:hAnsi="Google Sans"/>
            <w:color w:val="0000ee"/>
            <w:sz w:val="24"/>
            <w:szCs w:val="24"/>
            <w:u w:val="single"/>
            <w:rtl w:val="0"/>
          </w:rPr>
          <w:t xml:space="preserve">https://www.reddit.com/r/LangChain/comments/1syu7vg/pdf_parsing_for_rag_is_still_a_mess_in_2026_whats/</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we get metadata information like pdf file page number etc · Issue #226 · eyurtsev/kor - GitHub, accessed on May 30, 2026, </w:t>
      </w:r>
      <w:hyperlink r:id="rId33">
        <w:r w:rsidDel="00000000" w:rsidR="00000000" w:rsidRPr="00000000">
          <w:rPr>
            <w:rFonts w:ascii="Google Sans" w:cs="Google Sans" w:eastAsia="Google Sans" w:hAnsi="Google Sans"/>
            <w:color w:val="0000ee"/>
            <w:sz w:val="24"/>
            <w:szCs w:val="24"/>
            <w:u w:val="single"/>
            <w:rtl w:val="0"/>
          </w:rPr>
          <w:t xml:space="preserve">https://github.com/eyurtsev/kor/issues/226</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extract proper page number of a pdf using python - Stack Overflow, accessed on May 30,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https://stackoverflow.com/questions/74872895/how-to-extract-proper-page-number-of-a-pdf-using-python</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Simple RAG System with LangChain, FAISS, and Ollama (Mistral Model) | by Anil Goyal | Medium, accessed on May 30, 2026, </w:t>
      </w:r>
      <w:hyperlink r:id="rId35">
        <w:r w:rsidDel="00000000" w:rsidR="00000000" w:rsidRPr="00000000">
          <w:rPr>
            <w:rFonts w:ascii="Google Sans" w:cs="Google Sans" w:eastAsia="Google Sans" w:hAnsi="Google Sans"/>
            <w:color w:val="0000ee"/>
            <w:sz w:val="24"/>
            <w:szCs w:val="24"/>
            <w:u w:val="single"/>
            <w:rtl w:val="0"/>
          </w:rPr>
          <w:t xml:space="preserve">https://medium.com/@anil.goyal0057/building-a-simple-rag-system-with-langchain-faiss-and-ollama-mistral-model-822b3245e576</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FAISS — LangChain 0.0.149 - Read the Docs, accessed on May 30, 2026, </w:t>
      </w:r>
      <w:hyperlink r:id="rId36">
        <w:r w:rsidDel="00000000" w:rsidR="00000000" w:rsidRPr="00000000">
          <w:rPr>
            <w:rFonts w:ascii="Google Sans" w:cs="Google Sans" w:eastAsia="Google Sans" w:hAnsi="Google Sans"/>
            <w:color w:val="0000ee"/>
            <w:sz w:val="24"/>
            <w:szCs w:val="24"/>
            <w:u w:val="single"/>
            <w:rtl w:val="0"/>
          </w:rPr>
          <w:t xml:space="preserve">https://lagnchain.readthedocs.io/en/latest/modules/indexes/vectorstores/examples/faiss.html</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Ollama's documentation, accessed on May 30, 2026, </w:t>
      </w:r>
      <w:hyperlink r:id="rId37">
        <w:r w:rsidDel="00000000" w:rsidR="00000000" w:rsidRPr="00000000">
          <w:rPr>
            <w:rFonts w:ascii="Google Sans" w:cs="Google Sans" w:eastAsia="Google Sans" w:hAnsi="Google Sans"/>
            <w:color w:val="0000ee"/>
            <w:sz w:val="24"/>
            <w:szCs w:val="24"/>
            <w:u w:val="single"/>
            <w:rtl w:val="0"/>
          </w:rPr>
          <w:t xml:space="preserve">https://docs.ollama.com/capabilities/structured-outputs</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ChatOllama | langchain_ollama - LangChain Reference Docs, accessed on May 30, 2026, </w:t>
      </w:r>
      <w:hyperlink r:id="rId38">
        <w:r w:rsidDel="00000000" w:rsidR="00000000" w:rsidRPr="00000000">
          <w:rPr>
            <w:rFonts w:ascii="Google Sans" w:cs="Google Sans" w:eastAsia="Google Sans" w:hAnsi="Google Sans"/>
            <w:color w:val="0000ee"/>
            <w:sz w:val="24"/>
            <w:szCs w:val="24"/>
            <w:u w:val="single"/>
            <w:rtl w:val="0"/>
          </w:rPr>
          <w:t xml:space="preserve">https://reference.langchain.com/python/langchain-ollama/chat_models/ChatOllama</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langchain-tutorial/13-ollama-chat.py at main - GitHub, accessed on May 30, 2026, </w:t>
      </w:r>
      <w:hyperlink r:id="rId39">
        <w:r w:rsidDel="00000000" w:rsidR="00000000" w:rsidRPr="00000000">
          <w:rPr>
            <w:rFonts w:ascii="Google Sans" w:cs="Google Sans" w:eastAsia="Google Sans" w:hAnsi="Google Sans"/>
            <w:color w:val="0000ee"/>
            <w:sz w:val="24"/>
            <w:szCs w:val="24"/>
            <w:u w:val="single"/>
            <w:rtl w:val="0"/>
          </w:rPr>
          <w:t xml:space="preserve">https://github.com/ghif/langchain-tutorial/blob/main/13-ollama-chat.py</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Simple Chatbot App Using Ollama and LangChain, Integrated with PostHog-LLM for Monitoring | by Afilipe | Medium, accessed on May 30, 2026, </w:t>
      </w:r>
      <w:hyperlink r:id="rId40">
        <w:r w:rsidDel="00000000" w:rsidR="00000000" w:rsidRPr="00000000">
          <w:rPr>
            <w:rFonts w:ascii="Google Sans" w:cs="Google Sans" w:eastAsia="Google Sans" w:hAnsi="Google Sans"/>
            <w:color w:val="0000ee"/>
            <w:sz w:val="24"/>
            <w:szCs w:val="24"/>
            <w:u w:val="single"/>
            <w:rtl w:val="0"/>
          </w:rPr>
          <w:t xml:space="preserve">https://medium.com/@afilipe362/building-a-simple-chatbot-app-using-ollama-and-langchain-integrated-with-posthog-llm-for-7f3c1b6d2997</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with_structured_output | langchain_ollama | LangChain Reference, accessed on May 30, 2026, </w:t>
      </w:r>
      <w:hyperlink r:id="rId41">
        <w:r w:rsidDel="00000000" w:rsidR="00000000" w:rsidRPr="00000000">
          <w:rPr>
            <w:rFonts w:ascii="Google Sans" w:cs="Google Sans" w:eastAsia="Google Sans" w:hAnsi="Google Sans"/>
            <w:color w:val="0000ee"/>
            <w:sz w:val="24"/>
            <w:szCs w:val="24"/>
            <w:u w:val="single"/>
            <w:rtl w:val="0"/>
          </w:rPr>
          <w:t xml:space="preserve">https://reference.langchain.com/python/langchain-ollama/chat_models/ChatOllama/with_structured_output</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 - Docs by LangChain, accessed on May 30, 2026, </w:t>
      </w:r>
      <w:hyperlink r:id="rId42">
        <w:r w:rsidDel="00000000" w:rsidR="00000000" w:rsidRPr="00000000">
          <w:rPr>
            <w:rFonts w:ascii="Google Sans" w:cs="Google Sans" w:eastAsia="Google Sans" w:hAnsi="Google Sans"/>
            <w:color w:val="0000ee"/>
            <w:sz w:val="24"/>
            <w:szCs w:val="24"/>
            <w:u w:val="single"/>
            <w:rtl w:val="0"/>
          </w:rPr>
          <w:t xml:space="preserve">https://docs.langchain.com/oss/python/langchain/structured-output</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Output LLM with LangChain and Ollama Locally | by It's-phanith, accessed on May 30, 2026, </w:t>
      </w:r>
      <w:hyperlink r:id="rId43">
        <w:r w:rsidDel="00000000" w:rsidR="00000000" w:rsidRPr="00000000">
          <w:rPr>
            <w:rFonts w:ascii="Google Sans" w:cs="Google Sans" w:eastAsia="Google Sans" w:hAnsi="Google Sans"/>
            <w:color w:val="0000ee"/>
            <w:sz w:val="24"/>
            <w:szCs w:val="24"/>
            <w:u w:val="single"/>
            <w:rtl w:val="0"/>
          </w:rPr>
          <w:t xml:space="preserve">https://itsphanith.medium.com/data-extraction-with-langchain-and-ollama-locally-6a49efdee8fa</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 langchain + structured output - Reddit, accessed on May 30, 2026, </w:t>
      </w:r>
      <w:hyperlink r:id="rId44">
        <w:r w:rsidDel="00000000" w:rsidR="00000000" w:rsidRPr="00000000">
          <w:rPr>
            <w:rFonts w:ascii="Google Sans" w:cs="Google Sans" w:eastAsia="Google Sans" w:hAnsi="Google Sans"/>
            <w:color w:val="0000ee"/>
            <w:sz w:val="24"/>
            <w:szCs w:val="24"/>
            <w:u w:val="single"/>
            <w:rtl w:val="0"/>
          </w:rPr>
          <w:t xml:space="preserve">https://www.reddit.com/r/LangChain/comments/1i85c25/ollama_langchain_structured_output/</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better RAG responses with Ragas - Redis, accessed on May 30, 2026, </w:t>
      </w:r>
      <w:hyperlink r:id="rId45">
        <w:r w:rsidDel="00000000" w:rsidR="00000000" w:rsidRPr="00000000">
          <w:rPr>
            <w:rFonts w:ascii="Google Sans" w:cs="Google Sans" w:eastAsia="Google Sans" w:hAnsi="Google Sans"/>
            <w:color w:val="0000ee"/>
            <w:sz w:val="24"/>
            <w:szCs w:val="24"/>
            <w:u w:val="single"/>
            <w:rtl w:val="0"/>
          </w:rPr>
          <w:t xml:space="preserve">https://redis.io/blog/get-better-rag-responses-with-ragas/</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available metrics - Ragas, accessed on May 30, 2026, </w:t>
      </w:r>
      <w:hyperlink r:id="rId46">
        <w:r w:rsidDel="00000000" w:rsidR="00000000" w:rsidRPr="00000000">
          <w:rPr>
            <w:rFonts w:ascii="Google Sans" w:cs="Google Sans" w:eastAsia="Google Sans" w:hAnsi="Google Sans"/>
            <w:color w:val="0000ee"/>
            <w:sz w:val="24"/>
            <w:szCs w:val="24"/>
            <w:u w:val="single"/>
            <w:rtl w:val="0"/>
          </w:rPr>
          <w:t xml:space="preserve">https://docs.ragas.io/en/stable/concepts/metrics/available_metrics/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Precision in RAG: Why It Matters and How to Measure It | by Ritesh Modi | Medium, accessed on May 30, 2026, </w:t>
      </w:r>
      <w:hyperlink r:id="rId47">
        <w:r w:rsidDel="00000000" w:rsidR="00000000" w:rsidRPr="00000000">
          <w:rPr>
            <w:rFonts w:ascii="Google Sans" w:cs="Google Sans" w:eastAsia="Google Sans" w:hAnsi="Google Sans"/>
            <w:color w:val="0000ee"/>
            <w:sz w:val="24"/>
            <w:szCs w:val="24"/>
            <w:u w:val="single"/>
            <w:rtl w:val="0"/>
          </w:rPr>
          <w:t xml:space="preserve">https://medium.com/@scorchsp1/context-precision-in-rag-why-it-matters-and-how-to-measure-it-653c14b6605a</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May 30, 2026, </w:t>
      </w:r>
      <w:hyperlink r:id="rId48">
        <w:r w:rsidDel="00000000" w:rsidR="00000000" w:rsidRPr="00000000">
          <w:rPr>
            <w:rFonts w:ascii="Google Sans" w:cs="Google Sans" w:eastAsia="Google Sans" w:hAnsi="Google Sans"/>
            <w:color w:val="0000ee"/>
            <w:sz w:val="24"/>
            <w:szCs w:val="24"/>
            <w:u w:val="single"/>
            <w:rtl w:val="0"/>
          </w:rPr>
          <w:t xml:space="preserve">https://docs.ragas.io/en/v0.3.1/concepts/metrics/available_metrics/context_precision/#:~:text=Context%20Precision%20is%20a%20metric,of%20chunks%20at%20rank%20k.</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Precision - Ragas, accessed on May 30, 2026, </w:t>
      </w:r>
      <w:hyperlink r:id="rId49">
        <w:r w:rsidDel="00000000" w:rsidR="00000000" w:rsidRPr="00000000">
          <w:rPr>
            <w:rFonts w:ascii="Google Sans" w:cs="Google Sans" w:eastAsia="Google Sans" w:hAnsi="Google Sans"/>
            <w:color w:val="0000ee"/>
            <w:sz w:val="24"/>
            <w:szCs w:val="24"/>
            <w:u w:val="single"/>
            <w:rtl w:val="0"/>
          </w:rPr>
          <w:t xml:space="preserve">https://docs.ragas.io/en/v0.1.21/concepts/metrics/context_precision.html</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Precision - Ragas, accessed on May 30, 2026, </w:t>
      </w:r>
      <w:hyperlink r:id="rId50">
        <w:r w:rsidDel="00000000" w:rsidR="00000000" w:rsidRPr="00000000">
          <w:rPr>
            <w:rFonts w:ascii="Google Sans" w:cs="Google Sans" w:eastAsia="Google Sans" w:hAnsi="Google Sans"/>
            <w:color w:val="0000ee"/>
            <w:sz w:val="24"/>
            <w:szCs w:val="24"/>
            <w:u w:val="single"/>
            <w:rtl w:val="0"/>
          </w:rPr>
          <w:t xml:space="preserve">https://docs.ragas.io/en/stable/concepts/metrics/available_metrics/context_precision/</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Precision - Ragas, accessed on May 30, 2026, </w:t>
      </w:r>
      <w:hyperlink r:id="rId51">
        <w:r w:rsidDel="00000000" w:rsidR="00000000" w:rsidRPr="00000000">
          <w:rPr>
            <w:rFonts w:ascii="Google Sans" w:cs="Google Sans" w:eastAsia="Google Sans" w:hAnsi="Google Sans"/>
            <w:color w:val="0000ee"/>
            <w:sz w:val="24"/>
            <w:szCs w:val="24"/>
            <w:u w:val="single"/>
            <w:rtl w:val="0"/>
          </w:rPr>
          <w:t xml:space="preserve">https://docs.ragas.io/en/v0.3.1/concepts/metrics/available_metrics/context_precision/</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Evaluations with Vertex AI models - Ragas, accessed on May 30, 2026, </w:t>
      </w:r>
      <w:hyperlink r:id="rId52">
        <w:r w:rsidDel="00000000" w:rsidR="00000000" w:rsidRPr="00000000">
          <w:rPr>
            <w:rFonts w:ascii="Google Sans" w:cs="Google Sans" w:eastAsia="Google Sans" w:hAnsi="Google Sans"/>
            <w:color w:val="0000ee"/>
            <w:sz w:val="24"/>
            <w:szCs w:val="24"/>
            <w:u w:val="single"/>
            <w:rtl w:val="0"/>
          </w:rPr>
          <w:t xml:space="preserve">https://docs.ragas.io/en/stable/howtos/applications/vertexai_x_ragas/</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Precision - Ragas, accessed on May 30, 2026, </w:t>
      </w:r>
      <w:hyperlink r:id="rId53">
        <w:r w:rsidDel="00000000" w:rsidR="00000000" w:rsidRPr="00000000">
          <w:rPr>
            <w:rFonts w:ascii="Google Sans" w:cs="Google Sans" w:eastAsia="Google Sans" w:hAnsi="Google Sans"/>
            <w:color w:val="0000ee"/>
            <w:sz w:val="24"/>
            <w:szCs w:val="24"/>
            <w:u w:val="single"/>
            <w:rtl w:val="0"/>
          </w:rPr>
          <w:t xml:space="preserve">https://docs.ragas.io/en/latest/concepts/metrics/available_metrics/context_precision/</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include in context precision/recall for RAG LLM evaluation - Stack Overflow, accessed on May 30, 2026, </w:t>
      </w:r>
      <w:hyperlink r:id="rId54">
        <w:r w:rsidDel="00000000" w:rsidR="00000000" w:rsidRPr="00000000">
          <w:rPr>
            <w:rFonts w:ascii="Google Sans" w:cs="Google Sans" w:eastAsia="Google Sans" w:hAnsi="Google Sans"/>
            <w:color w:val="0000ee"/>
            <w:sz w:val="24"/>
            <w:szCs w:val="24"/>
            <w:u w:val="single"/>
            <w:rtl w:val="0"/>
          </w:rPr>
          <w:t xml:space="preserve">https://stackoverflow.com/questions/79488543/what-to-include-in-context-precision-recall-for-rag-llm-evaluation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afilipe362/building-a-simple-chatbot-app-using-ollama-and-langchain-integrated-with-posthog-llm-for-7f3c1b6d2997" TargetMode="External"/><Relationship Id="rId42" Type="http://schemas.openxmlformats.org/officeDocument/2006/relationships/hyperlink" Target="https://docs.langchain.com/oss/python/langchain/structured-output" TargetMode="External"/><Relationship Id="rId41" Type="http://schemas.openxmlformats.org/officeDocument/2006/relationships/hyperlink" Target="https://reference.langchain.com/python/langchain-ollama/chat_models/ChatOllama/with_structured_output" TargetMode="External"/><Relationship Id="rId44" Type="http://schemas.openxmlformats.org/officeDocument/2006/relationships/hyperlink" Target="https://www.reddit.com/r/LangChain/comments/1i85c25/ollama_langchain_structured_output/" TargetMode="External"/><Relationship Id="rId43" Type="http://schemas.openxmlformats.org/officeDocument/2006/relationships/hyperlink" Target="https://itsphanith.medium.com/data-extraction-with-langchain-and-ollama-locally-6a49efdee8fa" TargetMode="External"/><Relationship Id="rId46" Type="http://schemas.openxmlformats.org/officeDocument/2006/relationships/hyperlink" Target="https://docs.ragas.io/en/stable/concepts/metrics/available_metrics/" TargetMode="External"/><Relationship Id="rId45" Type="http://schemas.openxmlformats.org/officeDocument/2006/relationships/hyperlink" Target="https://redis.io/blog/get-better-rag-responses-with-rag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docs.ragas.io/en/v0.3.1/concepts/metrics/available_metrics/context_precision/#:~:text=Context%20Precision%20is%20a%20metric,of%20chunks%20at%20rank%20k." TargetMode="External"/><Relationship Id="rId47" Type="http://schemas.openxmlformats.org/officeDocument/2006/relationships/hyperlink" Target="https://medium.com/@scorchsp1/context-precision-in-rag-why-it-matters-and-how-to-measure-it-653c14b6605a" TargetMode="External"/><Relationship Id="rId49" Type="http://schemas.openxmlformats.org/officeDocument/2006/relationships/hyperlink" Target="https://docs.ragas.io/en/v0.1.21/concepts/metrics/context_precision.htm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hyperlink" Target="https://www.indiapost.gov.in/documents/offerings/prohibited_items/List_of_Harmonized_System_Codes.pdf" TargetMode="External"/><Relationship Id="rId30" Type="http://schemas.openxmlformats.org/officeDocument/2006/relationships/hyperlink" Target="https://pypdf.readthedocs.io/en/stable/user/extract-text.html" TargetMode="External"/><Relationship Id="rId33" Type="http://schemas.openxmlformats.org/officeDocument/2006/relationships/hyperlink" Target="https://github.com/eyurtsev/kor/issues/226" TargetMode="External"/><Relationship Id="rId32" Type="http://schemas.openxmlformats.org/officeDocument/2006/relationships/hyperlink" Target="https://www.reddit.com/r/LangChain/comments/1syu7vg/pdf_parsing_for_rag_is_still_a_mess_in_2026_whats/" TargetMode="External"/><Relationship Id="rId35" Type="http://schemas.openxmlformats.org/officeDocument/2006/relationships/hyperlink" Target="https://medium.com/@anil.goyal0057/building-a-simple-rag-system-with-langchain-faiss-and-ollama-mistral-model-822b3245e576" TargetMode="External"/><Relationship Id="rId34" Type="http://schemas.openxmlformats.org/officeDocument/2006/relationships/hyperlink" Target="https://stackoverflow.com/questions/74872895/how-to-extract-proper-page-number-of-a-pdf-using-python" TargetMode="External"/><Relationship Id="rId37" Type="http://schemas.openxmlformats.org/officeDocument/2006/relationships/hyperlink" Target="https://docs.ollama.com/capabilities/structured-outputs" TargetMode="External"/><Relationship Id="rId36" Type="http://schemas.openxmlformats.org/officeDocument/2006/relationships/hyperlink" Target="https://lagnchain.readthedocs.io/en/latest/modules/indexes/vectorstores/examples/faiss.html" TargetMode="External"/><Relationship Id="rId39" Type="http://schemas.openxmlformats.org/officeDocument/2006/relationships/hyperlink" Target="https://github.com/ghif/langchain-tutorial/blob/main/13-ollama-chat.py" TargetMode="External"/><Relationship Id="rId38" Type="http://schemas.openxmlformats.org/officeDocument/2006/relationships/hyperlink" Target="https://reference.langchain.com/python/langchain-ollama/chat_models/ChatOllama" TargetMode="External"/><Relationship Id="rId20" Type="http://schemas.openxmlformats.org/officeDocument/2006/relationships/hyperlink" Target="https://content.dgft.gov.in/Website/dgftprod/4f665d2f-20cc-4887-ae6a-5ec912bc0d44/FTP2023_Chapter02.pdf" TargetMode="External"/><Relationship Id="rId22" Type="http://schemas.openxmlformats.org/officeDocument/2006/relationships/hyperlink" Target="https://www.dpiit.gov.in/static/uploads/2025/12/aa547e2ea8a7d7ddd98325a155ad4549.pdf" TargetMode="External"/><Relationship Id="rId21" Type="http://schemas.openxmlformats.org/officeDocument/2006/relationships/hyperlink" Target="https://content.dgft.gov.in/Website/dgftprod/6341c956-d75d-425a-8213-7ae4f4c8930d/Chapter%206%20FTP%202023.pdf" TargetMode="External"/><Relationship Id="rId24" Type="http://schemas.openxmlformats.org/officeDocument/2006/relationships/hyperlink" Target="https://www.nexdigm.com/doing-business-in-india/customs-duty.php" TargetMode="External"/><Relationship Id="rId23" Type="http://schemas.openxmlformats.org/officeDocument/2006/relationships/hyperlink" Target="https://www.trade.gov/harmonized-system-hs-codes" TargetMode="External"/><Relationship Id="rId26" Type="http://schemas.openxmlformats.org/officeDocument/2006/relationships/hyperlink" Target="https://wise.com/in/import-duty/calculator" TargetMode="External"/><Relationship Id="rId25" Type="http://schemas.openxmlformats.org/officeDocument/2006/relationships/hyperlink" Target="https://www.indiabudget.gov.in/doc/cen/dojstru1.pdf" TargetMode="External"/><Relationship Id="rId28" Type="http://schemas.openxmlformats.org/officeDocument/2006/relationships/hyperlink" Target="https://www.investindia.gov.in/blogs/calculation-import-duty-india-formula-online-tools-and-exemptions" TargetMode="External"/><Relationship Id="rId27" Type="http://schemas.openxmlformats.org/officeDocument/2006/relationships/hyperlink" Target="https://www.india-briefing.com/doing-business-guide/india/taxation-and-accounting/customs-duty-and-import-export-taxes-in-india" TargetMode="External"/><Relationship Id="rId29" Type="http://schemas.openxmlformats.org/officeDocument/2006/relationships/hyperlink" Target="https://pypdf2.readthedocs.io/en/3.x/user/extract-text.html" TargetMode="External"/><Relationship Id="rId51" Type="http://schemas.openxmlformats.org/officeDocument/2006/relationships/hyperlink" Target="https://docs.ragas.io/en/v0.3.1/concepts/metrics/available_metrics/context_precision/" TargetMode="External"/><Relationship Id="rId50" Type="http://schemas.openxmlformats.org/officeDocument/2006/relationships/hyperlink" Target="https://docs.ragas.io/en/stable/concepts/metrics/available_metrics/context_precision/" TargetMode="External"/><Relationship Id="rId53" Type="http://schemas.openxmlformats.org/officeDocument/2006/relationships/hyperlink" Target="https://docs.ragas.io/en/latest/concepts/metrics/available_metrics/context_precision/" TargetMode="External"/><Relationship Id="rId52" Type="http://schemas.openxmlformats.org/officeDocument/2006/relationships/hyperlink" Target="https://docs.ragas.io/en/stable/howtos/applications/vertexai_x_ragas/" TargetMode="External"/><Relationship Id="rId11" Type="http://schemas.openxmlformats.org/officeDocument/2006/relationships/hyperlink" Target="https://www.roanokegroup.com/static/750b79ef80e7ef653c2fed1901ea5bac/IncotermsRiskTransfer_Chart.pdf" TargetMode="External"/><Relationship Id="rId10" Type="http://schemas.openxmlformats.org/officeDocument/2006/relationships/image" Target="media/image3.png"/><Relationship Id="rId54" Type="http://schemas.openxmlformats.org/officeDocument/2006/relationships/hyperlink" Target="https://stackoverflow.com/questions/79488543/what-to-include-in-context-precision-recall-for-rag-llm-evaluation" TargetMode="External"/><Relationship Id="rId13" Type="http://schemas.openxmlformats.org/officeDocument/2006/relationships/hyperlink" Target="https://www.trade.gov/know-your-incoterms" TargetMode="External"/><Relationship Id="rId12" Type="http://schemas.openxmlformats.org/officeDocument/2006/relationships/hyperlink" Target="https://info.expeditors.com/hubfs/Incoterms%202020%20Chart%20with%20table.pdf" TargetMode="External"/><Relationship Id="rId15" Type="http://schemas.openxmlformats.org/officeDocument/2006/relationships/hyperlink" Target="https://www.brp.com/content/dam/connectedassets/brp-corporate/images/website/Incoterms%202020.pdf" TargetMode="External"/><Relationship Id="rId14" Type="http://schemas.openxmlformats.org/officeDocument/2006/relationships/hyperlink" Target="https://haynesintl.com/wp-content/uploads/2024/07/csi34564a4546ba62e18cdfff0000376e70.pdf" TargetMode="External"/><Relationship Id="rId17" Type="http://schemas.openxmlformats.org/officeDocument/2006/relationships/hyperlink" Target="https://www.sheppard.com/insights/blogs/incoterms-2020" TargetMode="External"/><Relationship Id="rId16" Type="http://schemas.openxmlformats.org/officeDocument/2006/relationships/hyperlink" Target="https://iccwbo.org/business-solutions/incoterms-rules/incoterms-2020/" TargetMode="External"/><Relationship Id="rId19" Type="http://schemas.openxmlformats.org/officeDocument/2006/relationships/hyperlink" Target="https://www.dgft.gov.in/CP/?opt=ft-policy" TargetMode="External"/><Relationship Id="rId18" Type="http://schemas.openxmlformats.org/officeDocument/2006/relationships/hyperlink" Target="https://chemexcil.in/uploads/files/FTP202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