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rPr>
          <w:u w:val="none"/>
        </w:rPr>
      </w:pPr>
      <w:r>
        <w:rPr/>
        <w:drawing>
          <wp:anchor distT="0" distB="0" distL="0" distR="0" allowOverlap="1" layoutInCell="1" locked="0" behindDoc="1" simplePos="0" relativeHeight="487492096">
            <wp:simplePos x="0" y="0"/>
            <wp:positionH relativeFrom="page">
              <wp:posOffset>0</wp:posOffset>
            </wp:positionH>
            <wp:positionV relativeFrom="page">
              <wp:posOffset>0</wp:posOffset>
            </wp:positionV>
            <wp:extent cx="7769352" cy="1005230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69352" cy="10052304"/>
                    </a:xfrm>
                    <a:prstGeom prst="rect">
                      <a:avLst/>
                    </a:prstGeom>
                  </pic:spPr>
                </pic:pic>
              </a:graphicData>
            </a:graphic>
          </wp:anchor>
        </w:drawing>
      </w:r>
      <w:r>
        <w:rPr>
          <w:u w:val="single"/>
        </w:rPr>
        <w:t>REPORT</w:t>
      </w:r>
      <w:r>
        <w:rPr>
          <w:spacing w:val="-10"/>
          <w:u w:val="single"/>
        </w:rPr>
        <w:t> </w:t>
      </w:r>
      <w:r>
        <w:rPr>
          <w:u w:val="single"/>
        </w:rPr>
        <w:t>OF</w:t>
      </w:r>
      <w:r>
        <w:rPr>
          <w:spacing w:val="-10"/>
          <w:u w:val="single"/>
        </w:rPr>
        <w:t> </w:t>
      </w:r>
      <w:r>
        <w:rPr>
          <w:u w:val="single"/>
        </w:rPr>
        <w:t>INDEPENDENT</w:t>
      </w:r>
      <w:r>
        <w:rPr>
          <w:spacing w:val="-11"/>
          <w:u w:val="single"/>
        </w:rPr>
        <w:t> </w:t>
      </w:r>
      <w:r>
        <w:rPr>
          <w:u w:val="single"/>
        </w:rPr>
        <w:t>REGISTERED</w:t>
      </w:r>
      <w:r>
        <w:rPr>
          <w:spacing w:val="-10"/>
          <w:u w:val="single"/>
        </w:rPr>
        <w:t> </w:t>
      </w:r>
      <w:r>
        <w:rPr>
          <w:u w:val="single"/>
        </w:rPr>
        <w:t>PUBLIC</w:t>
      </w:r>
      <w:r>
        <w:rPr>
          <w:spacing w:val="-11"/>
          <w:u w:val="single"/>
        </w:rPr>
        <w:t> </w:t>
      </w:r>
      <w:r>
        <w:rPr>
          <w:u w:val="single"/>
        </w:rPr>
        <w:t>ACCOUNTING</w:t>
      </w:r>
      <w:r>
        <w:rPr>
          <w:spacing w:val="-11"/>
          <w:u w:val="single"/>
        </w:rPr>
        <w:t> </w:t>
      </w:r>
      <w:r>
        <w:rPr>
          <w:spacing w:val="-4"/>
          <w:u w:val="single"/>
        </w:rPr>
        <w:t>FIRM</w:t>
      </w:r>
    </w:p>
    <w:p>
      <w:pPr>
        <w:pStyle w:val="BodyText"/>
        <w:spacing w:before="268"/>
        <w:ind w:right="6570"/>
      </w:pPr>
      <w:r>
        <w:rPr/>
        <w:t>To</w:t>
      </w:r>
      <w:r>
        <w:rPr>
          <w:spacing w:val="-6"/>
        </w:rPr>
        <w:t> </w:t>
      </w:r>
      <w:r>
        <w:rPr/>
        <w:t>the</w:t>
      </w:r>
      <w:r>
        <w:rPr>
          <w:spacing w:val="-6"/>
        </w:rPr>
        <w:t> </w:t>
      </w:r>
      <w:r>
        <w:rPr/>
        <w:t>Shareholders</w:t>
      </w:r>
      <w:r>
        <w:rPr>
          <w:spacing w:val="-6"/>
        </w:rPr>
        <w:t> </w:t>
      </w:r>
      <w:r>
        <w:rPr/>
        <w:t>and</w:t>
      </w:r>
      <w:r>
        <w:rPr>
          <w:spacing w:val="-6"/>
        </w:rPr>
        <w:t> </w:t>
      </w:r>
      <w:r>
        <w:rPr/>
        <w:t>Board</w:t>
      </w:r>
      <w:r>
        <w:rPr>
          <w:spacing w:val="-6"/>
        </w:rPr>
        <w:t> </w:t>
      </w:r>
      <w:r>
        <w:rPr/>
        <w:t>of</w:t>
      </w:r>
      <w:r>
        <w:rPr>
          <w:spacing w:val="-6"/>
        </w:rPr>
        <w:t> </w:t>
      </w:r>
      <w:r>
        <w:rPr/>
        <w:t>Trustees</w:t>
      </w:r>
      <w:r>
        <w:rPr>
          <w:spacing w:val="-6"/>
        </w:rPr>
        <w:t> </w:t>
      </w:r>
      <w:r>
        <w:rPr/>
        <w:t>of Themes ETF Trust</w:t>
      </w:r>
    </w:p>
    <w:p>
      <w:pPr>
        <w:pStyle w:val="BodyText"/>
        <w:spacing w:before="196"/>
      </w:pPr>
      <w:r>
        <w:rPr>
          <w:u w:val="single"/>
        </w:rPr>
        <w:t>Opinion</w:t>
      </w:r>
      <w:r>
        <w:rPr>
          <w:spacing w:val="-8"/>
          <w:u w:val="single"/>
        </w:rPr>
        <w:t> </w:t>
      </w:r>
      <w:r>
        <w:rPr>
          <w:u w:val="single"/>
        </w:rPr>
        <w:t>on</w:t>
      </w:r>
      <w:r>
        <w:rPr>
          <w:spacing w:val="-8"/>
          <w:u w:val="single"/>
        </w:rPr>
        <w:t> </w:t>
      </w:r>
      <w:r>
        <w:rPr>
          <w:u w:val="single"/>
        </w:rPr>
        <w:t>the</w:t>
      </w:r>
      <w:r>
        <w:rPr>
          <w:spacing w:val="-7"/>
          <w:u w:val="single"/>
        </w:rPr>
        <w:t> </w:t>
      </w:r>
      <w:r>
        <w:rPr>
          <w:u w:val="single"/>
        </w:rPr>
        <w:t>Financial</w:t>
      </w:r>
      <w:r>
        <w:rPr>
          <w:spacing w:val="-7"/>
          <w:u w:val="single"/>
        </w:rPr>
        <w:t> </w:t>
      </w:r>
      <w:r>
        <w:rPr>
          <w:spacing w:val="-2"/>
          <w:u w:val="single"/>
        </w:rPr>
        <w:t>Statements</w:t>
      </w:r>
    </w:p>
    <w:p>
      <w:pPr>
        <w:pStyle w:val="BodyText"/>
        <w:spacing w:before="195"/>
        <w:ind w:right="1074"/>
        <w:jc w:val="both"/>
      </w:pPr>
      <w:r>
        <w:rPr/>
        <w:t>We have audited the accompanying statements of assets and liabilities, including the schedules of investments, written</w:t>
      </w:r>
      <w:r>
        <w:rPr>
          <w:spacing w:val="-1"/>
        </w:rPr>
        <w:t> </w:t>
      </w:r>
      <w:r>
        <w:rPr/>
        <w:t>options,</w:t>
      </w:r>
      <w:r>
        <w:rPr>
          <w:spacing w:val="-2"/>
        </w:rPr>
        <w:t> </w:t>
      </w:r>
      <w:r>
        <w:rPr/>
        <w:t>and</w:t>
      </w:r>
      <w:r>
        <w:rPr>
          <w:spacing w:val="-2"/>
        </w:rPr>
        <w:t> </w:t>
      </w:r>
      <w:r>
        <w:rPr/>
        <w:t>total</w:t>
      </w:r>
      <w:r>
        <w:rPr>
          <w:spacing w:val="-1"/>
        </w:rPr>
        <w:t> </w:t>
      </w:r>
      <w:r>
        <w:rPr/>
        <w:t>return</w:t>
      </w:r>
      <w:r>
        <w:rPr>
          <w:spacing w:val="-2"/>
        </w:rPr>
        <w:t> </w:t>
      </w:r>
      <w:r>
        <w:rPr/>
        <w:t>swaps</w:t>
      </w:r>
      <w:r>
        <w:rPr>
          <w:spacing w:val="-1"/>
        </w:rPr>
        <w:t> </w:t>
      </w:r>
      <w:r>
        <w:rPr/>
        <w:t>(if</w:t>
      </w:r>
      <w:r>
        <w:rPr>
          <w:spacing w:val="-2"/>
        </w:rPr>
        <w:t> </w:t>
      </w:r>
      <w:r>
        <w:rPr/>
        <w:t>applicable),</w:t>
      </w:r>
      <w:r>
        <w:rPr>
          <w:spacing w:val="-2"/>
        </w:rPr>
        <w:t> </w:t>
      </w:r>
      <w:r>
        <w:rPr/>
        <w:t>of</w:t>
      </w:r>
      <w:r>
        <w:rPr>
          <w:spacing w:val="-2"/>
        </w:rPr>
        <w:t> </w:t>
      </w:r>
      <w:r>
        <w:rPr/>
        <w:t>Themes</w:t>
      </w:r>
      <w:r>
        <w:rPr>
          <w:spacing w:val="-1"/>
        </w:rPr>
        <w:t> </w:t>
      </w:r>
      <w:r>
        <w:rPr/>
        <w:t>ETF</w:t>
      </w:r>
      <w:r>
        <w:rPr>
          <w:spacing w:val="-2"/>
        </w:rPr>
        <w:t> </w:t>
      </w:r>
      <w:r>
        <w:rPr/>
        <w:t>Trust</w:t>
      </w:r>
      <w:r>
        <w:rPr>
          <w:spacing w:val="-2"/>
        </w:rPr>
        <w:t> </w:t>
      </w:r>
      <w:r>
        <w:rPr/>
        <w:t>comprising</w:t>
      </w:r>
      <w:r>
        <w:rPr>
          <w:spacing w:val="-2"/>
        </w:rPr>
        <w:t> </w:t>
      </w:r>
      <w:r>
        <w:rPr/>
        <w:t>the</w:t>
      </w:r>
      <w:r>
        <w:rPr>
          <w:spacing w:val="-2"/>
        </w:rPr>
        <w:t> </w:t>
      </w:r>
      <w:r>
        <w:rPr/>
        <w:t>funds</w:t>
      </w:r>
      <w:r>
        <w:rPr>
          <w:spacing w:val="-2"/>
        </w:rPr>
        <w:t> </w:t>
      </w:r>
      <w:r>
        <w:rPr/>
        <w:t>listed</w:t>
      </w:r>
      <w:r>
        <w:rPr>
          <w:spacing w:val="-1"/>
        </w:rPr>
        <w:t> </w:t>
      </w:r>
      <w:r>
        <w:rPr/>
        <w:t>below</w:t>
      </w:r>
      <w:r>
        <w:rPr>
          <w:spacing w:val="-2"/>
        </w:rPr>
        <w:t> </w:t>
      </w:r>
      <w:r>
        <w:rPr/>
        <w:t>(the “Funds”)</w:t>
      </w:r>
      <w:r>
        <w:rPr>
          <w:spacing w:val="-9"/>
        </w:rPr>
        <w:t> </w:t>
      </w:r>
      <w:r>
        <w:rPr/>
        <w:t>as</w:t>
      </w:r>
      <w:r>
        <w:rPr>
          <w:spacing w:val="-9"/>
        </w:rPr>
        <w:t> </w:t>
      </w:r>
      <w:r>
        <w:rPr/>
        <w:t>of</w:t>
      </w:r>
      <w:r>
        <w:rPr>
          <w:spacing w:val="-9"/>
        </w:rPr>
        <w:t> </w:t>
      </w:r>
      <w:r>
        <w:rPr/>
        <w:t>October</w:t>
      </w:r>
      <w:r>
        <w:rPr>
          <w:spacing w:val="-9"/>
        </w:rPr>
        <w:t> </w:t>
      </w:r>
      <w:r>
        <w:rPr/>
        <w:t>31,</w:t>
      </w:r>
      <w:r>
        <w:rPr>
          <w:spacing w:val="-8"/>
        </w:rPr>
        <w:t> </w:t>
      </w:r>
      <w:r>
        <w:rPr/>
        <w:t>2025,</w:t>
      </w:r>
      <w:r>
        <w:rPr>
          <w:spacing w:val="-9"/>
        </w:rPr>
        <w:t> </w:t>
      </w:r>
      <w:r>
        <w:rPr/>
        <w:t>the</w:t>
      </w:r>
      <w:r>
        <w:rPr>
          <w:spacing w:val="-9"/>
        </w:rPr>
        <w:t> </w:t>
      </w:r>
      <w:r>
        <w:rPr/>
        <w:t>related</w:t>
      </w:r>
      <w:r>
        <w:rPr>
          <w:spacing w:val="-9"/>
        </w:rPr>
        <w:t> </w:t>
      </w:r>
      <w:r>
        <w:rPr/>
        <w:t>statements</w:t>
      </w:r>
      <w:r>
        <w:rPr>
          <w:spacing w:val="-9"/>
        </w:rPr>
        <w:t> </w:t>
      </w:r>
      <w:r>
        <w:rPr/>
        <w:t>of</w:t>
      </w:r>
      <w:r>
        <w:rPr>
          <w:spacing w:val="-9"/>
        </w:rPr>
        <w:t> </w:t>
      </w:r>
      <w:r>
        <w:rPr/>
        <w:t>operations,</w:t>
      </w:r>
      <w:r>
        <w:rPr>
          <w:spacing w:val="-9"/>
        </w:rPr>
        <w:t> </w:t>
      </w:r>
      <w:r>
        <w:rPr/>
        <w:t>the</w:t>
      </w:r>
      <w:r>
        <w:rPr>
          <w:spacing w:val="-9"/>
        </w:rPr>
        <w:t> </w:t>
      </w:r>
      <w:r>
        <w:rPr/>
        <w:t>statements</w:t>
      </w:r>
      <w:r>
        <w:rPr>
          <w:spacing w:val="-9"/>
        </w:rPr>
        <w:t> </w:t>
      </w:r>
      <w:r>
        <w:rPr/>
        <w:t>of</w:t>
      </w:r>
      <w:r>
        <w:rPr>
          <w:spacing w:val="-9"/>
        </w:rPr>
        <w:t> </w:t>
      </w:r>
      <w:r>
        <w:rPr/>
        <w:t>changes</w:t>
      </w:r>
      <w:r>
        <w:rPr>
          <w:spacing w:val="-9"/>
        </w:rPr>
        <w:t> </w:t>
      </w:r>
      <w:r>
        <w:rPr/>
        <w:t>in</w:t>
      </w:r>
      <w:r>
        <w:rPr>
          <w:spacing w:val="-9"/>
        </w:rPr>
        <w:t> </w:t>
      </w:r>
      <w:r>
        <w:rPr/>
        <w:t>net</w:t>
      </w:r>
      <w:r>
        <w:rPr>
          <w:spacing w:val="-9"/>
        </w:rPr>
        <w:t> </w:t>
      </w:r>
      <w:r>
        <w:rPr/>
        <w:t>assets,</w:t>
      </w:r>
      <w:r>
        <w:rPr>
          <w:spacing w:val="-9"/>
        </w:rPr>
        <w:t> </w:t>
      </w:r>
      <w:r>
        <w:rPr/>
        <w:t>the financial highlights for each of the periods indicated below, and the related notes (collectively referred to as the “financial</w:t>
      </w:r>
      <w:r>
        <w:rPr>
          <w:spacing w:val="-8"/>
        </w:rPr>
        <w:t> </w:t>
      </w:r>
      <w:r>
        <w:rPr/>
        <w:t>statements”).</w:t>
      </w:r>
      <w:r>
        <w:rPr>
          <w:spacing w:val="-8"/>
        </w:rPr>
        <w:t> </w:t>
      </w:r>
      <w:r>
        <w:rPr/>
        <w:t>In</w:t>
      </w:r>
      <w:r>
        <w:rPr>
          <w:spacing w:val="-7"/>
        </w:rPr>
        <w:t> </w:t>
      </w:r>
      <w:r>
        <w:rPr/>
        <w:t>our</w:t>
      </w:r>
      <w:r>
        <w:rPr>
          <w:spacing w:val="-8"/>
        </w:rPr>
        <w:t> </w:t>
      </w:r>
      <w:r>
        <w:rPr/>
        <w:t>opinion,</w:t>
      </w:r>
      <w:r>
        <w:rPr>
          <w:spacing w:val="-6"/>
        </w:rPr>
        <w:t> </w:t>
      </w:r>
      <w:r>
        <w:rPr/>
        <w:t>the</w:t>
      </w:r>
      <w:r>
        <w:rPr>
          <w:spacing w:val="-8"/>
        </w:rPr>
        <w:t> </w:t>
      </w:r>
      <w:r>
        <w:rPr/>
        <w:t>financial</w:t>
      </w:r>
      <w:r>
        <w:rPr>
          <w:spacing w:val="-8"/>
        </w:rPr>
        <w:t> </w:t>
      </w:r>
      <w:r>
        <w:rPr/>
        <w:t>statements</w:t>
      </w:r>
      <w:r>
        <w:rPr>
          <w:spacing w:val="-8"/>
        </w:rPr>
        <w:t> </w:t>
      </w:r>
      <w:r>
        <w:rPr/>
        <w:t>present</w:t>
      </w:r>
      <w:r>
        <w:rPr>
          <w:spacing w:val="-8"/>
        </w:rPr>
        <w:t> </w:t>
      </w:r>
      <w:r>
        <w:rPr/>
        <w:t>fairly,</w:t>
      </w:r>
      <w:r>
        <w:rPr>
          <w:spacing w:val="-7"/>
        </w:rPr>
        <w:t> </w:t>
      </w:r>
      <w:r>
        <w:rPr/>
        <w:t>in</w:t>
      </w:r>
      <w:r>
        <w:rPr>
          <w:spacing w:val="-7"/>
        </w:rPr>
        <w:t> </w:t>
      </w:r>
      <w:r>
        <w:rPr/>
        <w:t>all</w:t>
      </w:r>
      <w:r>
        <w:rPr>
          <w:spacing w:val="-8"/>
        </w:rPr>
        <w:t> </w:t>
      </w:r>
      <w:r>
        <w:rPr/>
        <w:t>material</w:t>
      </w:r>
      <w:r>
        <w:rPr>
          <w:spacing w:val="-8"/>
        </w:rPr>
        <w:t> </w:t>
      </w:r>
      <w:r>
        <w:rPr/>
        <w:t>respects,</w:t>
      </w:r>
      <w:r>
        <w:rPr>
          <w:spacing w:val="-8"/>
        </w:rPr>
        <w:t> </w:t>
      </w:r>
      <w:r>
        <w:rPr/>
        <w:t>the</w:t>
      </w:r>
      <w:r>
        <w:rPr>
          <w:spacing w:val="-8"/>
        </w:rPr>
        <w:t> </w:t>
      </w:r>
      <w:r>
        <w:rPr/>
        <w:t>financial position</w:t>
      </w:r>
      <w:r>
        <w:rPr>
          <w:spacing w:val="-5"/>
        </w:rPr>
        <w:t> </w:t>
      </w:r>
      <w:r>
        <w:rPr/>
        <w:t>of</w:t>
      </w:r>
      <w:r>
        <w:rPr>
          <w:spacing w:val="-5"/>
        </w:rPr>
        <w:t> </w:t>
      </w:r>
      <w:r>
        <w:rPr/>
        <w:t>each</w:t>
      </w:r>
      <w:r>
        <w:rPr>
          <w:spacing w:val="-5"/>
        </w:rPr>
        <w:t> </w:t>
      </w:r>
      <w:r>
        <w:rPr/>
        <w:t>of</w:t>
      </w:r>
      <w:r>
        <w:rPr>
          <w:spacing w:val="-4"/>
        </w:rPr>
        <w:t> </w:t>
      </w:r>
      <w:r>
        <w:rPr/>
        <w:t>the</w:t>
      </w:r>
      <w:r>
        <w:rPr>
          <w:spacing w:val="-5"/>
        </w:rPr>
        <w:t> </w:t>
      </w:r>
      <w:r>
        <w:rPr/>
        <w:t>Funds</w:t>
      </w:r>
      <w:r>
        <w:rPr>
          <w:spacing w:val="-5"/>
        </w:rPr>
        <w:t> </w:t>
      </w:r>
      <w:r>
        <w:rPr/>
        <w:t>as</w:t>
      </w:r>
      <w:r>
        <w:rPr>
          <w:spacing w:val="-5"/>
        </w:rPr>
        <w:t> </w:t>
      </w:r>
      <w:r>
        <w:rPr/>
        <w:t>of</w:t>
      </w:r>
      <w:r>
        <w:rPr>
          <w:spacing w:val="-5"/>
        </w:rPr>
        <w:t> </w:t>
      </w:r>
      <w:r>
        <w:rPr/>
        <w:t>October</w:t>
      </w:r>
      <w:r>
        <w:rPr>
          <w:spacing w:val="-5"/>
        </w:rPr>
        <w:t> </w:t>
      </w:r>
      <w:r>
        <w:rPr/>
        <w:t>31,</w:t>
      </w:r>
      <w:r>
        <w:rPr>
          <w:spacing w:val="-5"/>
        </w:rPr>
        <w:t> </w:t>
      </w:r>
      <w:r>
        <w:rPr/>
        <w:t>2025,</w:t>
      </w:r>
      <w:r>
        <w:rPr>
          <w:spacing w:val="-4"/>
        </w:rPr>
        <w:t> </w:t>
      </w:r>
      <w:r>
        <w:rPr/>
        <w:t>the</w:t>
      </w:r>
      <w:r>
        <w:rPr>
          <w:spacing w:val="-5"/>
        </w:rPr>
        <w:t> </w:t>
      </w:r>
      <w:r>
        <w:rPr/>
        <w:t>results</w:t>
      </w:r>
      <w:r>
        <w:rPr>
          <w:spacing w:val="-5"/>
        </w:rPr>
        <w:t> </w:t>
      </w:r>
      <w:r>
        <w:rPr/>
        <w:t>of</w:t>
      </w:r>
      <w:r>
        <w:rPr>
          <w:spacing w:val="-4"/>
        </w:rPr>
        <w:t> </w:t>
      </w:r>
      <w:r>
        <w:rPr/>
        <w:t>their</w:t>
      </w:r>
      <w:r>
        <w:rPr>
          <w:spacing w:val="-5"/>
        </w:rPr>
        <w:t> </w:t>
      </w:r>
      <w:r>
        <w:rPr/>
        <w:t>operations,</w:t>
      </w:r>
      <w:r>
        <w:rPr>
          <w:spacing w:val="-5"/>
        </w:rPr>
        <w:t> </w:t>
      </w:r>
      <w:r>
        <w:rPr/>
        <w:t>the</w:t>
      </w:r>
      <w:r>
        <w:rPr>
          <w:spacing w:val="-4"/>
        </w:rPr>
        <w:t> </w:t>
      </w:r>
      <w:r>
        <w:rPr/>
        <w:t>changes</w:t>
      </w:r>
      <w:r>
        <w:rPr>
          <w:spacing w:val="-5"/>
        </w:rPr>
        <w:t> </w:t>
      </w:r>
      <w:r>
        <w:rPr/>
        <w:t>in</w:t>
      </w:r>
      <w:r>
        <w:rPr>
          <w:spacing w:val="-5"/>
        </w:rPr>
        <w:t> </w:t>
      </w:r>
      <w:r>
        <w:rPr/>
        <w:t>net</w:t>
      </w:r>
      <w:r>
        <w:rPr>
          <w:spacing w:val="-5"/>
        </w:rPr>
        <w:t> </w:t>
      </w:r>
      <w:r>
        <w:rPr/>
        <w:t>assets,</w:t>
      </w:r>
      <w:r>
        <w:rPr>
          <w:spacing w:val="-5"/>
        </w:rPr>
        <w:t> </w:t>
      </w:r>
      <w:r>
        <w:rPr/>
        <w:t>and the</w:t>
      </w:r>
      <w:r>
        <w:rPr>
          <w:spacing w:val="-6"/>
        </w:rPr>
        <w:t> </w:t>
      </w:r>
      <w:r>
        <w:rPr/>
        <w:t>financial</w:t>
      </w:r>
      <w:r>
        <w:rPr>
          <w:spacing w:val="-5"/>
        </w:rPr>
        <w:t> </w:t>
      </w:r>
      <w:r>
        <w:rPr/>
        <w:t>highlights</w:t>
      </w:r>
      <w:r>
        <w:rPr>
          <w:spacing w:val="-6"/>
        </w:rPr>
        <w:t> </w:t>
      </w:r>
      <w:r>
        <w:rPr/>
        <w:t>for</w:t>
      </w:r>
      <w:r>
        <w:rPr>
          <w:spacing w:val="-5"/>
        </w:rPr>
        <w:t> </w:t>
      </w:r>
      <w:r>
        <w:rPr/>
        <w:t>the</w:t>
      </w:r>
      <w:r>
        <w:rPr>
          <w:spacing w:val="-5"/>
        </w:rPr>
        <w:t> </w:t>
      </w:r>
      <w:r>
        <w:rPr/>
        <w:t>period</w:t>
      </w:r>
      <w:r>
        <w:rPr>
          <w:spacing w:val="-7"/>
        </w:rPr>
        <w:t> </w:t>
      </w:r>
      <w:r>
        <w:rPr/>
        <w:t>indicated</w:t>
      </w:r>
      <w:r>
        <w:rPr>
          <w:spacing w:val="-7"/>
        </w:rPr>
        <w:t> </w:t>
      </w:r>
      <w:r>
        <w:rPr/>
        <w:t>below,</w:t>
      </w:r>
      <w:r>
        <w:rPr>
          <w:spacing w:val="-6"/>
        </w:rPr>
        <w:t> </w:t>
      </w:r>
      <w:r>
        <w:rPr/>
        <w:t>in</w:t>
      </w:r>
      <w:r>
        <w:rPr>
          <w:spacing w:val="-7"/>
        </w:rPr>
        <w:t> </w:t>
      </w:r>
      <w:r>
        <w:rPr/>
        <w:t>conformity</w:t>
      </w:r>
      <w:r>
        <w:rPr>
          <w:spacing w:val="-6"/>
        </w:rPr>
        <w:t> </w:t>
      </w:r>
      <w:r>
        <w:rPr/>
        <w:t>with</w:t>
      </w:r>
      <w:r>
        <w:rPr>
          <w:spacing w:val="-6"/>
        </w:rPr>
        <w:t> </w:t>
      </w:r>
      <w:r>
        <w:rPr/>
        <w:t>accounting</w:t>
      </w:r>
      <w:r>
        <w:rPr>
          <w:spacing w:val="-5"/>
        </w:rPr>
        <w:t> </w:t>
      </w:r>
      <w:r>
        <w:rPr/>
        <w:t>principles</w:t>
      </w:r>
      <w:r>
        <w:rPr>
          <w:spacing w:val="-6"/>
        </w:rPr>
        <w:t> </w:t>
      </w:r>
      <w:r>
        <w:rPr/>
        <w:t>generally</w:t>
      </w:r>
      <w:r>
        <w:rPr>
          <w:spacing w:val="-6"/>
        </w:rPr>
        <w:t> </w:t>
      </w:r>
      <w:r>
        <w:rPr/>
        <w:t>accepted in the United States of America.</w:t>
      </w:r>
    </w:p>
    <w:p>
      <w:pPr>
        <w:pStyle w:val="BodyText"/>
        <w:spacing w:before="25"/>
        <w:ind w:left="0"/>
        <w:rPr>
          <w:sz w:val="20"/>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0"/>
        <w:gridCol w:w="2970"/>
        <w:gridCol w:w="2340"/>
        <w:gridCol w:w="1984"/>
      </w:tblGrid>
      <w:tr>
        <w:trPr>
          <w:trHeight w:val="537" w:hRule="atLeast"/>
        </w:trPr>
        <w:tc>
          <w:tcPr>
            <w:tcW w:w="4680" w:type="dxa"/>
          </w:tcPr>
          <w:p>
            <w:pPr>
              <w:pStyle w:val="TableParagraph"/>
              <w:rPr>
                <w:b/>
                <w:sz w:val="22"/>
              </w:rPr>
            </w:pPr>
            <w:r>
              <w:rPr>
                <w:b/>
                <w:sz w:val="22"/>
              </w:rPr>
              <w:t>Fund</w:t>
            </w:r>
            <w:r>
              <w:rPr>
                <w:b/>
                <w:spacing w:val="-5"/>
                <w:sz w:val="22"/>
              </w:rPr>
              <w:t> </w:t>
            </w:r>
            <w:r>
              <w:rPr>
                <w:b/>
                <w:spacing w:val="-4"/>
                <w:sz w:val="22"/>
              </w:rPr>
              <w:t>Name</w:t>
            </w:r>
          </w:p>
        </w:tc>
        <w:tc>
          <w:tcPr>
            <w:tcW w:w="2970" w:type="dxa"/>
          </w:tcPr>
          <w:p>
            <w:pPr>
              <w:pStyle w:val="TableParagraph"/>
              <w:rPr>
                <w:b/>
                <w:sz w:val="22"/>
              </w:rPr>
            </w:pPr>
            <w:r>
              <w:rPr>
                <w:b/>
                <w:sz w:val="22"/>
              </w:rPr>
              <w:t>Statements</w:t>
            </w:r>
            <w:r>
              <w:rPr>
                <w:b/>
                <w:spacing w:val="-7"/>
                <w:sz w:val="22"/>
              </w:rPr>
              <w:t> </w:t>
            </w:r>
            <w:r>
              <w:rPr>
                <w:b/>
                <w:sz w:val="22"/>
              </w:rPr>
              <w:t>of</w:t>
            </w:r>
            <w:r>
              <w:rPr>
                <w:b/>
                <w:spacing w:val="-8"/>
                <w:sz w:val="22"/>
              </w:rPr>
              <w:t> </w:t>
            </w:r>
            <w:r>
              <w:rPr>
                <w:b/>
                <w:spacing w:val="-2"/>
                <w:sz w:val="22"/>
              </w:rPr>
              <w:t>Operations</w:t>
            </w:r>
          </w:p>
        </w:tc>
        <w:tc>
          <w:tcPr>
            <w:tcW w:w="2340" w:type="dxa"/>
          </w:tcPr>
          <w:p>
            <w:pPr>
              <w:pStyle w:val="TableParagraph"/>
              <w:spacing w:line="270" w:lineRule="atLeast"/>
              <w:ind w:right="98"/>
              <w:rPr>
                <w:b/>
                <w:sz w:val="22"/>
              </w:rPr>
            </w:pPr>
            <w:r>
              <w:rPr>
                <w:b/>
                <w:sz w:val="22"/>
              </w:rPr>
              <w:t>Statements</w:t>
            </w:r>
            <w:r>
              <w:rPr>
                <w:b/>
                <w:spacing w:val="-7"/>
                <w:sz w:val="22"/>
              </w:rPr>
              <w:t> </w:t>
            </w:r>
            <w:r>
              <w:rPr>
                <w:b/>
                <w:sz w:val="22"/>
              </w:rPr>
              <w:t>of</w:t>
            </w:r>
            <w:r>
              <w:rPr>
                <w:b/>
                <w:spacing w:val="-8"/>
                <w:sz w:val="22"/>
              </w:rPr>
              <w:t> </w:t>
            </w:r>
            <w:r>
              <w:rPr>
                <w:b/>
                <w:sz w:val="22"/>
              </w:rPr>
              <w:t>Changes in Net Assets</w:t>
            </w:r>
          </w:p>
        </w:tc>
        <w:tc>
          <w:tcPr>
            <w:tcW w:w="1984" w:type="dxa"/>
          </w:tcPr>
          <w:p>
            <w:pPr>
              <w:pStyle w:val="TableParagraph"/>
              <w:rPr>
                <w:b/>
                <w:sz w:val="22"/>
              </w:rPr>
            </w:pPr>
            <w:r>
              <w:rPr>
                <w:b/>
                <w:sz w:val="22"/>
              </w:rPr>
              <w:t>Financial</w:t>
            </w:r>
            <w:r>
              <w:rPr>
                <w:b/>
                <w:spacing w:val="-9"/>
                <w:sz w:val="22"/>
              </w:rPr>
              <w:t> </w:t>
            </w:r>
            <w:r>
              <w:rPr>
                <w:b/>
                <w:spacing w:val="-2"/>
                <w:sz w:val="22"/>
              </w:rPr>
              <w:t>Highlights</w:t>
            </w:r>
          </w:p>
        </w:tc>
      </w:tr>
      <w:tr>
        <w:trPr>
          <w:trHeight w:val="534" w:hRule="atLeast"/>
        </w:trPr>
        <w:tc>
          <w:tcPr>
            <w:tcW w:w="4680" w:type="dxa"/>
          </w:tcPr>
          <w:p>
            <w:pPr>
              <w:pStyle w:val="TableParagraph"/>
              <w:spacing w:line="266" w:lineRule="exact"/>
              <w:rPr>
                <w:sz w:val="22"/>
              </w:rPr>
            </w:pPr>
            <w:r>
              <w:rPr>
                <w:sz w:val="22"/>
              </w:rPr>
              <w:t>Leverage</w:t>
            </w:r>
            <w:r>
              <w:rPr>
                <w:spacing w:val="-7"/>
                <w:sz w:val="22"/>
              </w:rPr>
              <w:t> </w:t>
            </w:r>
            <w:r>
              <w:rPr>
                <w:sz w:val="22"/>
              </w:rPr>
              <w:t>Shares</w:t>
            </w:r>
            <w:r>
              <w:rPr>
                <w:spacing w:val="-6"/>
                <w:sz w:val="22"/>
              </w:rPr>
              <w:t> </w:t>
            </w:r>
            <w:r>
              <w:rPr>
                <w:sz w:val="22"/>
              </w:rPr>
              <w:t>2x</w:t>
            </w:r>
            <w:r>
              <w:rPr>
                <w:spacing w:val="-7"/>
                <w:sz w:val="22"/>
              </w:rPr>
              <w:t> </w:t>
            </w:r>
            <w:r>
              <w:rPr>
                <w:sz w:val="22"/>
              </w:rPr>
              <w:t>Long</w:t>
            </w:r>
            <w:r>
              <w:rPr>
                <w:spacing w:val="-6"/>
                <w:sz w:val="22"/>
              </w:rPr>
              <w:t> </w:t>
            </w:r>
            <w:r>
              <w:rPr>
                <w:sz w:val="22"/>
              </w:rPr>
              <w:t>NVDA</w:t>
            </w:r>
            <w:r>
              <w:rPr>
                <w:spacing w:val="-6"/>
                <w:sz w:val="22"/>
              </w:rPr>
              <w:t> </w:t>
            </w:r>
            <w:r>
              <w:rPr>
                <w:sz w:val="22"/>
              </w:rPr>
              <w:t>Daily</w:t>
            </w:r>
            <w:r>
              <w:rPr>
                <w:spacing w:val="-7"/>
                <w:sz w:val="22"/>
              </w:rPr>
              <w:t> </w:t>
            </w:r>
            <w:r>
              <w:rPr>
                <w:spacing w:val="-5"/>
                <w:sz w:val="22"/>
              </w:rPr>
              <w:t>ETF</w:t>
            </w:r>
          </w:p>
          <w:p>
            <w:pPr>
              <w:pStyle w:val="TableParagraph"/>
              <w:spacing w:line="248" w:lineRule="exact"/>
              <w:rPr>
                <w:sz w:val="22"/>
              </w:rPr>
            </w:pPr>
            <w:r>
              <w:rPr>
                <w:sz w:val="22"/>
              </w:rPr>
              <w:t>Leverage</w:t>
            </w:r>
            <w:r>
              <w:rPr>
                <w:spacing w:val="-6"/>
                <w:sz w:val="22"/>
              </w:rPr>
              <w:t> </w:t>
            </w:r>
            <w:r>
              <w:rPr>
                <w:sz w:val="22"/>
              </w:rPr>
              <w:t>Shares</w:t>
            </w:r>
            <w:r>
              <w:rPr>
                <w:spacing w:val="-6"/>
                <w:sz w:val="22"/>
              </w:rPr>
              <w:t> </w:t>
            </w:r>
            <w:r>
              <w:rPr>
                <w:sz w:val="22"/>
              </w:rPr>
              <w:t>2x</w:t>
            </w:r>
            <w:r>
              <w:rPr>
                <w:spacing w:val="-6"/>
                <w:sz w:val="22"/>
              </w:rPr>
              <w:t> </w:t>
            </w:r>
            <w:r>
              <w:rPr>
                <w:sz w:val="22"/>
              </w:rPr>
              <w:t>Long</w:t>
            </w:r>
            <w:r>
              <w:rPr>
                <w:spacing w:val="-6"/>
                <w:sz w:val="22"/>
              </w:rPr>
              <w:t> </w:t>
            </w:r>
            <w:r>
              <w:rPr>
                <w:sz w:val="22"/>
              </w:rPr>
              <w:t>TSLA</w:t>
            </w:r>
            <w:r>
              <w:rPr>
                <w:spacing w:val="-6"/>
                <w:sz w:val="22"/>
              </w:rPr>
              <w:t> </w:t>
            </w:r>
            <w:r>
              <w:rPr>
                <w:sz w:val="22"/>
              </w:rPr>
              <w:t>Daily</w:t>
            </w:r>
            <w:r>
              <w:rPr>
                <w:spacing w:val="-5"/>
                <w:sz w:val="22"/>
              </w:rPr>
              <w:t> ETF</w:t>
            </w:r>
          </w:p>
        </w:tc>
        <w:tc>
          <w:tcPr>
            <w:tcW w:w="7294" w:type="dxa"/>
            <w:gridSpan w:val="3"/>
          </w:tcPr>
          <w:p>
            <w:pPr>
              <w:pStyle w:val="TableParagraph"/>
              <w:spacing w:line="266" w:lineRule="exact"/>
              <w:rPr>
                <w:sz w:val="22"/>
              </w:rPr>
            </w:pPr>
            <w:r>
              <w:rPr>
                <w:sz w:val="22"/>
              </w:rPr>
              <w:t>For</w:t>
            </w:r>
            <w:r>
              <w:rPr>
                <w:spacing w:val="9"/>
                <w:sz w:val="22"/>
              </w:rPr>
              <w:t> </w:t>
            </w:r>
            <w:r>
              <w:rPr>
                <w:sz w:val="22"/>
              </w:rPr>
              <w:t>the</w:t>
            </w:r>
            <w:r>
              <w:rPr>
                <w:spacing w:val="10"/>
                <w:sz w:val="22"/>
              </w:rPr>
              <w:t> </w:t>
            </w:r>
            <w:r>
              <w:rPr>
                <w:sz w:val="22"/>
              </w:rPr>
              <w:t>period</w:t>
            </w:r>
            <w:r>
              <w:rPr>
                <w:spacing w:val="10"/>
                <w:sz w:val="22"/>
              </w:rPr>
              <w:t> </w:t>
            </w:r>
            <w:r>
              <w:rPr>
                <w:sz w:val="22"/>
              </w:rPr>
              <w:t>from</w:t>
            </w:r>
            <w:r>
              <w:rPr>
                <w:spacing w:val="10"/>
                <w:sz w:val="22"/>
              </w:rPr>
              <w:t> </w:t>
            </w:r>
            <w:r>
              <w:rPr>
                <w:sz w:val="22"/>
              </w:rPr>
              <w:t>December</w:t>
            </w:r>
            <w:r>
              <w:rPr>
                <w:spacing w:val="9"/>
                <w:sz w:val="22"/>
              </w:rPr>
              <w:t> </w:t>
            </w:r>
            <w:r>
              <w:rPr>
                <w:sz w:val="22"/>
              </w:rPr>
              <w:t>12,</w:t>
            </w:r>
            <w:r>
              <w:rPr>
                <w:spacing w:val="10"/>
                <w:sz w:val="22"/>
              </w:rPr>
              <w:t> </w:t>
            </w:r>
            <w:r>
              <w:rPr>
                <w:sz w:val="22"/>
              </w:rPr>
              <w:t>2024</w:t>
            </w:r>
            <w:r>
              <w:rPr>
                <w:spacing w:val="10"/>
                <w:sz w:val="22"/>
              </w:rPr>
              <w:t> </w:t>
            </w:r>
            <w:r>
              <w:rPr>
                <w:sz w:val="22"/>
              </w:rPr>
              <w:t>(inception</w:t>
            </w:r>
            <w:r>
              <w:rPr>
                <w:spacing w:val="10"/>
                <w:sz w:val="22"/>
              </w:rPr>
              <w:t> </w:t>
            </w:r>
            <w:r>
              <w:rPr>
                <w:sz w:val="22"/>
              </w:rPr>
              <w:t>date)</w:t>
            </w:r>
            <w:r>
              <w:rPr>
                <w:spacing w:val="10"/>
                <w:sz w:val="22"/>
              </w:rPr>
              <w:t> </w:t>
            </w:r>
            <w:r>
              <w:rPr>
                <w:sz w:val="22"/>
              </w:rPr>
              <w:t>through</w:t>
            </w:r>
            <w:r>
              <w:rPr>
                <w:spacing w:val="10"/>
                <w:sz w:val="22"/>
              </w:rPr>
              <w:t> </w:t>
            </w:r>
            <w:r>
              <w:rPr>
                <w:sz w:val="22"/>
              </w:rPr>
              <w:t>October</w:t>
            </w:r>
            <w:r>
              <w:rPr>
                <w:spacing w:val="10"/>
                <w:sz w:val="22"/>
              </w:rPr>
              <w:t> </w:t>
            </w:r>
            <w:r>
              <w:rPr>
                <w:spacing w:val="-5"/>
                <w:sz w:val="22"/>
              </w:rPr>
              <w:t>31,</w:t>
            </w:r>
          </w:p>
          <w:p>
            <w:pPr>
              <w:pStyle w:val="TableParagraph"/>
              <w:spacing w:line="248" w:lineRule="exact"/>
              <w:rPr>
                <w:sz w:val="22"/>
              </w:rPr>
            </w:pPr>
            <w:r>
              <w:rPr>
                <w:spacing w:val="-2"/>
                <w:sz w:val="22"/>
              </w:rPr>
              <w:t>2025.</w:t>
            </w:r>
          </w:p>
        </w:tc>
      </w:tr>
      <w:tr>
        <w:trPr>
          <w:trHeight w:val="804" w:hRule="atLeast"/>
        </w:trPr>
        <w:tc>
          <w:tcPr>
            <w:tcW w:w="4680" w:type="dxa"/>
          </w:tcPr>
          <w:p>
            <w:pPr>
              <w:pStyle w:val="TableParagraph"/>
              <w:ind w:right="391"/>
              <w:rPr>
                <w:sz w:val="22"/>
              </w:rPr>
            </w:pPr>
            <w:r>
              <w:rPr>
                <w:sz w:val="22"/>
              </w:rPr>
              <w:t>Leverage Shares 2x Long ARM Daily ETF Leverage</w:t>
            </w:r>
            <w:r>
              <w:rPr>
                <w:spacing w:val="-7"/>
                <w:sz w:val="22"/>
              </w:rPr>
              <w:t> </w:t>
            </w:r>
            <w:r>
              <w:rPr>
                <w:sz w:val="22"/>
              </w:rPr>
              <w:t>Shares</w:t>
            </w:r>
            <w:r>
              <w:rPr>
                <w:spacing w:val="-7"/>
                <w:sz w:val="22"/>
              </w:rPr>
              <w:t> </w:t>
            </w:r>
            <w:r>
              <w:rPr>
                <w:sz w:val="22"/>
              </w:rPr>
              <w:t>2x</w:t>
            </w:r>
            <w:r>
              <w:rPr>
                <w:spacing w:val="-7"/>
                <w:sz w:val="22"/>
              </w:rPr>
              <w:t> </w:t>
            </w:r>
            <w:r>
              <w:rPr>
                <w:sz w:val="22"/>
              </w:rPr>
              <w:t>Long</w:t>
            </w:r>
            <w:r>
              <w:rPr>
                <w:spacing w:val="-6"/>
                <w:sz w:val="22"/>
              </w:rPr>
              <w:t> </w:t>
            </w:r>
            <w:r>
              <w:rPr>
                <w:sz w:val="22"/>
              </w:rPr>
              <w:t>ASML</w:t>
            </w:r>
            <w:r>
              <w:rPr>
                <w:spacing w:val="-7"/>
                <w:sz w:val="22"/>
              </w:rPr>
              <w:t> </w:t>
            </w:r>
            <w:r>
              <w:rPr>
                <w:sz w:val="22"/>
              </w:rPr>
              <w:t>Daily</w:t>
            </w:r>
            <w:r>
              <w:rPr>
                <w:spacing w:val="-7"/>
                <w:sz w:val="22"/>
              </w:rPr>
              <w:t> </w:t>
            </w:r>
            <w:r>
              <w:rPr>
                <w:sz w:val="22"/>
              </w:rPr>
              <w:t>ETF</w:t>
            </w:r>
          </w:p>
          <w:p>
            <w:pPr>
              <w:pStyle w:val="TableParagraph"/>
              <w:spacing w:line="247" w:lineRule="exact"/>
              <w:rPr>
                <w:sz w:val="22"/>
              </w:rPr>
            </w:pPr>
            <w:r>
              <w:rPr>
                <w:sz w:val="22"/>
              </w:rPr>
              <w:t>Leverage</w:t>
            </w:r>
            <w:r>
              <w:rPr>
                <w:spacing w:val="-6"/>
                <w:sz w:val="22"/>
              </w:rPr>
              <w:t> </w:t>
            </w:r>
            <w:r>
              <w:rPr>
                <w:sz w:val="22"/>
              </w:rPr>
              <w:t>Shares</w:t>
            </w:r>
            <w:r>
              <w:rPr>
                <w:spacing w:val="-6"/>
                <w:sz w:val="22"/>
              </w:rPr>
              <w:t> </w:t>
            </w:r>
            <w:r>
              <w:rPr>
                <w:sz w:val="22"/>
              </w:rPr>
              <w:t>2x</w:t>
            </w:r>
            <w:r>
              <w:rPr>
                <w:spacing w:val="-6"/>
                <w:sz w:val="22"/>
              </w:rPr>
              <w:t> </w:t>
            </w:r>
            <w:r>
              <w:rPr>
                <w:sz w:val="22"/>
              </w:rPr>
              <w:t>Long</w:t>
            </w:r>
            <w:r>
              <w:rPr>
                <w:spacing w:val="-5"/>
                <w:sz w:val="22"/>
              </w:rPr>
              <w:t> </w:t>
            </w:r>
            <w:r>
              <w:rPr>
                <w:sz w:val="22"/>
              </w:rPr>
              <w:t>TSM</w:t>
            </w:r>
            <w:r>
              <w:rPr>
                <w:spacing w:val="-6"/>
                <w:sz w:val="22"/>
              </w:rPr>
              <w:t> </w:t>
            </w:r>
            <w:r>
              <w:rPr>
                <w:sz w:val="22"/>
              </w:rPr>
              <w:t>Daily</w:t>
            </w:r>
            <w:r>
              <w:rPr>
                <w:spacing w:val="-6"/>
                <w:sz w:val="22"/>
              </w:rPr>
              <w:t> </w:t>
            </w:r>
            <w:r>
              <w:rPr>
                <w:spacing w:val="-5"/>
                <w:sz w:val="22"/>
              </w:rPr>
              <w:t>ETF</w:t>
            </w:r>
          </w:p>
        </w:tc>
        <w:tc>
          <w:tcPr>
            <w:tcW w:w="7294" w:type="dxa"/>
            <w:gridSpan w:val="3"/>
          </w:tcPr>
          <w:p>
            <w:pPr>
              <w:pStyle w:val="TableParagraph"/>
              <w:rPr>
                <w:sz w:val="22"/>
              </w:rPr>
            </w:pPr>
            <w:r>
              <w:rPr>
                <w:spacing w:val="-2"/>
                <w:sz w:val="22"/>
              </w:rPr>
              <w:t>For</w:t>
            </w:r>
            <w:r>
              <w:rPr>
                <w:spacing w:val="-8"/>
                <w:sz w:val="22"/>
              </w:rPr>
              <w:t> </w:t>
            </w:r>
            <w:r>
              <w:rPr>
                <w:spacing w:val="-2"/>
                <w:sz w:val="22"/>
              </w:rPr>
              <w:t>the</w:t>
            </w:r>
            <w:r>
              <w:rPr>
                <w:spacing w:val="-7"/>
                <w:sz w:val="22"/>
              </w:rPr>
              <w:t> </w:t>
            </w:r>
            <w:r>
              <w:rPr>
                <w:spacing w:val="-2"/>
                <w:sz w:val="22"/>
              </w:rPr>
              <w:t>period</w:t>
            </w:r>
            <w:r>
              <w:rPr>
                <w:spacing w:val="-8"/>
                <w:sz w:val="22"/>
              </w:rPr>
              <w:t> </w:t>
            </w:r>
            <w:r>
              <w:rPr>
                <w:spacing w:val="-2"/>
                <w:sz w:val="22"/>
              </w:rPr>
              <w:t>from</w:t>
            </w:r>
            <w:r>
              <w:rPr>
                <w:spacing w:val="-8"/>
                <w:sz w:val="22"/>
              </w:rPr>
              <w:t> </w:t>
            </w:r>
            <w:r>
              <w:rPr>
                <w:spacing w:val="-2"/>
                <w:sz w:val="22"/>
              </w:rPr>
              <w:t>January</w:t>
            </w:r>
            <w:r>
              <w:rPr>
                <w:spacing w:val="-8"/>
                <w:sz w:val="22"/>
              </w:rPr>
              <w:t> </w:t>
            </w:r>
            <w:r>
              <w:rPr>
                <w:spacing w:val="-2"/>
                <w:sz w:val="22"/>
              </w:rPr>
              <w:t>13,</w:t>
            </w:r>
            <w:r>
              <w:rPr>
                <w:spacing w:val="-8"/>
                <w:sz w:val="22"/>
              </w:rPr>
              <w:t> </w:t>
            </w:r>
            <w:r>
              <w:rPr>
                <w:spacing w:val="-2"/>
                <w:sz w:val="22"/>
              </w:rPr>
              <w:t>2025</w:t>
            </w:r>
            <w:r>
              <w:rPr>
                <w:spacing w:val="-8"/>
                <w:sz w:val="22"/>
              </w:rPr>
              <w:t> </w:t>
            </w:r>
            <w:r>
              <w:rPr>
                <w:spacing w:val="-2"/>
                <w:sz w:val="22"/>
              </w:rPr>
              <w:t>(inception</w:t>
            </w:r>
            <w:r>
              <w:rPr>
                <w:spacing w:val="-8"/>
                <w:sz w:val="22"/>
              </w:rPr>
              <w:t> </w:t>
            </w:r>
            <w:r>
              <w:rPr>
                <w:spacing w:val="-2"/>
                <w:sz w:val="22"/>
              </w:rPr>
              <w:t>date)</w:t>
            </w:r>
            <w:r>
              <w:rPr>
                <w:spacing w:val="-8"/>
                <w:sz w:val="22"/>
              </w:rPr>
              <w:t> </w:t>
            </w:r>
            <w:r>
              <w:rPr>
                <w:spacing w:val="-2"/>
                <w:sz w:val="22"/>
              </w:rPr>
              <w:t>through</w:t>
            </w:r>
            <w:r>
              <w:rPr>
                <w:spacing w:val="-7"/>
                <w:sz w:val="22"/>
              </w:rPr>
              <w:t> </w:t>
            </w:r>
            <w:r>
              <w:rPr>
                <w:spacing w:val="-2"/>
                <w:sz w:val="22"/>
              </w:rPr>
              <w:t>October</w:t>
            </w:r>
            <w:r>
              <w:rPr>
                <w:spacing w:val="-8"/>
                <w:sz w:val="22"/>
              </w:rPr>
              <w:t> </w:t>
            </w:r>
            <w:r>
              <w:rPr>
                <w:spacing w:val="-2"/>
                <w:sz w:val="22"/>
              </w:rPr>
              <w:t>31,</w:t>
            </w:r>
            <w:r>
              <w:rPr>
                <w:spacing w:val="-8"/>
                <w:sz w:val="22"/>
              </w:rPr>
              <w:t> </w:t>
            </w:r>
            <w:r>
              <w:rPr>
                <w:spacing w:val="-2"/>
                <w:sz w:val="22"/>
              </w:rPr>
              <w:t>2025.</w:t>
            </w:r>
          </w:p>
        </w:tc>
      </w:tr>
      <w:tr>
        <w:trPr>
          <w:trHeight w:val="268" w:hRule="atLeast"/>
        </w:trPr>
        <w:tc>
          <w:tcPr>
            <w:tcW w:w="4680" w:type="dxa"/>
          </w:tcPr>
          <w:p>
            <w:pPr>
              <w:pStyle w:val="TableParagraph"/>
              <w:spacing w:line="248" w:lineRule="exact"/>
              <w:rPr>
                <w:sz w:val="22"/>
              </w:rPr>
            </w:pPr>
            <w:r>
              <w:rPr>
                <w:sz w:val="22"/>
              </w:rPr>
              <w:t>Leverage</w:t>
            </w:r>
            <w:r>
              <w:rPr>
                <w:spacing w:val="-6"/>
                <w:sz w:val="22"/>
              </w:rPr>
              <w:t> </w:t>
            </w:r>
            <w:r>
              <w:rPr>
                <w:sz w:val="22"/>
              </w:rPr>
              <w:t>Shares</w:t>
            </w:r>
            <w:r>
              <w:rPr>
                <w:spacing w:val="-6"/>
                <w:sz w:val="22"/>
              </w:rPr>
              <w:t> </w:t>
            </w:r>
            <w:r>
              <w:rPr>
                <w:sz w:val="22"/>
              </w:rPr>
              <w:t>2x</w:t>
            </w:r>
            <w:r>
              <w:rPr>
                <w:spacing w:val="-6"/>
                <w:sz w:val="22"/>
              </w:rPr>
              <w:t> </w:t>
            </w:r>
            <w:r>
              <w:rPr>
                <w:sz w:val="22"/>
              </w:rPr>
              <w:t>Long</w:t>
            </w:r>
            <w:r>
              <w:rPr>
                <w:spacing w:val="-5"/>
                <w:sz w:val="22"/>
              </w:rPr>
              <w:t> </w:t>
            </w:r>
            <w:r>
              <w:rPr>
                <w:sz w:val="22"/>
              </w:rPr>
              <w:t>AMD</w:t>
            </w:r>
            <w:r>
              <w:rPr>
                <w:spacing w:val="-6"/>
                <w:sz w:val="22"/>
              </w:rPr>
              <w:t> </w:t>
            </w:r>
            <w:r>
              <w:rPr>
                <w:sz w:val="22"/>
              </w:rPr>
              <w:t>Daily</w:t>
            </w:r>
            <w:r>
              <w:rPr>
                <w:spacing w:val="-6"/>
                <w:sz w:val="22"/>
              </w:rPr>
              <w:t> </w:t>
            </w:r>
            <w:r>
              <w:rPr>
                <w:spacing w:val="-5"/>
                <w:sz w:val="22"/>
              </w:rPr>
              <w:t>ETF</w:t>
            </w:r>
          </w:p>
        </w:tc>
        <w:tc>
          <w:tcPr>
            <w:tcW w:w="7294" w:type="dxa"/>
            <w:gridSpan w:val="3"/>
          </w:tcPr>
          <w:p>
            <w:pPr>
              <w:pStyle w:val="TableParagraph"/>
              <w:spacing w:line="248" w:lineRule="exact"/>
              <w:ind w:left="106"/>
              <w:rPr>
                <w:sz w:val="22"/>
              </w:rPr>
            </w:pPr>
            <w:r>
              <w:rPr>
                <w:spacing w:val="-2"/>
                <w:sz w:val="22"/>
              </w:rPr>
              <w:t>For</w:t>
            </w:r>
            <w:r>
              <w:rPr>
                <w:spacing w:val="-8"/>
                <w:sz w:val="22"/>
              </w:rPr>
              <w:t> </w:t>
            </w:r>
            <w:r>
              <w:rPr>
                <w:spacing w:val="-2"/>
                <w:sz w:val="22"/>
              </w:rPr>
              <w:t>the</w:t>
            </w:r>
            <w:r>
              <w:rPr>
                <w:spacing w:val="-7"/>
                <w:sz w:val="22"/>
              </w:rPr>
              <w:t> </w:t>
            </w:r>
            <w:r>
              <w:rPr>
                <w:spacing w:val="-2"/>
                <w:sz w:val="22"/>
              </w:rPr>
              <w:t>period</w:t>
            </w:r>
            <w:r>
              <w:rPr>
                <w:spacing w:val="-7"/>
                <w:sz w:val="22"/>
              </w:rPr>
              <w:t> </w:t>
            </w:r>
            <w:r>
              <w:rPr>
                <w:spacing w:val="-2"/>
                <w:sz w:val="22"/>
              </w:rPr>
              <w:t>from</w:t>
            </w:r>
            <w:r>
              <w:rPr>
                <w:spacing w:val="-8"/>
                <w:sz w:val="22"/>
              </w:rPr>
              <w:t> </w:t>
            </w:r>
            <w:r>
              <w:rPr>
                <w:spacing w:val="-2"/>
                <w:sz w:val="22"/>
              </w:rPr>
              <w:t>January</w:t>
            </w:r>
            <w:r>
              <w:rPr>
                <w:spacing w:val="-8"/>
                <w:sz w:val="22"/>
              </w:rPr>
              <w:t> </w:t>
            </w:r>
            <w:r>
              <w:rPr>
                <w:spacing w:val="-2"/>
                <w:sz w:val="22"/>
              </w:rPr>
              <w:t>23,</w:t>
            </w:r>
            <w:r>
              <w:rPr>
                <w:spacing w:val="-8"/>
                <w:sz w:val="22"/>
              </w:rPr>
              <w:t> </w:t>
            </w:r>
            <w:r>
              <w:rPr>
                <w:spacing w:val="-2"/>
                <w:sz w:val="22"/>
              </w:rPr>
              <w:t>2025</w:t>
            </w:r>
            <w:r>
              <w:rPr>
                <w:spacing w:val="-7"/>
                <w:sz w:val="22"/>
              </w:rPr>
              <w:t> </w:t>
            </w:r>
            <w:r>
              <w:rPr>
                <w:spacing w:val="-2"/>
                <w:sz w:val="22"/>
              </w:rPr>
              <w:t>(inception</w:t>
            </w:r>
            <w:r>
              <w:rPr>
                <w:spacing w:val="-8"/>
                <w:sz w:val="22"/>
              </w:rPr>
              <w:t> </w:t>
            </w:r>
            <w:r>
              <w:rPr>
                <w:spacing w:val="-2"/>
                <w:sz w:val="22"/>
              </w:rPr>
              <w:t>date)</w:t>
            </w:r>
            <w:r>
              <w:rPr>
                <w:spacing w:val="-8"/>
                <w:sz w:val="22"/>
              </w:rPr>
              <w:t> </w:t>
            </w:r>
            <w:r>
              <w:rPr>
                <w:spacing w:val="-2"/>
                <w:sz w:val="22"/>
              </w:rPr>
              <w:t>through</w:t>
            </w:r>
            <w:r>
              <w:rPr>
                <w:spacing w:val="-6"/>
                <w:sz w:val="22"/>
              </w:rPr>
              <w:t> </w:t>
            </w:r>
            <w:r>
              <w:rPr>
                <w:spacing w:val="-2"/>
                <w:sz w:val="22"/>
              </w:rPr>
              <w:t>October</w:t>
            </w:r>
            <w:r>
              <w:rPr>
                <w:spacing w:val="-8"/>
                <w:sz w:val="22"/>
              </w:rPr>
              <w:t> </w:t>
            </w:r>
            <w:r>
              <w:rPr>
                <w:spacing w:val="-2"/>
                <w:sz w:val="22"/>
              </w:rPr>
              <w:t>31,</w:t>
            </w:r>
            <w:r>
              <w:rPr>
                <w:spacing w:val="-8"/>
                <w:sz w:val="22"/>
              </w:rPr>
              <w:t> </w:t>
            </w:r>
            <w:r>
              <w:rPr>
                <w:spacing w:val="-2"/>
                <w:sz w:val="22"/>
              </w:rPr>
              <w:t>2025.</w:t>
            </w:r>
          </w:p>
        </w:tc>
      </w:tr>
      <w:tr>
        <w:trPr>
          <w:trHeight w:val="268" w:hRule="atLeast"/>
        </w:trPr>
        <w:tc>
          <w:tcPr>
            <w:tcW w:w="4680" w:type="dxa"/>
          </w:tcPr>
          <w:p>
            <w:pPr>
              <w:pStyle w:val="TableParagraph"/>
              <w:spacing w:line="248" w:lineRule="exact"/>
              <w:rPr>
                <w:sz w:val="22"/>
              </w:rPr>
            </w:pPr>
            <w:r>
              <w:rPr>
                <w:sz w:val="22"/>
              </w:rPr>
              <w:t>Leverage</w:t>
            </w:r>
            <w:r>
              <w:rPr>
                <w:spacing w:val="-6"/>
                <w:sz w:val="22"/>
              </w:rPr>
              <w:t> </w:t>
            </w:r>
            <w:r>
              <w:rPr>
                <w:sz w:val="22"/>
              </w:rPr>
              <w:t>Shares</w:t>
            </w:r>
            <w:r>
              <w:rPr>
                <w:spacing w:val="-6"/>
                <w:sz w:val="22"/>
              </w:rPr>
              <w:t> </w:t>
            </w:r>
            <w:r>
              <w:rPr>
                <w:sz w:val="22"/>
              </w:rPr>
              <w:t>2x</w:t>
            </w:r>
            <w:r>
              <w:rPr>
                <w:spacing w:val="-6"/>
                <w:sz w:val="22"/>
              </w:rPr>
              <w:t> </w:t>
            </w:r>
            <w:r>
              <w:rPr>
                <w:sz w:val="22"/>
              </w:rPr>
              <w:t>Long</w:t>
            </w:r>
            <w:r>
              <w:rPr>
                <w:spacing w:val="-6"/>
                <w:sz w:val="22"/>
              </w:rPr>
              <w:t> </w:t>
            </w:r>
            <w:r>
              <w:rPr>
                <w:sz w:val="22"/>
              </w:rPr>
              <w:t>COIN</w:t>
            </w:r>
            <w:r>
              <w:rPr>
                <w:spacing w:val="-6"/>
                <w:sz w:val="22"/>
              </w:rPr>
              <w:t> </w:t>
            </w:r>
            <w:r>
              <w:rPr>
                <w:sz w:val="22"/>
              </w:rPr>
              <w:t>Daily</w:t>
            </w:r>
            <w:r>
              <w:rPr>
                <w:spacing w:val="-6"/>
                <w:sz w:val="22"/>
              </w:rPr>
              <w:t> </w:t>
            </w:r>
            <w:r>
              <w:rPr>
                <w:spacing w:val="-5"/>
                <w:sz w:val="22"/>
              </w:rPr>
              <w:t>ETF</w:t>
            </w:r>
          </w:p>
        </w:tc>
        <w:tc>
          <w:tcPr>
            <w:tcW w:w="7294" w:type="dxa"/>
            <w:gridSpan w:val="3"/>
          </w:tcPr>
          <w:p>
            <w:pPr>
              <w:pStyle w:val="TableParagraph"/>
              <w:spacing w:line="248" w:lineRule="exact"/>
              <w:ind w:left="106"/>
              <w:rPr>
                <w:sz w:val="22"/>
              </w:rPr>
            </w:pPr>
            <w:r>
              <w:rPr>
                <w:sz w:val="22"/>
              </w:rPr>
              <w:t>For</w:t>
            </w:r>
            <w:r>
              <w:rPr>
                <w:spacing w:val="-9"/>
                <w:sz w:val="22"/>
              </w:rPr>
              <w:t> </w:t>
            </w:r>
            <w:r>
              <w:rPr>
                <w:sz w:val="22"/>
              </w:rPr>
              <w:t>the</w:t>
            </w:r>
            <w:r>
              <w:rPr>
                <w:spacing w:val="-9"/>
                <w:sz w:val="22"/>
              </w:rPr>
              <w:t> </w:t>
            </w:r>
            <w:r>
              <w:rPr>
                <w:sz w:val="22"/>
              </w:rPr>
              <w:t>period</w:t>
            </w:r>
            <w:r>
              <w:rPr>
                <w:spacing w:val="-9"/>
                <w:sz w:val="22"/>
              </w:rPr>
              <w:t> </w:t>
            </w:r>
            <w:r>
              <w:rPr>
                <w:sz w:val="22"/>
              </w:rPr>
              <w:t>from</w:t>
            </w:r>
            <w:r>
              <w:rPr>
                <w:spacing w:val="-9"/>
                <w:sz w:val="22"/>
              </w:rPr>
              <w:t> </w:t>
            </w:r>
            <w:r>
              <w:rPr>
                <w:sz w:val="22"/>
              </w:rPr>
              <w:t>March</w:t>
            </w:r>
            <w:r>
              <w:rPr>
                <w:spacing w:val="-9"/>
                <w:sz w:val="22"/>
              </w:rPr>
              <w:t> </w:t>
            </w:r>
            <w:r>
              <w:rPr>
                <w:sz w:val="22"/>
              </w:rPr>
              <w:t>13,</w:t>
            </w:r>
            <w:r>
              <w:rPr>
                <w:spacing w:val="-9"/>
                <w:sz w:val="22"/>
              </w:rPr>
              <w:t> </w:t>
            </w:r>
            <w:r>
              <w:rPr>
                <w:sz w:val="22"/>
              </w:rPr>
              <w:t>2025</w:t>
            </w:r>
            <w:r>
              <w:rPr>
                <w:spacing w:val="-9"/>
                <w:sz w:val="22"/>
              </w:rPr>
              <w:t> </w:t>
            </w:r>
            <w:r>
              <w:rPr>
                <w:sz w:val="22"/>
              </w:rPr>
              <w:t>(inception</w:t>
            </w:r>
            <w:r>
              <w:rPr>
                <w:spacing w:val="-9"/>
                <w:sz w:val="22"/>
              </w:rPr>
              <w:t> </w:t>
            </w:r>
            <w:r>
              <w:rPr>
                <w:sz w:val="22"/>
              </w:rPr>
              <w:t>date)</w:t>
            </w:r>
            <w:r>
              <w:rPr>
                <w:spacing w:val="-9"/>
                <w:sz w:val="22"/>
              </w:rPr>
              <w:t> </w:t>
            </w:r>
            <w:r>
              <w:rPr>
                <w:sz w:val="22"/>
              </w:rPr>
              <w:t>through</w:t>
            </w:r>
            <w:r>
              <w:rPr>
                <w:spacing w:val="-9"/>
                <w:sz w:val="22"/>
              </w:rPr>
              <w:t> </w:t>
            </w:r>
            <w:r>
              <w:rPr>
                <w:sz w:val="22"/>
              </w:rPr>
              <w:t>October</w:t>
            </w:r>
            <w:r>
              <w:rPr>
                <w:spacing w:val="-9"/>
                <w:sz w:val="22"/>
              </w:rPr>
              <w:t> </w:t>
            </w:r>
            <w:r>
              <w:rPr>
                <w:sz w:val="22"/>
              </w:rPr>
              <w:t>31,</w:t>
            </w:r>
            <w:r>
              <w:rPr>
                <w:spacing w:val="-8"/>
                <w:sz w:val="22"/>
              </w:rPr>
              <w:t> </w:t>
            </w:r>
            <w:r>
              <w:rPr>
                <w:spacing w:val="-2"/>
                <w:sz w:val="22"/>
              </w:rPr>
              <w:t>2025.</w:t>
            </w:r>
          </w:p>
        </w:tc>
      </w:tr>
      <w:tr>
        <w:trPr>
          <w:trHeight w:val="805" w:hRule="atLeast"/>
        </w:trPr>
        <w:tc>
          <w:tcPr>
            <w:tcW w:w="4680" w:type="dxa"/>
          </w:tcPr>
          <w:p>
            <w:pPr>
              <w:pStyle w:val="TableParagraph"/>
              <w:spacing w:before="1"/>
              <w:ind w:right="391"/>
              <w:rPr>
                <w:sz w:val="22"/>
              </w:rPr>
            </w:pPr>
            <w:r>
              <w:rPr>
                <w:sz w:val="22"/>
              </w:rPr>
              <w:t>Leverage Shares 2x Long ADBE Daily ETF Leverage</w:t>
            </w:r>
            <w:r>
              <w:rPr>
                <w:spacing w:val="-7"/>
                <w:sz w:val="22"/>
              </w:rPr>
              <w:t> </w:t>
            </w:r>
            <w:r>
              <w:rPr>
                <w:sz w:val="22"/>
              </w:rPr>
              <w:t>Shares</w:t>
            </w:r>
            <w:r>
              <w:rPr>
                <w:spacing w:val="-7"/>
                <w:sz w:val="22"/>
              </w:rPr>
              <w:t> </w:t>
            </w:r>
            <w:r>
              <w:rPr>
                <w:sz w:val="22"/>
              </w:rPr>
              <w:t>2x</w:t>
            </w:r>
            <w:r>
              <w:rPr>
                <w:spacing w:val="-7"/>
                <w:sz w:val="22"/>
              </w:rPr>
              <w:t> </w:t>
            </w:r>
            <w:r>
              <w:rPr>
                <w:sz w:val="22"/>
              </w:rPr>
              <w:t>Long</w:t>
            </w:r>
            <w:r>
              <w:rPr>
                <w:spacing w:val="-6"/>
                <w:sz w:val="22"/>
              </w:rPr>
              <w:t> </w:t>
            </w:r>
            <w:r>
              <w:rPr>
                <w:sz w:val="22"/>
              </w:rPr>
              <w:t>HOOD</w:t>
            </w:r>
            <w:r>
              <w:rPr>
                <w:spacing w:val="-7"/>
                <w:sz w:val="22"/>
              </w:rPr>
              <w:t> </w:t>
            </w:r>
            <w:r>
              <w:rPr>
                <w:sz w:val="22"/>
              </w:rPr>
              <w:t>Daily</w:t>
            </w:r>
            <w:r>
              <w:rPr>
                <w:spacing w:val="-6"/>
                <w:sz w:val="22"/>
              </w:rPr>
              <w:t> </w:t>
            </w:r>
            <w:r>
              <w:rPr>
                <w:spacing w:val="-5"/>
                <w:sz w:val="22"/>
              </w:rPr>
              <w:t>ETF</w:t>
            </w:r>
          </w:p>
          <w:p>
            <w:pPr>
              <w:pStyle w:val="TableParagraph"/>
              <w:spacing w:line="247" w:lineRule="exact"/>
              <w:rPr>
                <w:sz w:val="22"/>
              </w:rPr>
            </w:pPr>
            <w:r>
              <w:rPr>
                <w:sz w:val="22"/>
              </w:rPr>
              <w:t>Leverage</w:t>
            </w:r>
            <w:r>
              <w:rPr>
                <w:spacing w:val="-7"/>
                <w:sz w:val="22"/>
              </w:rPr>
              <w:t> </w:t>
            </w:r>
            <w:r>
              <w:rPr>
                <w:sz w:val="22"/>
              </w:rPr>
              <w:t>Shares</w:t>
            </w:r>
            <w:r>
              <w:rPr>
                <w:spacing w:val="-6"/>
                <w:sz w:val="22"/>
              </w:rPr>
              <w:t> </w:t>
            </w:r>
            <w:r>
              <w:rPr>
                <w:sz w:val="22"/>
              </w:rPr>
              <w:t>2X</w:t>
            </w:r>
            <w:r>
              <w:rPr>
                <w:spacing w:val="-6"/>
                <w:sz w:val="22"/>
              </w:rPr>
              <w:t> </w:t>
            </w:r>
            <w:r>
              <w:rPr>
                <w:sz w:val="22"/>
              </w:rPr>
              <w:t>Long</w:t>
            </w:r>
            <w:r>
              <w:rPr>
                <w:spacing w:val="-5"/>
                <w:sz w:val="22"/>
              </w:rPr>
              <w:t> </w:t>
            </w:r>
            <w:r>
              <w:rPr>
                <w:sz w:val="22"/>
              </w:rPr>
              <w:t>PANW</w:t>
            </w:r>
            <w:r>
              <w:rPr>
                <w:spacing w:val="-6"/>
                <w:sz w:val="22"/>
              </w:rPr>
              <w:t> </w:t>
            </w:r>
            <w:r>
              <w:rPr>
                <w:sz w:val="22"/>
              </w:rPr>
              <w:t>Daily</w:t>
            </w:r>
            <w:r>
              <w:rPr>
                <w:spacing w:val="-5"/>
                <w:sz w:val="22"/>
              </w:rPr>
              <w:t> ETF</w:t>
            </w:r>
          </w:p>
        </w:tc>
        <w:tc>
          <w:tcPr>
            <w:tcW w:w="7294" w:type="dxa"/>
            <w:gridSpan w:val="3"/>
          </w:tcPr>
          <w:p>
            <w:pPr>
              <w:pStyle w:val="TableParagraph"/>
              <w:spacing w:before="1"/>
              <w:rPr>
                <w:sz w:val="22"/>
              </w:rPr>
            </w:pPr>
            <w:r>
              <w:rPr>
                <w:sz w:val="22"/>
              </w:rPr>
              <w:t>For</w:t>
            </w:r>
            <w:r>
              <w:rPr>
                <w:spacing w:val="-9"/>
                <w:sz w:val="22"/>
              </w:rPr>
              <w:t> </w:t>
            </w:r>
            <w:r>
              <w:rPr>
                <w:sz w:val="22"/>
              </w:rPr>
              <w:t>the</w:t>
            </w:r>
            <w:r>
              <w:rPr>
                <w:spacing w:val="-8"/>
                <w:sz w:val="22"/>
              </w:rPr>
              <w:t> </w:t>
            </w:r>
            <w:r>
              <w:rPr>
                <w:sz w:val="22"/>
              </w:rPr>
              <w:t>period</w:t>
            </w:r>
            <w:r>
              <w:rPr>
                <w:spacing w:val="-10"/>
                <w:sz w:val="22"/>
              </w:rPr>
              <w:t> </w:t>
            </w:r>
            <w:r>
              <w:rPr>
                <w:sz w:val="22"/>
              </w:rPr>
              <w:t>from</w:t>
            </w:r>
            <w:r>
              <w:rPr>
                <w:spacing w:val="-9"/>
                <w:sz w:val="22"/>
              </w:rPr>
              <w:t> </w:t>
            </w:r>
            <w:r>
              <w:rPr>
                <w:sz w:val="22"/>
              </w:rPr>
              <w:t>March</w:t>
            </w:r>
            <w:r>
              <w:rPr>
                <w:spacing w:val="-9"/>
                <w:sz w:val="22"/>
              </w:rPr>
              <w:t> </w:t>
            </w:r>
            <w:r>
              <w:rPr>
                <w:sz w:val="22"/>
              </w:rPr>
              <w:t>20,</w:t>
            </w:r>
            <w:r>
              <w:rPr>
                <w:spacing w:val="-9"/>
                <w:sz w:val="22"/>
              </w:rPr>
              <w:t> </w:t>
            </w:r>
            <w:r>
              <w:rPr>
                <w:sz w:val="22"/>
              </w:rPr>
              <w:t>2025</w:t>
            </w:r>
            <w:r>
              <w:rPr>
                <w:spacing w:val="-8"/>
                <w:sz w:val="22"/>
              </w:rPr>
              <w:t> </w:t>
            </w:r>
            <w:r>
              <w:rPr>
                <w:sz w:val="22"/>
              </w:rPr>
              <w:t>(inception</w:t>
            </w:r>
            <w:r>
              <w:rPr>
                <w:spacing w:val="-9"/>
                <w:sz w:val="22"/>
              </w:rPr>
              <w:t> </w:t>
            </w:r>
            <w:r>
              <w:rPr>
                <w:sz w:val="22"/>
              </w:rPr>
              <w:t>date)</w:t>
            </w:r>
            <w:r>
              <w:rPr>
                <w:spacing w:val="-9"/>
                <w:sz w:val="22"/>
              </w:rPr>
              <w:t> </w:t>
            </w:r>
            <w:r>
              <w:rPr>
                <w:sz w:val="22"/>
              </w:rPr>
              <w:t>through</w:t>
            </w:r>
            <w:r>
              <w:rPr>
                <w:spacing w:val="-10"/>
                <w:sz w:val="22"/>
              </w:rPr>
              <w:t> </w:t>
            </w:r>
            <w:r>
              <w:rPr>
                <w:sz w:val="22"/>
              </w:rPr>
              <w:t>October</w:t>
            </w:r>
            <w:r>
              <w:rPr>
                <w:spacing w:val="-9"/>
                <w:sz w:val="22"/>
              </w:rPr>
              <w:t> </w:t>
            </w:r>
            <w:r>
              <w:rPr>
                <w:sz w:val="22"/>
              </w:rPr>
              <w:t>31,</w:t>
            </w:r>
            <w:r>
              <w:rPr>
                <w:spacing w:val="-8"/>
                <w:sz w:val="22"/>
              </w:rPr>
              <w:t> </w:t>
            </w:r>
            <w:r>
              <w:rPr>
                <w:spacing w:val="-2"/>
                <w:sz w:val="22"/>
              </w:rPr>
              <w:t>2025.</w:t>
            </w:r>
          </w:p>
        </w:tc>
      </w:tr>
      <w:tr>
        <w:trPr>
          <w:trHeight w:val="806" w:hRule="atLeast"/>
        </w:trPr>
        <w:tc>
          <w:tcPr>
            <w:tcW w:w="4680" w:type="dxa"/>
          </w:tcPr>
          <w:p>
            <w:pPr>
              <w:pStyle w:val="TableParagraph"/>
              <w:spacing w:line="270" w:lineRule="atLeast"/>
              <w:ind w:right="1046"/>
              <w:jc w:val="both"/>
              <w:rPr>
                <w:sz w:val="22"/>
              </w:rPr>
            </w:pPr>
            <w:r>
              <w:rPr>
                <w:sz w:val="22"/>
              </w:rPr>
              <w:t>Leverage</w:t>
            </w:r>
            <w:r>
              <w:rPr>
                <w:spacing w:val="-7"/>
                <w:sz w:val="22"/>
              </w:rPr>
              <w:t> </w:t>
            </w:r>
            <w:r>
              <w:rPr>
                <w:sz w:val="22"/>
              </w:rPr>
              <w:t>Shares</w:t>
            </w:r>
            <w:r>
              <w:rPr>
                <w:spacing w:val="-7"/>
                <w:sz w:val="22"/>
              </w:rPr>
              <w:t> </w:t>
            </w:r>
            <w:r>
              <w:rPr>
                <w:sz w:val="22"/>
              </w:rPr>
              <w:t>2x</w:t>
            </w:r>
            <w:r>
              <w:rPr>
                <w:spacing w:val="-7"/>
                <w:sz w:val="22"/>
              </w:rPr>
              <w:t> </w:t>
            </w:r>
            <w:r>
              <w:rPr>
                <w:sz w:val="22"/>
              </w:rPr>
              <w:t>Long</w:t>
            </w:r>
            <w:r>
              <w:rPr>
                <w:spacing w:val="-6"/>
                <w:sz w:val="22"/>
              </w:rPr>
              <w:t> </w:t>
            </w:r>
            <w:r>
              <w:rPr>
                <w:sz w:val="22"/>
              </w:rPr>
              <w:t>CRM</w:t>
            </w:r>
            <w:r>
              <w:rPr>
                <w:spacing w:val="-7"/>
                <w:sz w:val="22"/>
              </w:rPr>
              <w:t> </w:t>
            </w:r>
            <w:r>
              <w:rPr>
                <w:sz w:val="22"/>
              </w:rPr>
              <w:t>Daily</w:t>
            </w:r>
            <w:r>
              <w:rPr>
                <w:spacing w:val="-7"/>
                <w:sz w:val="22"/>
              </w:rPr>
              <w:t> </w:t>
            </w:r>
            <w:r>
              <w:rPr>
                <w:sz w:val="22"/>
              </w:rPr>
              <w:t>ETF Leverage</w:t>
            </w:r>
            <w:r>
              <w:rPr>
                <w:spacing w:val="-7"/>
                <w:sz w:val="22"/>
              </w:rPr>
              <w:t> </w:t>
            </w:r>
            <w:r>
              <w:rPr>
                <w:sz w:val="22"/>
              </w:rPr>
              <w:t>Shares</w:t>
            </w:r>
            <w:r>
              <w:rPr>
                <w:spacing w:val="-7"/>
                <w:sz w:val="22"/>
              </w:rPr>
              <w:t> </w:t>
            </w:r>
            <w:r>
              <w:rPr>
                <w:sz w:val="22"/>
              </w:rPr>
              <w:t>2x</w:t>
            </w:r>
            <w:r>
              <w:rPr>
                <w:spacing w:val="-7"/>
                <w:sz w:val="22"/>
              </w:rPr>
              <w:t> </w:t>
            </w:r>
            <w:r>
              <w:rPr>
                <w:sz w:val="22"/>
              </w:rPr>
              <w:t>Long</w:t>
            </w:r>
            <w:r>
              <w:rPr>
                <w:spacing w:val="-6"/>
                <w:sz w:val="22"/>
              </w:rPr>
              <w:t> </w:t>
            </w:r>
            <w:r>
              <w:rPr>
                <w:sz w:val="22"/>
              </w:rPr>
              <w:t>PYPL</w:t>
            </w:r>
            <w:r>
              <w:rPr>
                <w:spacing w:val="-7"/>
                <w:sz w:val="22"/>
              </w:rPr>
              <w:t> </w:t>
            </w:r>
            <w:r>
              <w:rPr>
                <w:sz w:val="22"/>
              </w:rPr>
              <w:t>Daily</w:t>
            </w:r>
            <w:r>
              <w:rPr>
                <w:spacing w:val="-7"/>
                <w:sz w:val="22"/>
              </w:rPr>
              <w:t> </w:t>
            </w:r>
            <w:r>
              <w:rPr>
                <w:sz w:val="22"/>
              </w:rPr>
              <w:t>ETF Leverage Shares 2x Long XYZ Daily ETF</w:t>
            </w:r>
          </w:p>
        </w:tc>
        <w:tc>
          <w:tcPr>
            <w:tcW w:w="7294" w:type="dxa"/>
            <w:gridSpan w:val="3"/>
          </w:tcPr>
          <w:p>
            <w:pPr>
              <w:pStyle w:val="TableParagraph"/>
              <w:rPr>
                <w:sz w:val="22"/>
              </w:rPr>
            </w:pPr>
            <w:r>
              <w:rPr>
                <w:sz w:val="22"/>
              </w:rPr>
              <w:t>For</w:t>
            </w:r>
            <w:r>
              <w:rPr>
                <w:spacing w:val="-6"/>
                <w:sz w:val="22"/>
              </w:rPr>
              <w:t> </w:t>
            </w:r>
            <w:r>
              <w:rPr>
                <w:sz w:val="22"/>
              </w:rPr>
              <w:t>the</w:t>
            </w:r>
            <w:r>
              <w:rPr>
                <w:spacing w:val="-6"/>
                <w:sz w:val="22"/>
              </w:rPr>
              <w:t> </w:t>
            </w:r>
            <w:r>
              <w:rPr>
                <w:sz w:val="22"/>
              </w:rPr>
              <w:t>period</w:t>
            </w:r>
            <w:r>
              <w:rPr>
                <w:spacing w:val="-6"/>
                <w:sz w:val="22"/>
              </w:rPr>
              <w:t> </w:t>
            </w:r>
            <w:r>
              <w:rPr>
                <w:sz w:val="22"/>
              </w:rPr>
              <w:t>from</w:t>
            </w:r>
            <w:r>
              <w:rPr>
                <w:spacing w:val="-5"/>
                <w:sz w:val="22"/>
              </w:rPr>
              <w:t> </w:t>
            </w:r>
            <w:r>
              <w:rPr>
                <w:sz w:val="22"/>
              </w:rPr>
              <w:t>April</w:t>
            </w:r>
            <w:r>
              <w:rPr>
                <w:spacing w:val="-5"/>
                <w:sz w:val="22"/>
              </w:rPr>
              <w:t> </w:t>
            </w:r>
            <w:r>
              <w:rPr>
                <w:sz w:val="22"/>
              </w:rPr>
              <w:t>3,</w:t>
            </w:r>
            <w:r>
              <w:rPr>
                <w:spacing w:val="-6"/>
                <w:sz w:val="22"/>
              </w:rPr>
              <w:t> </w:t>
            </w:r>
            <w:r>
              <w:rPr>
                <w:sz w:val="22"/>
              </w:rPr>
              <w:t>2025</w:t>
            </w:r>
            <w:r>
              <w:rPr>
                <w:spacing w:val="-5"/>
                <w:sz w:val="22"/>
              </w:rPr>
              <w:t> </w:t>
            </w:r>
            <w:r>
              <w:rPr>
                <w:sz w:val="22"/>
              </w:rPr>
              <w:t>(inception</w:t>
            </w:r>
            <w:r>
              <w:rPr>
                <w:spacing w:val="-5"/>
                <w:sz w:val="22"/>
              </w:rPr>
              <w:t> </w:t>
            </w:r>
            <w:r>
              <w:rPr>
                <w:sz w:val="22"/>
              </w:rPr>
              <w:t>date)</w:t>
            </w:r>
            <w:r>
              <w:rPr>
                <w:spacing w:val="-6"/>
                <w:sz w:val="22"/>
              </w:rPr>
              <w:t> </w:t>
            </w:r>
            <w:r>
              <w:rPr>
                <w:sz w:val="22"/>
              </w:rPr>
              <w:t>through</w:t>
            </w:r>
            <w:r>
              <w:rPr>
                <w:spacing w:val="-5"/>
                <w:sz w:val="22"/>
              </w:rPr>
              <w:t> </w:t>
            </w:r>
            <w:r>
              <w:rPr>
                <w:sz w:val="22"/>
              </w:rPr>
              <w:t>October</w:t>
            </w:r>
            <w:r>
              <w:rPr>
                <w:spacing w:val="-5"/>
                <w:sz w:val="22"/>
              </w:rPr>
              <w:t> </w:t>
            </w:r>
            <w:r>
              <w:rPr>
                <w:sz w:val="22"/>
              </w:rPr>
              <w:t>31,</w:t>
            </w:r>
            <w:r>
              <w:rPr>
                <w:spacing w:val="-6"/>
                <w:sz w:val="22"/>
              </w:rPr>
              <w:t> </w:t>
            </w:r>
            <w:r>
              <w:rPr>
                <w:spacing w:val="-2"/>
                <w:sz w:val="22"/>
              </w:rPr>
              <w:t>2025.</w:t>
            </w:r>
          </w:p>
        </w:tc>
      </w:tr>
      <w:tr>
        <w:trPr>
          <w:trHeight w:val="264" w:hRule="atLeast"/>
        </w:trPr>
        <w:tc>
          <w:tcPr>
            <w:tcW w:w="4680" w:type="dxa"/>
          </w:tcPr>
          <w:p>
            <w:pPr>
              <w:pStyle w:val="TableParagraph"/>
              <w:spacing w:line="244" w:lineRule="exact"/>
              <w:rPr>
                <w:sz w:val="22"/>
              </w:rPr>
            </w:pPr>
            <w:r>
              <w:rPr>
                <w:sz w:val="22"/>
              </w:rPr>
              <w:t>Leverage</w:t>
            </w:r>
            <w:r>
              <w:rPr>
                <w:spacing w:val="-6"/>
                <w:sz w:val="22"/>
              </w:rPr>
              <w:t> </w:t>
            </w:r>
            <w:r>
              <w:rPr>
                <w:sz w:val="22"/>
              </w:rPr>
              <w:t>Shares</w:t>
            </w:r>
            <w:r>
              <w:rPr>
                <w:spacing w:val="-6"/>
                <w:sz w:val="22"/>
              </w:rPr>
              <w:t> </w:t>
            </w:r>
            <w:r>
              <w:rPr>
                <w:sz w:val="22"/>
              </w:rPr>
              <w:t>2x</w:t>
            </w:r>
            <w:r>
              <w:rPr>
                <w:spacing w:val="-5"/>
                <w:sz w:val="22"/>
              </w:rPr>
              <w:t> </w:t>
            </w:r>
            <w:r>
              <w:rPr>
                <w:sz w:val="22"/>
              </w:rPr>
              <w:t>Long</w:t>
            </w:r>
            <w:r>
              <w:rPr>
                <w:spacing w:val="-6"/>
                <w:sz w:val="22"/>
              </w:rPr>
              <w:t> </w:t>
            </w:r>
            <w:r>
              <w:rPr>
                <w:sz w:val="22"/>
              </w:rPr>
              <w:t>PLTR</w:t>
            </w:r>
            <w:r>
              <w:rPr>
                <w:spacing w:val="-6"/>
                <w:sz w:val="22"/>
              </w:rPr>
              <w:t> </w:t>
            </w:r>
            <w:r>
              <w:rPr>
                <w:sz w:val="22"/>
              </w:rPr>
              <w:t>Daily</w:t>
            </w:r>
            <w:r>
              <w:rPr>
                <w:spacing w:val="-5"/>
                <w:sz w:val="22"/>
              </w:rPr>
              <w:t> ETF</w:t>
            </w:r>
          </w:p>
        </w:tc>
        <w:tc>
          <w:tcPr>
            <w:tcW w:w="7294" w:type="dxa"/>
            <w:gridSpan w:val="3"/>
          </w:tcPr>
          <w:p>
            <w:pPr>
              <w:pStyle w:val="TableParagraph"/>
              <w:spacing w:line="244" w:lineRule="exact"/>
              <w:ind w:left="105"/>
              <w:rPr>
                <w:sz w:val="22"/>
              </w:rPr>
            </w:pPr>
            <w:r>
              <w:rPr>
                <w:sz w:val="22"/>
              </w:rPr>
              <w:t>For</w:t>
            </w:r>
            <w:r>
              <w:rPr>
                <w:spacing w:val="-6"/>
                <w:sz w:val="22"/>
              </w:rPr>
              <w:t> </w:t>
            </w:r>
            <w:r>
              <w:rPr>
                <w:sz w:val="22"/>
              </w:rPr>
              <w:t>the</w:t>
            </w:r>
            <w:r>
              <w:rPr>
                <w:spacing w:val="-6"/>
                <w:sz w:val="22"/>
              </w:rPr>
              <w:t> </w:t>
            </w:r>
            <w:r>
              <w:rPr>
                <w:sz w:val="22"/>
              </w:rPr>
              <w:t>period</w:t>
            </w:r>
            <w:r>
              <w:rPr>
                <w:spacing w:val="-3"/>
                <w:sz w:val="22"/>
              </w:rPr>
              <w:t> </w:t>
            </w:r>
            <w:r>
              <w:rPr>
                <w:sz w:val="22"/>
              </w:rPr>
              <w:t>from</w:t>
            </w:r>
            <w:r>
              <w:rPr>
                <w:spacing w:val="-6"/>
                <w:sz w:val="22"/>
              </w:rPr>
              <w:t> </w:t>
            </w:r>
            <w:r>
              <w:rPr>
                <w:sz w:val="22"/>
              </w:rPr>
              <w:t>April</w:t>
            </w:r>
            <w:r>
              <w:rPr>
                <w:spacing w:val="-5"/>
                <w:sz w:val="22"/>
              </w:rPr>
              <w:t> </w:t>
            </w:r>
            <w:r>
              <w:rPr>
                <w:sz w:val="22"/>
              </w:rPr>
              <w:t>24,</w:t>
            </w:r>
            <w:r>
              <w:rPr>
                <w:spacing w:val="-5"/>
                <w:sz w:val="22"/>
              </w:rPr>
              <w:t> </w:t>
            </w:r>
            <w:r>
              <w:rPr>
                <w:sz w:val="22"/>
              </w:rPr>
              <w:t>2025</w:t>
            </w:r>
            <w:r>
              <w:rPr>
                <w:spacing w:val="-6"/>
                <w:sz w:val="22"/>
              </w:rPr>
              <w:t> </w:t>
            </w:r>
            <w:r>
              <w:rPr>
                <w:sz w:val="22"/>
              </w:rPr>
              <w:t>(inception</w:t>
            </w:r>
            <w:r>
              <w:rPr>
                <w:spacing w:val="-5"/>
                <w:sz w:val="22"/>
              </w:rPr>
              <w:t> </w:t>
            </w:r>
            <w:r>
              <w:rPr>
                <w:sz w:val="22"/>
              </w:rPr>
              <w:t>date)</w:t>
            </w:r>
            <w:r>
              <w:rPr>
                <w:spacing w:val="-5"/>
                <w:sz w:val="22"/>
              </w:rPr>
              <w:t> </w:t>
            </w:r>
            <w:r>
              <w:rPr>
                <w:sz w:val="22"/>
              </w:rPr>
              <w:t>through</w:t>
            </w:r>
            <w:r>
              <w:rPr>
                <w:spacing w:val="-5"/>
                <w:sz w:val="22"/>
              </w:rPr>
              <w:t> </w:t>
            </w:r>
            <w:r>
              <w:rPr>
                <w:sz w:val="22"/>
              </w:rPr>
              <w:t>October</w:t>
            </w:r>
            <w:r>
              <w:rPr>
                <w:spacing w:val="-5"/>
                <w:sz w:val="22"/>
              </w:rPr>
              <w:t> </w:t>
            </w:r>
            <w:r>
              <w:rPr>
                <w:sz w:val="22"/>
              </w:rPr>
              <w:t>31,</w:t>
            </w:r>
            <w:r>
              <w:rPr>
                <w:spacing w:val="-6"/>
                <w:sz w:val="22"/>
              </w:rPr>
              <w:t> </w:t>
            </w:r>
            <w:r>
              <w:rPr>
                <w:spacing w:val="-2"/>
                <w:sz w:val="22"/>
              </w:rPr>
              <w:t>2025.</w:t>
            </w:r>
          </w:p>
        </w:tc>
      </w:tr>
      <w:tr>
        <w:trPr>
          <w:trHeight w:val="268" w:hRule="atLeast"/>
        </w:trPr>
        <w:tc>
          <w:tcPr>
            <w:tcW w:w="4680" w:type="dxa"/>
          </w:tcPr>
          <w:p>
            <w:pPr>
              <w:pStyle w:val="TableParagraph"/>
              <w:spacing w:line="248" w:lineRule="exact"/>
              <w:rPr>
                <w:sz w:val="22"/>
              </w:rPr>
            </w:pPr>
            <w:r>
              <w:rPr>
                <w:sz w:val="22"/>
              </w:rPr>
              <w:t>Leverage</w:t>
            </w:r>
            <w:r>
              <w:rPr>
                <w:spacing w:val="-6"/>
                <w:sz w:val="22"/>
              </w:rPr>
              <w:t> </w:t>
            </w:r>
            <w:r>
              <w:rPr>
                <w:sz w:val="22"/>
              </w:rPr>
              <w:t>Shares</w:t>
            </w:r>
            <w:r>
              <w:rPr>
                <w:spacing w:val="-6"/>
                <w:sz w:val="22"/>
              </w:rPr>
              <w:t> </w:t>
            </w:r>
            <w:r>
              <w:rPr>
                <w:sz w:val="22"/>
              </w:rPr>
              <w:t>2x</w:t>
            </w:r>
            <w:r>
              <w:rPr>
                <w:spacing w:val="-6"/>
                <w:sz w:val="22"/>
              </w:rPr>
              <w:t> </w:t>
            </w:r>
            <w:r>
              <w:rPr>
                <w:sz w:val="22"/>
              </w:rPr>
              <w:t>Long</w:t>
            </w:r>
            <w:r>
              <w:rPr>
                <w:spacing w:val="-6"/>
                <w:sz w:val="22"/>
              </w:rPr>
              <w:t> </w:t>
            </w:r>
            <w:r>
              <w:rPr>
                <w:sz w:val="22"/>
              </w:rPr>
              <w:t>AVGO</w:t>
            </w:r>
            <w:r>
              <w:rPr>
                <w:spacing w:val="-6"/>
                <w:sz w:val="22"/>
              </w:rPr>
              <w:t> </w:t>
            </w:r>
            <w:r>
              <w:rPr>
                <w:sz w:val="22"/>
              </w:rPr>
              <w:t>Daily</w:t>
            </w:r>
            <w:r>
              <w:rPr>
                <w:spacing w:val="-5"/>
                <w:sz w:val="22"/>
              </w:rPr>
              <w:t> ETF</w:t>
            </w:r>
          </w:p>
        </w:tc>
        <w:tc>
          <w:tcPr>
            <w:tcW w:w="7294" w:type="dxa"/>
            <w:gridSpan w:val="3"/>
          </w:tcPr>
          <w:p>
            <w:pPr>
              <w:pStyle w:val="TableParagraph"/>
              <w:spacing w:line="248" w:lineRule="exact"/>
              <w:ind w:left="106"/>
              <w:rPr>
                <w:sz w:val="22"/>
              </w:rPr>
            </w:pPr>
            <w:r>
              <w:rPr>
                <w:sz w:val="22"/>
              </w:rPr>
              <w:t>For</w:t>
            </w:r>
            <w:r>
              <w:rPr>
                <w:spacing w:val="-6"/>
                <w:sz w:val="22"/>
              </w:rPr>
              <w:t> </w:t>
            </w:r>
            <w:r>
              <w:rPr>
                <w:sz w:val="22"/>
              </w:rPr>
              <w:t>the</w:t>
            </w:r>
            <w:r>
              <w:rPr>
                <w:spacing w:val="-6"/>
                <w:sz w:val="22"/>
              </w:rPr>
              <w:t> </w:t>
            </w:r>
            <w:r>
              <w:rPr>
                <w:sz w:val="22"/>
              </w:rPr>
              <w:t>period</w:t>
            </w:r>
            <w:r>
              <w:rPr>
                <w:spacing w:val="-5"/>
                <w:sz w:val="22"/>
              </w:rPr>
              <w:t> </w:t>
            </w:r>
            <w:r>
              <w:rPr>
                <w:sz w:val="22"/>
              </w:rPr>
              <w:t>from</w:t>
            </w:r>
            <w:r>
              <w:rPr>
                <w:spacing w:val="-5"/>
                <w:sz w:val="22"/>
              </w:rPr>
              <w:t> </w:t>
            </w:r>
            <w:r>
              <w:rPr>
                <w:sz w:val="22"/>
              </w:rPr>
              <w:t>May</w:t>
            </w:r>
            <w:r>
              <w:rPr>
                <w:spacing w:val="-6"/>
                <w:sz w:val="22"/>
              </w:rPr>
              <w:t> </w:t>
            </w:r>
            <w:r>
              <w:rPr>
                <w:sz w:val="22"/>
              </w:rPr>
              <w:t>15,</w:t>
            </w:r>
            <w:r>
              <w:rPr>
                <w:spacing w:val="-6"/>
                <w:sz w:val="22"/>
              </w:rPr>
              <w:t> </w:t>
            </w:r>
            <w:r>
              <w:rPr>
                <w:sz w:val="22"/>
              </w:rPr>
              <w:t>2025</w:t>
            </w:r>
            <w:r>
              <w:rPr>
                <w:spacing w:val="-5"/>
                <w:sz w:val="22"/>
              </w:rPr>
              <w:t> </w:t>
            </w:r>
            <w:r>
              <w:rPr>
                <w:sz w:val="22"/>
              </w:rPr>
              <w:t>(inception</w:t>
            </w:r>
            <w:r>
              <w:rPr>
                <w:spacing w:val="-5"/>
                <w:sz w:val="22"/>
              </w:rPr>
              <w:t> </w:t>
            </w:r>
            <w:r>
              <w:rPr>
                <w:sz w:val="22"/>
              </w:rPr>
              <w:t>date)</w:t>
            </w:r>
            <w:r>
              <w:rPr>
                <w:spacing w:val="-6"/>
                <w:sz w:val="22"/>
              </w:rPr>
              <w:t> </w:t>
            </w:r>
            <w:r>
              <w:rPr>
                <w:sz w:val="22"/>
              </w:rPr>
              <w:t>through</w:t>
            </w:r>
            <w:r>
              <w:rPr>
                <w:spacing w:val="-4"/>
                <w:sz w:val="22"/>
              </w:rPr>
              <w:t> </w:t>
            </w:r>
            <w:r>
              <w:rPr>
                <w:sz w:val="22"/>
              </w:rPr>
              <w:t>October</w:t>
            </w:r>
            <w:r>
              <w:rPr>
                <w:spacing w:val="-6"/>
                <w:sz w:val="22"/>
              </w:rPr>
              <w:t> </w:t>
            </w:r>
            <w:r>
              <w:rPr>
                <w:sz w:val="22"/>
              </w:rPr>
              <w:t>31,</w:t>
            </w:r>
            <w:r>
              <w:rPr>
                <w:spacing w:val="-6"/>
                <w:sz w:val="22"/>
              </w:rPr>
              <w:t> </w:t>
            </w:r>
            <w:r>
              <w:rPr>
                <w:spacing w:val="-2"/>
                <w:sz w:val="22"/>
              </w:rPr>
              <w:t>2025.</w:t>
            </w:r>
          </w:p>
        </w:tc>
      </w:tr>
      <w:tr>
        <w:trPr>
          <w:trHeight w:val="268" w:hRule="atLeast"/>
        </w:trPr>
        <w:tc>
          <w:tcPr>
            <w:tcW w:w="4680" w:type="dxa"/>
          </w:tcPr>
          <w:p>
            <w:pPr>
              <w:pStyle w:val="TableParagraph"/>
              <w:spacing w:line="248" w:lineRule="exact"/>
              <w:rPr>
                <w:sz w:val="22"/>
              </w:rPr>
            </w:pPr>
            <w:r>
              <w:rPr>
                <w:sz w:val="22"/>
              </w:rPr>
              <w:t>Leverage</w:t>
            </w:r>
            <w:r>
              <w:rPr>
                <w:spacing w:val="-6"/>
                <w:sz w:val="22"/>
              </w:rPr>
              <w:t> </w:t>
            </w:r>
            <w:r>
              <w:rPr>
                <w:sz w:val="22"/>
              </w:rPr>
              <w:t>Shares</w:t>
            </w:r>
            <w:r>
              <w:rPr>
                <w:spacing w:val="-6"/>
                <w:sz w:val="22"/>
              </w:rPr>
              <w:t> </w:t>
            </w:r>
            <w:r>
              <w:rPr>
                <w:sz w:val="22"/>
              </w:rPr>
              <w:t>2x</w:t>
            </w:r>
            <w:r>
              <w:rPr>
                <w:spacing w:val="-6"/>
                <w:sz w:val="22"/>
              </w:rPr>
              <w:t> </w:t>
            </w:r>
            <w:r>
              <w:rPr>
                <w:sz w:val="22"/>
              </w:rPr>
              <w:t>Long</w:t>
            </w:r>
            <w:r>
              <w:rPr>
                <w:spacing w:val="-5"/>
                <w:sz w:val="22"/>
              </w:rPr>
              <w:t> </w:t>
            </w:r>
            <w:r>
              <w:rPr>
                <w:sz w:val="22"/>
              </w:rPr>
              <w:t>RTX</w:t>
            </w:r>
            <w:r>
              <w:rPr>
                <w:spacing w:val="-6"/>
                <w:sz w:val="22"/>
              </w:rPr>
              <w:t> </w:t>
            </w:r>
            <w:r>
              <w:rPr>
                <w:sz w:val="22"/>
              </w:rPr>
              <w:t>Daily</w:t>
            </w:r>
            <w:r>
              <w:rPr>
                <w:spacing w:val="-5"/>
                <w:sz w:val="22"/>
              </w:rPr>
              <w:t> ETF</w:t>
            </w:r>
          </w:p>
        </w:tc>
        <w:tc>
          <w:tcPr>
            <w:tcW w:w="7294" w:type="dxa"/>
            <w:gridSpan w:val="3"/>
          </w:tcPr>
          <w:p>
            <w:pPr>
              <w:pStyle w:val="TableParagraph"/>
              <w:spacing w:line="248" w:lineRule="exact"/>
              <w:ind w:left="106"/>
              <w:rPr>
                <w:sz w:val="22"/>
              </w:rPr>
            </w:pPr>
            <w:r>
              <w:rPr>
                <w:sz w:val="22"/>
              </w:rPr>
              <w:t>For</w:t>
            </w:r>
            <w:r>
              <w:rPr>
                <w:spacing w:val="-6"/>
                <w:sz w:val="22"/>
              </w:rPr>
              <w:t> </w:t>
            </w:r>
            <w:r>
              <w:rPr>
                <w:sz w:val="22"/>
              </w:rPr>
              <w:t>the</w:t>
            </w:r>
            <w:r>
              <w:rPr>
                <w:spacing w:val="-6"/>
                <w:sz w:val="22"/>
              </w:rPr>
              <w:t> </w:t>
            </w:r>
            <w:r>
              <w:rPr>
                <w:sz w:val="22"/>
              </w:rPr>
              <w:t>period</w:t>
            </w:r>
            <w:r>
              <w:rPr>
                <w:spacing w:val="-4"/>
                <w:sz w:val="22"/>
              </w:rPr>
              <w:t> </w:t>
            </w:r>
            <w:r>
              <w:rPr>
                <w:sz w:val="22"/>
              </w:rPr>
              <w:t>from</w:t>
            </w:r>
            <w:r>
              <w:rPr>
                <w:spacing w:val="-5"/>
                <w:sz w:val="22"/>
              </w:rPr>
              <w:t> </w:t>
            </w:r>
            <w:r>
              <w:rPr>
                <w:sz w:val="22"/>
              </w:rPr>
              <w:t>June</w:t>
            </w:r>
            <w:r>
              <w:rPr>
                <w:spacing w:val="-5"/>
                <w:sz w:val="22"/>
              </w:rPr>
              <w:t> </w:t>
            </w:r>
            <w:r>
              <w:rPr>
                <w:sz w:val="22"/>
              </w:rPr>
              <w:t>5,</w:t>
            </w:r>
            <w:r>
              <w:rPr>
                <w:spacing w:val="-6"/>
                <w:sz w:val="22"/>
              </w:rPr>
              <w:t> </w:t>
            </w:r>
            <w:r>
              <w:rPr>
                <w:sz w:val="22"/>
              </w:rPr>
              <w:t>2025</w:t>
            </w:r>
            <w:r>
              <w:rPr>
                <w:spacing w:val="-5"/>
                <w:sz w:val="22"/>
              </w:rPr>
              <w:t> </w:t>
            </w:r>
            <w:r>
              <w:rPr>
                <w:sz w:val="22"/>
              </w:rPr>
              <w:t>(inception</w:t>
            </w:r>
            <w:r>
              <w:rPr>
                <w:spacing w:val="-6"/>
                <w:sz w:val="22"/>
              </w:rPr>
              <w:t> </w:t>
            </w:r>
            <w:r>
              <w:rPr>
                <w:sz w:val="22"/>
              </w:rPr>
              <w:t>date)</w:t>
            </w:r>
            <w:r>
              <w:rPr>
                <w:spacing w:val="-4"/>
                <w:sz w:val="22"/>
              </w:rPr>
              <w:t> </w:t>
            </w:r>
            <w:r>
              <w:rPr>
                <w:sz w:val="22"/>
              </w:rPr>
              <w:t>through</w:t>
            </w:r>
            <w:r>
              <w:rPr>
                <w:spacing w:val="-6"/>
                <w:sz w:val="22"/>
              </w:rPr>
              <w:t> </w:t>
            </w:r>
            <w:r>
              <w:rPr>
                <w:sz w:val="22"/>
              </w:rPr>
              <w:t>October</w:t>
            </w:r>
            <w:r>
              <w:rPr>
                <w:spacing w:val="-5"/>
                <w:sz w:val="22"/>
              </w:rPr>
              <w:t> </w:t>
            </w:r>
            <w:r>
              <w:rPr>
                <w:sz w:val="22"/>
              </w:rPr>
              <w:t>31,</w:t>
            </w:r>
            <w:r>
              <w:rPr>
                <w:spacing w:val="-6"/>
                <w:sz w:val="22"/>
              </w:rPr>
              <w:t> </w:t>
            </w:r>
            <w:r>
              <w:rPr>
                <w:spacing w:val="-2"/>
                <w:sz w:val="22"/>
              </w:rPr>
              <w:t>2025.</w:t>
            </w:r>
          </w:p>
        </w:tc>
      </w:tr>
      <w:tr>
        <w:trPr>
          <w:trHeight w:val="268" w:hRule="atLeast"/>
        </w:trPr>
        <w:tc>
          <w:tcPr>
            <w:tcW w:w="4680" w:type="dxa"/>
          </w:tcPr>
          <w:p>
            <w:pPr>
              <w:pStyle w:val="TableParagraph"/>
              <w:spacing w:line="248" w:lineRule="exact"/>
              <w:rPr>
                <w:sz w:val="22"/>
              </w:rPr>
            </w:pPr>
            <w:r>
              <w:rPr>
                <w:sz w:val="22"/>
              </w:rPr>
              <w:t>Leverage</w:t>
            </w:r>
            <w:r>
              <w:rPr>
                <w:spacing w:val="-6"/>
                <w:sz w:val="22"/>
              </w:rPr>
              <w:t> </w:t>
            </w:r>
            <w:r>
              <w:rPr>
                <w:sz w:val="22"/>
              </w:rPr>
              <w:t>Shares</w:t>
            </w:r>
            <w:r>
              <w:rPr>
                <w:spacing w:val="-5"/>
                <w:sz w:val="22"/>
              </w:rPr>
              <w:t> </w:t>
            </w:r>
            <w:r>
              <w:rPr>
                <w:sz w:val="22"/>
              </w:rPr>
              <w:t>2x</w:t>
            </w:r>
            <w:r>
              <w:rPr>
                <w:spacing w:val="-6"/>
                <w:sz w:val="22"/>
              </w:rPr>
              <w:t> </w:t>
            </w:r>
            <w:r>
              <w:rPr>
                <w:sz w:val="22"/>
              </w:rPr>
              <w:t>Long</w:t>
            </w:r>
            <w:r>
              <w:rPr>
                <w:spacing w:val="-5"/>
                <w:sz w:val="22"/>
              </w:rPr>
              <w:t> </w:t>
            </w:r>
            <w:r>
              <w:rPr>
                <w:sz w:val="22"/>
              </w:rPr>
              <w:t>BA</w:t>
            </w:r>
            <w:r>
              <w:rPr>
                <w:spacing w:val="-5"/>
                <w:sz w:val="22"/>
              </w:rPr>
              <w:t> </w:t>
            </w:r>
            <w:r>
              <w:rPr>
                <w:sz w:val="22"/>
              </w:rPr>
              <w:t>Daily</w:t>
            </w:r>
            <w:r>
              <w:rPr>
                <w:spacing w:val="-6"/>
                <w:sz w:val="22"/>
              </w:rPr>
              <w:t> </w:t>
            </w:r>
            <w:r>
              <w:rPr>
                <w:spacing w:val="-5"/>
                <w:sz w:val="22"/>
              </w:rPr>
              <w:t>ETF</w:t>
            </w:r>
          </w:p>
        </w:tc>
        <w:tc>
          <w:tcPr>
            <w:tcW w:w="7294" w:type="dxa"/>
            <w:gridSpan w:val="3"/>
          </w:tcPr>
          <w:p>
            <w:pPr>
              <w:pStyle w:val="TableParagraph"/>
              <w:spacing w:line="248" w:lineRule="exact"/>
              <w:ind w:left="104"/>
              <w:rPr>
                <w:sz w:val="22"/>
              </w:rPr>
            </w:pPr>
            <w:r>
              <w:rPr>
                <w:sz w:val="22"/>
              </w:rPr>
              <w:t>For</w:t>
            </w:r>
            <w:r>
              <w:rPr>
                <w:spacing w:val="-6"/>
                <w:sz w:val="22"/>
              </w:rPr>
              <w:t> </w:t>
            </w:r>
            <w:r>
              <w:rPr>
                <w:sz w:val="22"/>
              </w:rPr>
              <w:t>the</w:t>
            </w:r>
            <w:r>
              <w:rPr>
                <w:spacing w:val="-6"/>
                <w:sz w:val="22"/>
              </w:rPr>
              <w:t> </w:t>
            </w:r>
            <w:r>
              <w:rPr>
                <w:sz w:val="22"/>
              </w:rPr>
              <w:t>period</w:t>
            </w:r>
            <w:r>
              <w:rPr>
                <w:spacing w:val="-3"/>
                <w:sz w:val="22"/>
              </w:rPr>
              <w:t> </w:t>
            </w:r>
            <w:r>
              <w:rPr>
                <w:sz w:val="22"/>
              </w:rPr>
              <w:t>from</w:t>
            </w:r>
            <w:r>
              <w:rPr>
                <w:spacing w:val="-5"/>
                <w:sz w:val="22"/>
              </w:rPr>
              <w:t> </w:t>
            </w:r>
            <w:r>
              <w:rPr>
                <w:sz w:val="22"/>
              </w:rPr>
              <w:t>June</w:t>
            </w:r>
            <w:r>
              <w:rPr>
                <w:spacing w:val="-5"/>
                <w:sz w:val="22"/>
              </w:rPr>
              <w:t> </w:t>
            </w:r>
            <w:r>
              <w:rPr>
                <w:sz w:val="22"/>
              </w:rPr>
              <w:t>12,</w:t>
            </w:r>
            <w:r>
              <w:rPr>
                <w:spacing w:val="-6"/>
                <w:sz w:val="22"/>
              </w:rPr>
              <w:t> </w:t>
            </w:r>
            <w:r>
              <w:rPr>
                <w:sz w:val="22"/>
              </w:rPr>
              <w:t>2025</w:t>
            </w:r>
            <w:r>
              <w:rPr>
                <w:spacing w:val="-5"/>
                <w:sz w:val="22"/>
              </w:rPr>
              <w:t> </w:t>
            </w:r>
            <w:r>
              <w:rPr>
                <w:sz w:val="22"/>
              </w:rPr>
              <w:t>(inception</w:t>
            </w:r>
            <w:r>
              <w:rPr>
                <w:spacing w:val="-5"/>
                <w:sz w:val="22"/>
              </w:rPr>
              <w:t> </w:t>
            </w:r>
            <w:r>
              <w:rPr>
                <w:sz w:val="22"/>
              </w:rPr>
              <w:t>date)</w:t>
            </w:r>
            <w:r>
              <w:rPr>
                <w:spacing w:val="-6"/>
                <w:sz w:val="22"/>
              </w:rPr>
              <w:t> </w:t>
            </w:r>
            <w:r>
              <w:rPr>
                <w:sz w:val="22"/>
              </w:rPr>
              <w:t>through</w:t>
            </w:r>
            <w:r>
              <w:rPr>
                <w:spacing w:val="-5"/>
                <w:sz w:val="22"/>
              </w:rPr>
              <w:t> </w:t>
            </w:r>
            <w:r>
              <w:rPr>
                <w:sz w:val="22"/>
              </w:rPr>
              <w:t>October</w:t>
            </w:r>
            <w:r>
              <w:rPr>
                <w:spacing w:val="-5"/>
                <w:sz w:val="22"/>
              </w:rPr>
              <w:t> </w:t>
            </w:r>
            <w:r>
              <w:rPr>
                <w:sz w:val="22"/>
              </w:rPr>
              <w:t>31,</w:t>
            </w:r>
            <w:r>
              <w:rPr>
                <w:spacing w:val="-6"/>
                <w:sz w:val="22"/>
              </w:rPr>
              <w:t> </w:t>
            </w:r>
            <w:r>
              <w:rPr>
                <w:spacing w:val="-2"/>
                <w:sz w:val="22"/>
              </w:rPr>
              <w:t>2025.</w:t>
            </w:r>
          </w:p>
        </w:tc>
      </w:tr>
      <w:tr>
        <w:trPr>
          <w:trHeight w:val="269" w:hRule="atLeast"/>
        </w:trPr>
        <w:tc>
          <w:tcPr>
            <w:tcW w:w="4680" w:type="dxa"/>
          </w:tcPr>
          <w:p>
            <w:pPr>
              <w:pStyle w:val="TableParagraph"/>
              <w:spacing w:line="248" w:lineRule="exact" w:before="1"/>
              <w:rPr>
                <w:sz w:val="22"/>
              </w:rPr>
            </w:pPr>
            <w:r>
              <w:rPr>
                <w:sz w:val="22"/>
              </w:rPr>
              <w:t>Leverage</w:t>
            </w:r>
            <w:r>
              <w:rPr>
                <w:spacing w:val="-6"/>
                <w:sz w:val="22"/>
              </w:rPr>
              <w:t> </w:t>
            </w:r>
            <w:r>
              <w:rPr>
                <w:sz w:val="22"/>
              </w:rPr>
              <w:t>Shares</w:t>
            </w:r>
            <w:r>
              <w:rPr>
                <w:spacing w:val="-6"/>
                <w:sz w:val="22"/>
              </w:rPr>
              <w:t> </w:t>
            </w:r>
            <w:r>
              <w:rPr>
                <w:sz w:val="22"/>
              </w:rPr>
              <w:t>2x</w:t>
            </w:r>
            <w:r>
              <w:rPr>
                <w:spacing w:val="-5"/>
                <w:sz w:val="22"/>
              </w:rPr>
              <w:t> </w:t>
            </w:r>
            <w:r>
              <w:rPr>
                <w:sz w:val="22"/>
              </w:rPr>
              <w:t>Long</w:t>
            </w:r>
            <w:r>
              <w:rPr>
                <w:spacing w:val="-6"/>
                <w:sz w:val="22"/>
              </w:rPr>
              <w:t> </w:t>
            </w:r>
            <w:r>
              <w:rPr>
                <w:sz w:val="22"/>
              </w:rPr>
              <w:t>AAL</w:t>
            </w:r>
            <w:r>
              <w:rPr>
                <w:spacing w:val="-5"/>
                <w:sz w:val="22"/>
              </w:rPr>
              <w:t> </w:t>
            </w:r>
            <w:r>
              <w:rPr>
                <w:sz w:val="22"/>
              </w:rPr>
              <w:t>Daily</w:t>
            </w:r>
            <w:r>
              <w:rPr>
                <w:spacing w:val="-6"/>
                <w:sz w:val="22"/>
              </w:rPr>
              <w:t> </w:t>
            </w:r>
            <w:r>
              <w:rPr>
                <w:spacing w:val="-5"/>
                <w:sz w:val="22"/>
              </w:rPr>
              <w:t>ETF</w:t>
            </w:r>
          </w:p>
        </w:tc>
        <w:tc>
          <w:tcPr>
            <w:tcW w:w="7294" w:type="dxa"/>
            <w:gridSpan w:val="3"/>
          </w:tcPr>
          <w:p>
            <w:pPr>
              <w:pStyle w:val="TableParagraph"/>
              <w:spacing w:line="248" w:lineRule="exact" w:before="1"/>
              <w:ind w:left="105"/>
              <w:rPr>
                <w:sz w:val="22"/>
              </w:rPr>
            </w:pPr>
            <w:r>
              <w:rPr>
                <w:sz w:val="22"/>
              </w:rPr>
              <w:t>For</w:t>
            </w:r>
            <w:r>
              <w:rPr>
                <w:spacing w:val="-6"/>
                <w:sz w:val="22"/>
              </w:rPr>
              <w:t> </w:t>
            </w:r>
            <w:r>
              <w:rPr>
                <w:sz w:val="22"/>
              </w:rPr>
              <w:t>the</w:t>
            </w:r>
            <w:r>
              <w:rPr>
                <w:spacing w:val="-6"/>
                <w:sz w:val="22"/>
              </w:rPr>
              <w:t> </w:t>
            </w:r>
            <w:r>
              <w:rPr>
                <w:sz w:val="22"/>
              </w:rPr>
              <w:t>period</w:t>
            </w:r>
            <w:r>
              <w:rPr>
                <w:spacing w:val="-3"/>
                <w:sz w:val="22"/>
              </w:rPr>
              <w:t> </w:t>
            </w:r>
            <w:r>
              <w:rPr>
                <w:sz w:val="22"/>
              </w:rPr>
              <w:t>from</w:t>
            </w:r>
            <w:r>
              <w:rPr>
                <w:spacing w:val="-5"/>
                <w:sz w:val="22"/>
              </w:rPr>
              <w:t> </w:t>
            </w:r>
            <w:r>
              <w:rPr>
                <w:sz w:val="22"/>
              </w:rPr>
              <w:t>July</w:t>
            </w:r>
            <w:r>
              <w:rPr>
                <w:spacing w:val="-6"/>
                <w:sz w:val="22"/>
              </w:rPr>
              <w:t> </w:t>
            </w:r>
            <w:r>
              <w:rPr>
                <w:sz w:val="22"/>
              </w:rPr>
              <w:t>10,</w:t>
            </w:r>
            <w:r>
              <w:rPr>
                <w:spacing w:val="-5"/>
                <w:sz w:val="22"/>
              </w:rPr>
              <w:t> </w:t>
            </w:r>
            <w:r>
              <w:rPr>
                <w:sz w:val="22"/>
              </w:rPr>
              <w:t>2025</w:t>
            </w:r>
            <w:r>
              <w:rPr>
                <w:spacing w:val="-6"/>
                <w:sz w:val="22"/>
              </w:rPr>
              <w:t> </w:t>
            </w:r>
            <w:r>
              <w:rPr>
                <w:sz w:val="22"/>
              </w:rPr>
              <w:t>(inception</w:t>
            </w:r>
            <w:r>
              <w:rPr>
                <w:spacing w:val="-5"/>
                <w:sz w:val="22"/>
              </w:rPr>
              <w:t> </w:t>
            </w:r>
            <w:r>
              <w:rPr>
                <w:sz w:val="22"/>
              </w:rPr>
              <w:t>date)</w:t>
            </w:r>
            <w:r>
              <w:rPr>
                <w:spacing w:val="-5"/>
                <w:sz w:val="22"/>
              </w:rPr>
              <w:t> </w:t>
            </w:r>
            <w:r>
              <w:rPr>
                <w:sz w:val="22"/>
              </w:rPr>
              <w:t>through</w:t>
            </w:r>
            <w:r>
              <w:rPr>
                <w:spacing w:val="-5"/>
                <w:sz w:val="22"/>
              </w:rPr>
              <w:t> </w:t>
            </w:r>
            <w:r>
              <w:rPr>
                <w:sz w:val="22"/>
              </w:rPr>
              <w:t>October</w:t>
            </w:r>
            <w:r>
              <w:rPr>
                <w:spacing w:val="-6"/>
                <w:sz w:val="22"/>
              </w:rPr>
              <w:t> </w:t>
            </w:r>
            <w:r>
              <w:rPr>
                <w:sz w:val="22"/>
              </w:rPr>
              <w:t>31,</w:t>
            </w:r>
            <w:r>
              <w:rPr>
                <w:spacing w:val="-5"/>
                <w:sz w:val="22"/>
              </w:rPr>
              <w:t> </w:t>
            </w:r>
            <w:r>
              <w:rPr>
                <w:spacing w:val="-2"/>
                <w:sz w:val="22"/>
              </w:rPr>
              <w:t>2025.</w:t>
            </w:r>
          </w:p>
        </w:tc>
      </w:tr>
      <w:tr>
        <w:trPr>
          <w:trHeight w:val="268" w:hRule="atLeast"/>
        </w:trPr>
        <w:tc>
          <w:tcPr>
            <w:tcW w:w="4680" w:type="dxa"/>
          </w:tcPr>
          <w:p>
            <w:pPr>
              <w:pStyle w:val="TableParagraph"/>
              <w:spacing w:line="248" w:lineRule="exact"/>
              <w:rPr>
                <w:sz w:val="22"/>
              </w:rPr>
            </w:pPr>
            <w:r>
              <w:rPr>
                <w:sz w:val="22"/>
              </w:rPr>
              <w:t>Leverage</w:t>
            </w:r>
            <w:r>
              <w:rPr>
                <w:spacing w:val="-6"/>
                <w:sz w:val="22"/>
              </w:rPr>
              <w:t> </w:t>
            </w:r>
            <w:r>
              <w:rPr>
                <w:sz w:val="22"/>
              </w:rPr>
              <w:t>Shares</w:t>
            </w:r>
            <w:r>
              <w:rPr>
                <w:spacing w:val="-6"/>
                <w:sz w:val="22"/>
              </w:rPr>
              <w:t> </w:t>
            </w:r>
            <w:r>
              <w:rPr>
                <w:sz w:val="22"/>
              </w:rPr>
              <w:t>2x</w:t>
            </w:r>
            <w:r>
              <w:rPr>
                <w:spacing w:val="-6"/>
                <w:sz w:val="22"/>
              </w:rPr>
              <w:t> </w:t>
            </w:r>
            <w:r>
              <w:rPr>
                <w:sz w:val="22"/>
              </w:rPr>
              <w:t>Long</w:t>
            </w:r>
            <w:r>
              <w:rPr>
                <w:spacing w:val="-6"/>
                <w:sz w:val="22"/>
              </w:rPr>
              <w:t> </w:t>
            </w:r>
            <w:r>
              <w:rPr>
                <w:sz w:val="22"/>
              </w:rPr>
              <w:t>UNH</w:t>
            </w:r>
            <w:r>
              <w:rPr>
                <w:spacing w:val="-6"/>
                <w:sz w:val="22"/>
              </w:rPr>
              <w:t> </w:t>
            </w:r>
            <w:r>
              <w:rPr>
                <w:sz w:val="22"/>
              </w:rPr>
              <w:t>Daily</w:t>
            </w:r>
            <w:r>
              <w:rPr>
                <w:spacing w:val="-4"/>
                <w:sz w:val="22"/>
              </w:rPr>
              <w:t> </w:t>
            </w:r>
            <w:r>
              <w:rPr>
                <w:spacing w:val="-5"/>
                <w:sz w:val="22"/>
              </w:rPr>
              <w:t>ETF</w:t>
            </w:r>
          </w:p>
        </w:tc>
        <w:tc>
          <w:tcPr>
            <w:tcW w:w="7294" w:type="dxa"/>
            <w:gridSpan w:val="3"/>
          </w:tcPr>
          <w:p>
            <w:pPr>
              <w:pStyle w:val="TableParagraph"/>
              <w:spacing w:line="248" w:lineRule="exact"/>
              <w:rPr>
                <w:sz w:val="22"/>
              </w:rPr>
            </w:pPr>
            <w:r>
              <w:rPr>
                <w:sz w:val="22"/>
              </w:rPr>
              <w:t>For</w:t>
            </w:r>
            <w:r>
              <w:rPr>
                <w:spacing w:val="-6"/>
                <w:sz w:val="22"/>
              </w:rPr>
              <w:t> </w:t>
            </w:r>
            <w:r>
              <w:rPr>
                <w:sz w:val="22"/>
              </w:rPr>
              <w:t>the</w:t>
            </w:r>
            <w:r>
              <w:rPr>
                <w:spacing w:val="-6"/>
                <w:sz w:val="22"/>
              </w:rPr>
              <w:t> </w:t>
            </w:r>
            <w:r>
              <w:rPr>
                <w:sz w:val="22"/>
              </w:rPr>
              <w:t>period</w:t>
            </w:r>
            <w:r>
              <w:rPr>
                <w:spacing w:val="-5"/>
                <w:sz w:val="22"/>
              </w:rPr>
              <w:t> </w:t>
            </w:r>
            <w:r>
              <w:rPr>
                <w:sz w:val="22"/>
              </w:rPr>
              <w:t>from</w:t>
            </w:r>
            <w:r>
              <w:rPr>
                <w:spacing w:val="-5"/>
                <w:sz w:val="22"/>
              </w:rPr>
              <w:t> </w:t>
            </w:r>
            <w:r>
              <w:rPr>
                <w:sz w:val="22"/>
              </w:rPr>
              <w:t>July</w:t>
            </w:r>
            <w:r>
              <w:rPr>
                <w:spacing w:val="-6"/>
                <w:sz w:val="22"/>
              </w:rPr>
              <w:t> </w:t>
            </w:r>
            <w:r>
              <w:rPr>
                <w:sz w:val="22"/>
              </w:rPr>
              <w:t>21,</w:t>
            </w:r>
            <w:r>
              <w:rPr>
                <w:spacing w:val="-5"/>
                <w:sz w:val="22"/>
              </w:rPr>
              <w:t> </w:t>
            </w:r>
            <w:r>
              <w:rPr>
                <w:sz w:val="22"/>
              </w:rPr>
              <w:t>2025</w:t>
            </w:r>
            <w:r>
              <w:rPr>
                <w:spacing w:val="-6"/>
                <w:sz w:val="22"/>
              </w:rPr>
              <w:t> </w:t>
            </w:r>
            <w:r>
              <w:rPr>
                <w:sz w:val="22"/>
              </w:rPr>
              <w:t>(inception</w:t>
            </w:r>
            <w:r>
              <w:rPr>
                <w:spacing w:val="-5"/>
                <w:sz w:val="22"/>
              </w:rPr>
              <w:t> </w:t>
            </w:r>
            <w:r>
              <w:rPr>
                <w:sz w:val="22"/>
              </w:rPr>
              <w:t>date)</w:t>
            </w:r>
            <w:r>
              <w:rPr>
                <w:spacing w:val="-5"/>
                <w:sz w:val="22"/>
              </w:rPr>
              <w:t> </w:t>
            </w:r>
            <w:r>
              <w:rPr>
                <w:sz w:val="22"/>
              </w:rPr>
              <w:t>through</w:t>
            </w:r>
            <w:r>
              <w:rPr>
                <w:spacing w:val="-5"/>
                <w:sz w:val="22"/>
              </w:rPr>
              <w:t> </w:t>
            </w:r>
            <w:r>
              <w:rPr>
                <w:sz w:val="22"/>
              </w:rPr>
              <w:t>October</w:t>
            </w:r>
            <w:r>
              <w:rPr>
                <w:spacing w:val="-6"/>
                <w:sz w:val="22"/>
              </w:rPr>
              <w:t> </w:t>
            </w:r>
            <w:r>
              <w:rPr>
                <w:sz w:val="22"/>
              </w:rPr>
              <w:t>31,</w:t>
            </w:r>
            <w:r>
              <w:rPr>
                <w:spacing w:val="-5"/>
                <w:sz w:val="22"/>
              </w:rPr>
              <w:t> </w:t>
            </w:r>
            <w:r>
              <w:rPr>
                <w:spacing w:val="-2"/>
                <w:sz w:val="22"/>
              </w:rPr>
              <w:t>2025.</w:t>
            </w:r>
          </w:p>
        </w:tc>
      </w:tr>
      <w:tr>
        <w:trPr>
          <w:trHeight w:val="804" w:hRule="atLeast"/>
        </w:trPr>
        <w:tc>
          <w:tcPr>
            <w:tcW w:w="4680" w:type="dxa"/>
          </w:tcPr>
          <w:p>
            <w:pPr>
              <w:pStyle w:val="TableParagraph"/>
              <w:ind w:right="391"/>
              <w:rPr>
                <w:sz w:val="22"/>
              </w:rPr>
            </w:pPr>
            <w:r>
              <w:rPr>
                <w:sz w:val="22"/>
              </w:rPr>
              <w:t>Leverage</w:t>
            </w:r>
            <w:r>
              <w:rPr>
                <w:spacing w:val="-7"/>
                <w:sz w:val="22"/>
              </w:rPr>
              <w:t> </w:t>
            </w:r>
            <w:r>
              <w:rPr>
                <w:sz w:val="22"/>
              </w:rPr>
              <w:t>Shares</w:t>
            </w:r>
            <w:r>
              <w:rPr>
                <w:spacing w:val="-7"/>
                <w:sz w:val="22"/>
              </w:rPr>
              <w:t> </w:t>
            </w:r>
            <w:r>
              <w:rPr>
                <w:sz w:val="22"/>
              </w:rPr>
              <w:t>2x</w:t>
            </w:r>
            <w:r>
              <w:rPr>
                <w:spacing w:val="-7"/>
                <w:sz w:val="22"/>
              </w:rPr>
              <w:t> </w:t>
            </w:r>
            <w:r>
              <w:rPr>
                <w:sz w:val="22"/>
              </w:rPr>
              <w:t>Long</w:t>
            </w:r>
            <w:r>
              <w:rPr>
                <w:spacing w:val="-7"/>
                <w:sz w:val="22"/>
              </w:rPr>
              <w:t> </w:t>
            </w:r>
            <w:r>
              <w:rPr>
                <w:sz w:val="22"/>
              </w:rPr>
              <w:t>BULL</w:t>
            </w:r>
            <w:r>
              <w:rPr>
                <w:spacing w:val="-7"/>
                <w:sz w:val="22"/>
              </w:rPr>
              <w:t> </w:t>
            </w:r>
            <w:r>
              <w:rPr>
                <w:sz w:val="22"/>
              </w:rPr>
              <w:t>Daily</w:t>
            </w:r>
            <w:r>
              <w:rPr>
                <w:spacing w:val="-6"/>
                <w:sz w:val="22"/>
              </w:rPr>
              <w:t> </w:t>
            </w:r>
            <w:r>
              <w:rPr>
                <w:sz w:val="22"/>
              </w:rPr>
              <w:t>ETF Leverage</w:t>
            </w:r>
            <w:r>
              <w:rPr>
                <w:spacing w:val="-7"/>
                <w:sz w:val="22"/>
              </w:rPr>
              <w:t> </w:t>
            </w:r>
            <w:r>
              <w:rPr>
                <w:sz w:val="22"/>
              </w:rPr>
              <w:t>Shares</w:t>
            </w:r>
            <w:r>
              <w:rPr>
                <w:spacing w:val="-6"/>
                <w:sz w:val="22"/>
              </w:rPr>
              <w:t> </w:t>
            </w:r>
            <w:r>
              <w:rPr>
                <w:sz w:val="22"/>
              </w:rPr>
              <w:t>2x</w:t>
            </w:r>
            <w:r>
              <w:rPr>
                <w:spacing w:val="-6"/>
                <w:sz w:val="22"/>
              </w:rPr>
              <w:t> </w:t>
            </w:r>
            <w:r>
              <w:rPr>
                <w:sz w:val="22"/>
              </w:rPr>
              <w:t>Long</w:t>
            </w:r>
            <w:r>
              <w:rPr>
                <w:spacing w:val="-5"/>
                <w:sz w:val="22"/>
              </w:rPr>
              <w:t> </w:t>
            </w:r>
            <w:r>
              <w:rPr>
                <w:sz w:val="22"/>
              </w:rPr>
              <w:t>CRCL</w:t>
            </w:r>
            <w:r>
              <w:rPr>
                <w:spacing w:val="-6"/>
                <w:sz w:val="22"/>
              </w:rPr>
              <w:t> </w:t>
            </w:r>
            <w:r>
              <w:rPr>
                <w:sz w:val="22"/>
              </w:rPr>
              <w:t>Daily</w:t>
            </w:r>
            <w:r>
              <w:rPr>
                <w:spacing w:val="-6"/>
                <w:sz w:val="22"/>
              </w:rPr>
              <w:t> </w:t>
            </w:r>
            <w:r>
              <w:rPr>
                <w:spacing w:val="-5"/>
                <w:sz w:val="22"/>
              </w:rPr>
              <w:t>ETF</w:t>
            </w:r>
          </w:p>
          <w:p>
            <w:pPr>
              <w:pStyle w:val="TableParagraph"/>
              <w:spacing w:line="247" w:lineRule="exact"/>
              <w:rPr>
                <w:sz w:val="22"/>
              </w:rPr>
            </w:pPr>
            <w:r>
              <w:rPr>
                <w:sz w:val="22"/>
              </w:rPr>
              <w:t>Leverage</w:t>
            </w:r>
            <w:r>
              <w:rPr>
                <w:spacing w:val="-7"/>
                <w:sz w:val="22"/>
              </w:rPr>
              <w:t> </w:t>
            </w:r>
            <w:r>
              <w:rPr>
                <w:sz w:val="22"/>
              </w:rPr>
              <w:t>Shares</w:t>
            </w:r>
            <w:r>
              <w:rPr>
                <w:spacing w:val="-6"/>
                <w:sz w:val="22"/>
              </w:rPr>
              <w:t> </w:t>
            </w:r>
            <w:r>
              <w:rPr>
                <w:sz w:val="22"/>
              </w:rPr>
              <w:t>2x</w:t>
            </w:r>
            <w:r>
              <w:rPr>
                <w:spacing w:val="-6"/>
                <w:sz w:val="22"/>
              </w:rPr>
              <w:t> </w:t>
            </w:r>
            <w:r>
              <w:rPr>
                <w:sz w:val="22"/>
              </w:rPr>
              <w:t>Long</w:t>
            </w:r>
            <w:r>
              <w:rPr>
                <w:spacing w:val="-5"/>
                <w:sz w:val="22"/>
              </w:rPr>
              <w:t> </w:t>
            </w:r>
            <w:r>
              <w:rPr>
                <w:sz w:val="22"/>
              </w:rPr>
              <w:t>CRWV</w:t>
            </w:r>
            <w:r>
              <w:rPr>
                <w:spacing w:val="-7"/>
                <w:sz w:val="22"/>
              </w:rPr>
              <w:t> </w:t>
            </w:r>
            <w:r>
              <w:rPr>
                <w:sz w:val="22"/>
              </w:rPr>
              <w:t>Daily</w:t>
            </w:r>
            <w:r>
              <w:rPr>
                <w:spacing w:val="-5"/>
                <w:sz w:val="22"/>
              </w:rPr>
              <w:t> ETF</w:t>
            </w:r>
          </w:p>
        </w:tc>
        <w:tc>
          <w:tcPr>
            <w:tcW w:w="7294" w:type="dxa"/>
            <w:gridSpan w:val="3"/>
          </w:tcPr>
          <w:p>
            <w:pPr>
              <w:pStyle w:val="TableParagraph"/>
              <w:rPr>
                <w:sz w:val="22"/>
              </w:rPr>
            </w:pPr>
            <w:r>
              <w:rPr>
                <w:sz w:val="22"/>
              </w:rPr>
              <w:t>For</w:t>
            </w:r>
            <w:r>
              <w:rPr>
                <w:spacing w:val="-6"/>
                <w:sz w:val="22"/>
              </w:rPr>
              <w:t> </w:t>
            </w:r>
            <w:r>
              <w:rPr>
                <w:sz w:val="22"/>
              </w:rPr>
              <w:t>the</w:t>
            </w:r>
            <w:r>
              <w:rPr>
                <w:spacing w:val="-6"/>
                <w:sz w:val="22"/>
              </w:rPr>
              <w:t> </w:t>
            </w:r>
            <w:r>
              <w:rPr>
                <w:sz w:val="22"/>
              </w:rPr>
              <w:t>period</w:t>
            </w:r>
            <w:r>
              <w:rPr>
                <w:spacing w:val="-6"/>
                <w:sz w:val="22"/>
              </w:rPr>
              <w:t> </w:t>
            </w:r>
            <w:r>
              <w:rPr>
                <w:sz w:val="22"/>
              </w:rPr>
              <w:t>from</w:t>
            </w:r>
            <w:r>
              <w:rPr>
                <w:spacing w:val="-5"/>
                <w:sz w:val="22"/>
              </w:rPr>
              <w:t> </w:t>
            </w:r>
            <w:r>
              <w:rPr>
                <w:sz w:val="22"/>
              </w:rPr>
              <w:t>August</w:t>
            </w:r>
            <w:r>
              <w:rPr>
                <w:spacing w:val="-6"/>
                <w:sz w:val="22"/>
              </w:rPr>
              <w:t> </w:t>
            </w:r>
            <w:r>
              <w:rPr>
                <w:sz w:val="22"/>
              </w:rPr>
              <w:t>8,</w:t>
            </w:r>
            <w:r>
              <w:rPr>
                <w:spacing w:val="-6"/>
                <w:sz w:val="22"/>
              </w:rPr>
              <w:t> </w:t>
            </w:r>
            <w:r>
              <w:rPr>
                <w:sz w:val="22"/>
              </w:rPr>
              <w:t>2025</w:t>
            </w:r>
            <w:r>
              <w:rPr>
                <w:spacing w:val="-5"/>
                <w:sz w:val="22"/>
              </w:rPr>
              <w:t> </w:t>
            </w:r>
            <w:r>
              <w:rPr>
                <w:sz w:val="22"/>
              </w:rPr>
              <w:t>(inception</w:t>
            </w:r>
            <w:r>
              <w:rPr>
                <w:spacing w:val="-5"/>
                <w:sz w:val="22"/>
              </w:rPr>
              <w:t> </w:t>
            </w:r>
            <w:r>
              <w:rPr>
                <w:sz w:val="22"/>
              </w:rPr>
              <w:t>date)</w:t>
            </w:r>
            <w:r>
              <w:rPr>
                <w:spacing w:val="-5"/>
                <w:sz w:val="22"/>
              </w:rPr>
              <w:t> </w:t>
            </w:r>
            <w:r>
              <w:rPr>
                <w:sz w:val="22"/>
              </w:rPr>
              <w:t>through</w:t>
            </w:r>
            <w:r>
              <w:rPr>
                <w:spacing w:val="-5"/>
                <w:sz w:val="22"/>
              </w:rPr>
              <w:t> </w:t>
            </w:r>
            <w:r>
              <w:rPr>
                <w:sz w:val="22"/>
              </w:rPr>
              <w:t>October</w:t>
            </w:r>
            <w:r>
              <w:rPr>
                <w:spacing w:val="-5"/>
                <w:sz w:val="22"/>
              </w:rPr>
              <w:t> </w:t>
            </w:r>
            <w:r>
              <w:rPr>
                <w:sz w:val="22"/>
              </w:rPr>
              <w:t>31,</w:t>
            </w:r>
            <w:r>
              <w:rPr>
                <w:spacing w:val="-6"/>
                <w:sz w:val="22"/>
              </w:rPr>
              <w:t> </w:t>
            </w:r>
            <w:r>
              <w:rPr>
                <w:spacing w:val="-2"/>
                <w:sz w:val="22"/>
              </w:rPr>
              <w:t>2025.</w:t>
            </w:r>
          </w:p>
        </w:tc>
      </w:tr>
      <w:tr>
        <w:trPr>
          <w:trHeight w:val="1612" w:hRule="atLeast"/>
        </w:trPr>
        <w:tc>
          <w:tcPr>
            <w:tcW w:w="4680" w:type="dxa"/>
          </w:tcPr>
          <w:p>
            <w:pPr>
              <w:pStyle w:val="TableParagraph"/>
              <w:spacing w:before="1"/>
              <w:rPr>
                <w:sz w:val="22"/>
              </w:rPr>
            </w:pPr>
            <w:r>
              <w:rPr>
                <w:sz w:val="22"/>
              </w:rPr>
              <w:t>Leverage</w:t>
            </w:r>
            <w:r>
              <w:rPr>
                <w:spacing w:val="40"/>
                <w:sz w:val="22"/>
              </w:rPr>
              <w:t> </w:t>
            </w:r>
            <w:r>
              <w:rPr>
                <w:sz w:val="22"/>
              </w:rPr>
              <w:t>Shares</w:t>
            </w:r>
            <w:r>
              <w:rPr>
                <w:spacing w:val="40"/>
                <w:sz w:val="22"/>
              </w:rPr>
              <w:t> </w:t>
            </w:r>
            <w:r>
              <w:rPr>
                <w:sz w:val="22"/>
              </w:rPr>
              <w:t>2x</w:t>
            </w:r>
            <w:r>
              <w:rPr>
                <w:spacing w:val="40"/>
                <w:sz w:val="22"/>
              </w:rPr>
              <w:t> </w:t>
            </w:r>
            <w:r>
              <w:rPr>
                <w:sz w:val="22"/>
              </w:rPr>
              <w:t>Capped</w:t>
            </w:r>
            <w:r>
              <w:rPr>
                <w:spacing w:val="40"/>
                <w:sz w:val="22"/>
              </w:rPr>
              <w:t> </w:t>
            </w:r>
            <w:r>
              <w:rPr>
                <w:sz w:val="22"/>
              </w:rPr>
              <w:t>Accelerated</w:t>
            </w:r>
            <w:r>
              <w:rPr>
                <w:spacing w:val="40"/>
                <w:sz w:val="22"/>
              </w:rPr>
              <w:t> </w:t>
            </w:r>
            <w:r>
              <w:rPr>
                <w:sz w:val="22"/>
              </w:rPr>
              <w:t>COIN Monthly ETF</w:t>
            </w:r>
          </w:p>
          <w:p>
            <w:pPr>
              <w:pStyle w:val="TableParagraph"/>
              <w:rPr>
                <w:sz w:val="22"/>
              </w:rPr>
            </w:pPr>
            <w:r>
              <w:rPr>
                <w:sz w:val="22"/>
              </w:rPr>
              <w:t>Leverage</w:t>
            </w:r>
            <w:r>
              <w:rPr>
                <w:spacing w:val="40"/>
                <w:sz w:val="22"/>
              </w:rPr>
              <w:t> </w:t>
            </w:r>
            <w:r>
              <w:rPr>
                <w:sz w:val="22"/>
              </w:rPr>
              <w:t>Shares</w:t>
            </w:r>
            <w:r>
              <w:rPr>
                <w:spacing w:val="40"/>
                <w:sz w:val="22"/>
              </w:rPr>
              <w:t> </w:t>
            </w:r>
            <w:r>
              <w:rPr>
                <w:sz w:val="22"/>
              </w:rPr>
              <w:t>2x</w:t>
            </w:r>
            <w:r>
              <w:rPr>
                <w:spacing w:val="40"/>
                <w:sz w:val="22"/>
              </w:rPr>
              <w:t> </w:t>
            </w:r>
            <w:r>
              <w:rPr>
                <w:sz w:val="22"/>
              </w:rPr>
              <w:t>Capped</w:t>
            </w:r>
            <w:r>
              <w:rPr>
                <w:spacing w:val="40"/>
                <w:sz w:val="22"/>
              </w:rPr>
              <w:t> </w:t>
            </w:r>
            <w:r>
              <w:rPr>
                <w:sz w:val="22"/>
              </w:rPr>
              <w:t>Accelerated</w:t>
            </w:r>
            <w:r>
              <w:rPr>
                <w:spacing w:val="40"/>
                <w:sz w:val="22"/>
              </w:rPr>
              <w:t> </w:t>
            </w:r>
            <w:r>
              <w:rPr>
                <w:sz w:val="22"/>
              </w:rPr>
              <w:t>MSTR Monthly ETF</w:t>
            </w:r>
          </w:p>
          <w:p>
            <w:pPr>
              <w:pStyle w:val="TableParagraph"/>
              <w:spacing w:line="270" w:lineRule="atLeast"/>
              <w:rPr>
                <w:sz w:val="22"/>
              </w:rPr>
            </w:pPr>
            <w:r>
              <w:rPr>
                <w:sz w:val="22"/>
              </w:rPr>
              <w:t>Leverage</w:t>
            </w:r>
            <w:r>
              <w:rPr>
                <w:spacing w:val="40"/>
                <w:sz w:val="22"/>
              </w:rPr>
              <w:t> </w:t>
            </w:r>
            <w:r>
              <w:rPr>
                <w:sz w:val="22"/>
              </w:rPr>
              <w:t>Shares</w:t>
            </w:r>
            <w:r>
              <w:rPr>
                <w:spacing w:val="40"/>
                <w:sz w:val="22"/>
              </w:rPr>
              <w:t> </w:t>
            </w:r>
            <w:r>
              <w:rPr>
                <w:sz w:val="22"/>
              </w:rPr>
              <w:t>2x</w:t>
            </w:r>
            <w:r>
              <w:rPr>
                <w:spacing w:val="40"/>
                <w:sz w:val="22"/>
              </w:rPr>
              <w:t> </w:t>
            </w:r>
            <w:r>
              <w:rPr>
                <w:sz w:val="22"/>
              </w:rPr>
              <w:t>Capped</w:t>
            </w:r>
            <w:r>
              <w:rPr>
                <w:spacing w:val="40"/>
                <w:sz w:val="22"/>
              </w:rPr>
              <w:t> </w:t>
            </w:r>
            <w:r>
              <w:rPr>
                <w:sz w:val="22"/>
              </w:rPr>
              <w:t>Accelerated</w:t>
            </w:r>
            <w:r>
              <w:rPr>
                <w:spacing w:val="40"/>
                <w:sz w:val="22"/>
              </w:rPr>
              <w:t> </w:t>
            </w:r>
            <w:r>
              <w:rPr>
                <w:sz w:val="22"/>
              </w:rPr>
              <w:t>NVDA Monthly ETF</w:t>
            </w:r>
          </w:p>
        </w:tc>
        <w:tc>
          <w:tcPr>
            <w:tcW w:w="7294" w:type="dxa"/>
            <w:gridSpan w:val="3"/>
          </w:tcPr>
          <w:p>
            <w:pPr>
              <w:pStyle w:val="TableParagraph"/>
              <w:ind w:left="0"/>
              <w:rPr>
                <w:sz w:val="22"/>
              </w:rPr>
            </w:pPr>
          </w:p>
          <w:p>
            <w:pPr>
              <w:pStyle w:val="TableParagraph"/>
              <w:rPr>
                <w:sz w:val="22"/>
              </w:rPr>
            </w:pPr>
            <w:r>
              <w:rPr>
                <w:spacing w:val="-2"/>
                <w:sz w:val="22"/>
              </w:rPr>
              <w:t>For</w:t>
            </w:r>
            <w:r>
              <w:rPr>
                <w:spacing w:val="-3"/>
                <w:sz w:val="22"/>
              </w:rPr>
              <w:t> </w:t>
            </w:r>
            <w:r>
              <w:rPr>
                <w:spacing w:val="-2"/>
                <w:sz w:val="22"/>
              </w:rPr>
              <w:t>the</w:t>
            </w:r>
            <w:r>
              <w:rPr>
                <w:spacing w:val="-3"/>
                <w:sz w:val="22"/>
              </w:rPr>
              <w:t> </w:t>
            </w:r>
            <w:r>
              <w:rPr>
                <w:spacing w:val="-2"/>
                <w:sz w:val="22"/>
              </w:rPr>
              <w:t>period</w:t>
            </w:r>
            <w:r>
              <w:rPr>
                <w:spacing w:val="-4"/>
                <w:sz w:val="22"/>
              </w:rPr>
              <w:t> </w:t>
            </w:r>
            <w:r>
              <w:rPr>
                <w:spacing w:val="-2"/>
                <w:sz w:val="22"/>
              </w:rPr>
              <w:t>from</w:t>
            </w:r>
            <w:r>
              <w:rPr>
                <w:spacing w:val="-3"/>
                <w:sz w:val="22"/>
              </w:rPr>
              <w:t> </w:t>
            </w:r>
            <w:r>
              <w:rPr>
                <w:spacing w:val="-2"/>
                <w:sz w:val="22"/>
              </w:rPr>
              <w:t>August</w:t>
            </w:r>
            <w:r>
              <w:rPr>
                <w:spacing w:val="-3"/>
                <w:sz w:val="22"/>
              </w:rPr>
              <w:t> </w:t>
            </w:r>
            <w:r>
              <w:rPr>
                <w:spacing w:val="-2"/>
                <w:sz w:val="22"/>
              </w:rPr>
              <w:t>12,</w:t>
            </w:r>
            <w:r>
              <w:rPr>
                <w:spacing w:val="-1"/>
                <w:sz w:val="22"/>
              </w:rPr>
              <w:t> </w:t>
            </w:r>
            <w:r>
              <w:rPr>
                <w:spacing w:val="-2"/>
                <w:sz w:val="22"/>
              </w:rPr>
              <w:t>2025</w:t>
            </w:r>
            <w:r>
              <w:rPr>
                <w:spacing w:val="-3"/>
                <w:sz w:val="22"/>
              </w:rPr>
              <w:t> </w:t>
            </w:r>
            <w:r>
              <w:rPr>
                <w:spacing w:val="-2"/>
                <w:sz w:val="22"/>
              </w:rPr>
              <w:t>(inception date)</w:t>
            </w:r>
            <w:r>
              <w:rPr>
                <w:spacing w:val="-1"/>
                <w:sz w:val="22"/>
              </w:rPr>
              <w:t> </w:t>
            </w:r>
            <w:r>
              <w:rPr>
                <w:spacing w:val="-2"/>
                <w:sz w:val="22"/>
              </w:rPr>
              <w:t>through October</w:t>
            </w:r>
            <w:r>
              <w:rPr>
                <w:spacing w:val="-3"/>
                <w:sz w:val="22"/>
              </w:rPr>
              <w:t> </w:t>
            </w:r>
            <w:r>
              <w:rPr>
                <w:spacing w:val="-2"/>
                <w:sz w:val="22"/>
              </w:rPr>
              <w:t>31,</w:t>
            </w:r>
            <w:r>
              <w:rPr>
                <w:spacing w:val="-3"/>
                <w:sz w:val="22"/>
              </w:rPr>
              <w:t> </w:t>
            </w:r>
            <w:r>
              <w:rPr>
                <w:spacing w:val="-2"/>
                <w:sz w:val="22"/>
              </w:rPr>
              <w:t>2025.</w:t>
            </w:r>
          </w:p>
        </w:tc>
      </w:tr>
    </w:tbl>
    <w:p>
      <w:pPr>
        <w:pStyle w:val="TableParagraph"/>
        <w:spacing w:after="0"/>
        <w:rPr>
          <w:sz w:val="22"/>
        </w:rPr>
        <w:sectPr>
          <w:type w:val="continuous"/>
          <w:pgSz w:w="12240" w:h="15840"/>
          <w:pgMar w:top="1700" w:bottom="280" w:left="0" w:right="0"/>
        </w:sectPr>
      </w:pPr>
    </w:p>
    <w:p>
      <w:pPr>
        <w:pStyle w:val="BodyText"/>
        <w:spacing w:before="3"/>
        <w:ind w:left="0"/>
        <w:rPr>
          <w:sz w:val="2"/>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0"/>
        <w:gridCol w:w="7294"/>
      </w:tblGrid>
      <w:tr>
        <w:trPr>
          <w:trHeight w:val="1074" w:hRule="atLeast"/>
        </w:trPr>
        <w:tc>
          <w:tcPr>
            <w:tcW w:w="4680" w:type="dxa"/>
          </w:tcPr>
          <w:p>
            <w:pPr>
              <w:pStyle w:val="TableParagraph"/>
              <w:rPr>
                <w:sz w:val="22"/>
              </w:rPr>
            </w:pPr>
            <w:r>
              <w:rPr>
                <w:sz w:val="22"/>
              </w:rPr>
              <w:t>Leverage</w:t>
            </w:r>
            <w:r>
              <w:rPr>
                <w:spacing w:val="40"/>
                <w:sz w:val="22"/>
              </w:rPr>
              <w:t> </w:t>
            </w:r>
            <w:r>
              <w:rPr>
                <w:sz w:val="22"/>
              </w:rPr>
              <w:t>Shares</w:t>
            </w:r>
            <w:r>
              <w:rPr>
                <w:spacing w:val="40"/>
                <w:sz w:val="22"/>
              </w:rPr>
              <w:t> </w:t>
            </w:r>
            <w:r>
              <w:rPr>
                <w:sz w:val="22"/>
              </w:rPr>
              <w:t>2x</w:t>
            </w:r>
            <w:r>
              <w:rPr>
                <w:spacing w:val="40"/>
                <w:sz w:val="22"/>
              </w:rPr>
              <w:t> </w:t>
            </w:r>
            <w:r>
              <w:rPr>
                <w:sz w:val="22"/>
              </w:rPr>
              <w:t>Capped</w:t>
            </w:r>
            <w:r>
              <w:rPr>
                <w:spacing w:val="40"/>
                <w:sz w:val="22"/>
              </w:rPr>
              <w:t> </w:t>
            </w:r>
            <w:r>
              <w:rPr>
                <w:sz w:val="22"/>
              </w:rPr>
              <w:t>Accelerated</w:t>
            </w:r>
            <w:r>
              <w:rPr>
                <w:spacing w:val="40"/>
                <w:sz w:val="22"/>
              </w:rPr>
              <w:t> </w:t>
            </w:r>
            <w:r>
              <w:rPr>
                <w:sz w:val="22"/>
              </w:rPr>
              <w:t>PLTR</w:t>
            </w:r>
            <w:r>
              <w:rPr>
                <w:spacing w:val="40"/>
                <w:sz w:val="22"/>
              </w:rPr>
              <w:t> </w:t>
            </w:r>
            <w:r>
              <w:rPr>
                <w:sz w:val="22"/>
              </w:rPr>
              <w:t>Monthly ETF</w:t>
            </w:r>
          </w:p>
          <w:p>
            <w:pPr>
              <w:pStyle w:val="TableParagraph"/>
              <w:spacing w:line="270" w:lineRule="atLeast"/>
              <w:rPr>
                <w:sz w:val="22"/>
              </w:rPr>
            </w:pPr>
            <w:r>
              <w:rPr>
                <w:sz w:val="22"/>
              </w:rPr>
              <w:t>Leverage</w:t>
            </w:r>
            <w:r>
              <w:rPr>
                <w:spacing w:val="40"/>
                <w:sz w:val="22"/>
              </w:rPr>
              <w:t> </w:t>
            </w:r>
            <w:r>
              <w:rPr>
                <w:sz w:val="22"/>
              </w:rPr>
              <w:t>Shares</w:t>
            </w:r>
            <w:r>
              <w:rPr>
                <w:spacing w:val="40"/>
                <w:sz w:val="22"/>
              </w:rPr>
              <w:t> </w:t>
            </w:r>
            <w:r>
              <w:rPr>
                <w:sz w:val="22"/>
              </w:rPr>
              <w:t>2x</w:t>
            </w:r>
            <w:r>
              <w:rPr>
                <w:spacing w:val="40"/>
                <w:sz w:val="22"/>
              </w:rPr>
              <w:t> </w:t>
            </w:r>
            <w:r>
              <w:rPr>
                <w:sz w:val="22"/>
              </w:rPr>
              <w:t>Capped</w:t>
            </w:r>
            <w:r>
              <w:rPr>
                <w:spacing w:val="40"/>
                <w:sz w:val="22"/>
              </w:rPr>
              <w:t> </w:t>
            </w:r>
            <w:r>
              <w:rPr>
                <w:sz w:val="22"/>
              </w:rPr>
              <w:t>Accelerated</w:t>
            </w:r>
            <w:r>
              <w:rPr>
                <w:spacing w:val="40"/>
                <w:sz w:val="22"/>
              </w:rPr>
              <w:t> </w:t>
            </w:r>
            <w:r>
              <w:rPr>
                <w:sz w:val="22"/>
              </w:rPr>
              <w:t>TSLA</w:t>
            </w:r>
            <w:r>
              <w:rPr>
                <w:spacing w:val="40"/>
                <w:sz w:val="22"/>
              </w:rPr>
              <w:t> </w:t>
            </w:r>
            <w:r>
              <w:rPr>
                <w:sz w:val="22"/>
              </w:rPr>
              <w:t>Monthly ETF</w:t>
            </w:r>
          </w:p>
        </w:tc>
        <w:tc>
          <w:tcPr>
            <w:tcW w:w="7294" w:type="dxa"/>
          </w:tcPr>
          <w:p>
            <w:pPr>
              <w:pStyle w:val="TableParagraph"/>
              <w:ind w:left="0"/>
              <w:rPr>
                <w:rFonts w:ascii="Times New Roman"/>
                <w:sz w:val="20"/>
              </w:rPr>
            </w:pPr>
          </w:p>
        </w:tc>
      </w:tr>
      <w:tr>
        <w:trPr>
          <w:trHeight w:val="533" w:hRule="atLeast"/>
        </w:trPr>
        <w:tc>
          <w:tcPr>
            <w:tcW w:w="4680" w:type="dxa"/>
          </w:tcPr>
          <w:p>
            <w:pPr>
              <w:pStyle w:val="TableParagraph"/>
              <w:spacing w:line="266" w:lineRule="exact"/>
              <w:rPr>
                <w:sz w:val="22"/>
              </w:rPr>
            </w:pPr>
            <w:r>
              <w:rPr>
                <w:sz w:val="22"/>
              </w:rPr>
              <w:t>Leverage</w:t>
            </w:r>
            <w:r>
              <w:rPr>
                <w:spacing w:val="-7"/>
                <w:sz w:val="22"/>
              </w:rPr>
              <w:t> </w:t>
            </w:r>
            <w:r>
              <w:rPr>
                <w:sz w:val="22"/>
              </w:rPr>
              <w:t>Shares</w:t>
            </w:r>
            <w:r>
              <w:rPr>
                <w:spacing w:val="-6"/>
                <w:sz w:val="22"/>
              </w:rPr>
              <w:t> </w:t>
            </w:r>
            <w:r>
              <w:rPr>
                <w:sz w:val="22"/>
              </w:rPr>
              <w:t>2x</w:t>
            </w:r>
            <w:r>
              <w:rPr>
                <w:spacing w:val="-6"/>
                <w:sz w:val="22"/>
              </w:rPr>
              <w:t> </w:t>
            </w:r>
            <w:r>
              <w:rPr>
                <w:sz w:val="22"/>
              </w:rPr>
              <w:t>Long</w:t>
            </w:r>
            <w:r>
              <w:rPr>
                <w:spacing w:val="-6"/>
                <w:sz w:val="22"/>
              </w:rPr>
              <w:t> </w:t>
            </w:r>
            <w:r>
              <w:rPr>
                <w:sz w:val="22"/>
              </w:rPr>
              <w:t>BBAI</w:t>
            </w:r>
            <w:r>
              <w:rPr>
                <w:spacing w:val="-6"/>
                <w:sz w:val="22"/>
              </w:rPr>
              <w:t> </w:t>
            </w:r>
            <w:r>
              <w:rPr>
                <w:sz w:val="22"/>
              </w:rPr>
              <w:t>Daily</w:t>
            </w:r>
            <w:r>
              <w:rPr>
                <w:spacing w:val="-6"/>
                <w:sz w:val="22"/>
              </w:rPr>
              <w:t> </w:t>
            </w:r>
            <w:r>
              <w:rPr>
                <w:spacing w:val="-5"/>
                <w:sz w:val="22"/>
              </w:rPr>
              <w:t>ETF</w:t>
            </w:r>
          </w:p>
          <w:p>
            <w:pPr>
              <w:pStyle w:val="TableParagraph"/>
              <w:spacing w:line="248" w:lineRule="exact"/>
              <w:rPr>
                <w:sz w:val="22"/>
              </w:rPr>
            </w:pPr>
            <w:r>
              <w:rPr>
                <w:sz w:val="22"/>
              </w:rPr>
              <w:t>Leverage</w:t>
            </w:r>
            <w:r>
              <w:rPr>
                <w:spacing w:val="-7"/>
                <w:sz w:val="22"/>
              </w:rPr>
              <w:t> </w:t>
            </w:r>
            <w:r>
              <w:rPr>
                <w:sz w:val="22"/>
              </w:rPr>
              <w:t>Shares</w:t>
            </w:r>
            <w:r>
              <w:rPr>
                <w:spacing w:val="-6"/>
                <w:sz w:val="22"/>
              </w:rPr>
              <w:t> </w:t>
            </w:r>
            <w:r>
              <w:rPr>
                <w:sz w:val="22"/>
              </w:rPr>
              <w:t>2x</w:t>
            </w:r>
            <w:r>
              <w:rPr>
                <w:spacing w:val="-7"/>
                <w:sz w:val="22"/>
              </w:rPr>
              <w:t> </w:t>
            </w:r>
            <w:r>
              <w:rPr>
                <w:sz w:val="22"/>
              </w:rPr>
              <w:t>Long</w:t>
            </w:r>
            <w:r>
              <w:rPr>
                <w:spacing w:val="-5"/>
                <w:sz w:val="22"/>
              </w:rPr>
              <w:t> </w:t>
            </w:r>
            <w:r>
              <w:rPr>
                <w:sz w:val="22"/>
              </w:rPr>
              <w:t>GLXY</w:t>
            </w:r>
            <w:r>
              <w:rPr>
                <w:spacing w:val="-6"/>
                <w:sz w:val="22"/>
              </w:rPr>
              <w:t> </w:t>
            </w:r>
            <w:r>
              <w:rPr>
                <w:sz w:val="22"/>
              </w:rPr>
              <w:t>Daily</w:t>
            </w:r>
            <w:r>
              <w:rPr>
                <w:spacing w:val="-6"/>
                <w:sz w:val="22"/>
              </w:rPr>
              <w:t> </w:t>
            </w:r>
            <w:r>
              <w:rPr>
                <w:spacing w:val="-5"/>
                <w:sz w:val="22"/>
              </w:rPr>
              <w:t>ETF</w:t>
            </w:r>
          </w:p>
        </w:tc>
        <w:tc>
          <w:tcPr>
            <w:tcW w:w="7294" w:type="dxa"/>
          </w:tcPr>
          <w:p>
            <w:pPr>
              <w:pStyle w:val="TableParagraph"/>
              <w:spacing w:line="267" w:lineRule="exact"/>
              <w:rPr>
                <w:sz w:val="22"/>
              </w:rPr>
            </w:pPr>
            <w:r>
              <w:rPr>
                <w:spacing w:val="-2"/>
                <w:sz w:val="22"/>
              </w:rPr>
              <w:t>For</w:t>
            </w:r>
            <w:r>
              <w:rPr>
                <w:spacing w:val="-3"/>
                <w:sz w:val="22"/>
              </w:rPr>
              <w:t> </w:t>
            </w:r>
            <w:r>
              <w:rPr>
                <w:spacing w:val="-2"/>
                <w:sz w:val="22"/>
              </w:rPr>
              <w:t>the</w:t>
            </w:r>
            <w:r>
              <w:rPr>
                <w:spacing w:val="-3"/>
                <w:sz w:val="22"/>
              </w:rPr>
              <w:t> </w:t>
            </w:r>
            <w:r>
              <w:rPr>
                <w:spacing w:val="-2"/>
                <w:sz w:val="22"/>
              </w:rPr>
              <w:t>period</w:t>
            </w:r>
            <w:r>
              <w:rPr>
                <w:spacing w:val="-4"/>
                <w:sz w:val="22"/>
              </w:rPr>
              <w:t> </w:t>
            </w:r>
            <w:r>
              <w:rPr>
                <w:spacing w:val="-2"/>
                <w:sz w:val="22"/>
              </w:rPr>
              <w:t>from</w:t>
            </w:r>
            <w:r>
              <w:rPr>
                <w:spacing w:val="-3"/>
                <w:sz w:val="22"/>
              </w:rPr>
              <w:t> </w:t>
            </w:r>
            <w:r>
              <w:rPr>
                <w:spacing w:val="-2"/>
                <w:sz w:val="22"/>
              </w:rPr>
              <w:t>August</w:t>
            </w:r>
            <w:r>
              <w:rPr>
                <w:spacing w:val="-3"/>
                <w:sz w:val="22"/>
              </w:rPr>
              <w:t> </w:t>
            </w:r>
            <w:r>
              <w:rPr>
                <w:spacing w:val="-2"/>
                <w:sz w:val="22"/>
              </w:rPr>
              <w:t>20, 2025</w:t>
            </w:r>
            <w:r>
              <w:rPr>
                <w:spacing w:val="-3"/>
                <w:sz w:val="22"/>
              </w:rPr>
              <w:t> </w:t>
            </w:r>
            <w:r>
              <w:rPr>
                <w:spacing w:val="-2"/>
                <w:sz w:val="22"/>
              </w:rPr>
              <w:t>(inception date)</w:t>
            </w:r>
            <w:r>
              <w:rPr>
                <w:sz w:val="22"/>
              </w:rPr>
              <w:t> </w:t>
            </w:r>
            <w:r>
              <w:rPr>
                <w:spacing w:val="-2"/>
                <w:sz w:val="22"/>
              </w:rPr>
              <w:t>through</w:t>
            </w:r>
            <w:r>
              <w:rPr>
                <w:spacing w:val="-3"/>
                <w:sz w:val="22"/>
              </w:rPr>
              <w:t> </w:t>
            </w:r>
            <w:r>
              <w:rPr>
                <w:spacing w:val="-2"/>
                <w:sz w:val="22"/>
              </w:rPr>
              <w:t>October</w:t>
            </w:r>
            <w:r>
              <w:rPr>
                <w:spacing w:val="-3"/>
                <w:sz w:val="22"/>
              </w:rPr>
              <w:t> </w:t>
            </w:r>
            <w:r>
              <w:rPr>
                <w:spacing w:val="-2"/>
                <w:sz w:val="22"/>
              </w:rPr>
              <w:t>31,</w:t>
            </w:r>
            <w:r>
              <w:rPr>
                <w:spacing w:val="-3"/>
                <w:sz w:val="22"/>
              </w:rPr>
              <w:t> </w:t>
            </w:r>
            <w:r>
              <w:rPr>
                <w:spacing w:val="-2"/>
                <w:sz w:val="22"/>
              </w:rPr>
              <w:t>2025.</w:t>
            </w:r>
          </w:p>
        </w:tc>
      </w:tr>
      <w:tr>
        <w:trPr>
          <w:trHeight w:val="537" w:hRule="atLeast"/>
        </w:trPr>
        <w:tc>
          <w:tcPr>
            <w:tcW w:w="4680" w:type="dxa"/>
          </w:tcPr>
          <w:p>
            <w:pPr>
              <w:pStyle w:val="TableParagraph"/>
              <w:spacing w:before="1"/>
              <w:rPr>
                <w:sz w:val="22"/>
              </w:rPr>
            </w:pPr>
            <w:r>
              <w:rPr>
                <w:sz w:val="22"/>
              </w:rPr>
              <w:t>Leverage</w:t>
            </w:r>
            <w:r>
              <w:rPr>
                <w:spacing w:val="-7"/>
                <w:sz w:val="22"/>
              </w:rPr>
              <w:t> </w:t>
            </w:r>
            <w:r>
              <w:rPr>
                <w:sz w:val="22"/>
              </w:rPr>
              <w:t>Shares</w:t>
            </w:r>
            <w:r>
              <w:rPr>
                <w:spacing w:val="-7"/>
                <w:sz w:val="22"/>
              </w:rPr>
              <w:t> </w:t>
            </w:r>
            <w:r>
              <w:rPr>
                <w:sz w:val="22"/>
              </w:rPr>
              <w:t>2x</w:t>
            </w:r>
            <w:r>
              <w:rPr>
                <w:spacing w:val="-7"/>
                <w:sz w:val="22"/>
              </w:rPr>
              <w:t> </w:t>
            </w:r>
            <w:r>
              <w:rPr>
                <w:sz w:val="22"/>
              </w:rPr>
              <w:t>Long</w:t>
            </w:r>
            <w:r>
              <w:rPr>
                <w:spacing w:val="-5"/>
                <w:sz w:val="22"/>
              </w:rPr>
              <w:t> </w:t>
            </w:r>
            <w:r>
              <w:rPr>
                <w:sz w:val="22"/>
              </w:rPr>
              <w:t>COST</w:t>
            </w:r>
            <w:r>
              <w:rPr>
                <w:spacing w:val="-7"/>
                <w:sz w:val="22"/>
              </w:rPr>
              <w:t> </w:t>
            </w:r>
            <w:r>
              <w:rPr>
                <w:sz w:val="22"/>
              </w:rPr>
              <w:t>Daily</w:t>
            </w:r>
            <w:r>
              <w:rPr>
                <w:spacing w:val="-6"/>
                <w:sz w:val="22"/>
              </w:rPr>
              <w:t> </w:t>
            </w:r>
            <w:r>
              <w:rPr>
                <w:spacing w:val="-5"/>
                <w:sz w:val="22"/>
              </w:rPr>
              <w:t>ETF</w:t>
            </w:r>
          </w:p>
        </w:tc>
        <w:tc>
          <w:tcPr>
            <w:tcW w:w="7294" w:type="dxa"/>
          </w:tcPr>
          <w:p>
            <w:pPr>
              <w:pStyle w:val="TableParagraph"/>
              <w:spacing w:line="268" w:lineRule="exact" w:before="1"/>
              <w:ind w:left="105"/>
              <w:rPr>
                <w:sz w:val="22"/>
              </w:rPr>
            </w:pPr>
            <w:r>
              <w:rPr>
                <w:sz w:val="22"/>
              </w:rPr>
              <w:t>For</w:t>
            </w:r>
            <w:r>
              <w:rPr>
                <w:spacing w:val="3"/>
                <w:sz w:val="22"/>
              </w:rPr>
              <w:t> </w:t>
            </w:r>
            <w:r>
              <w:rPr>
                <w:sz w:val="22"/>
              </w:rPr>
              <w:t>the</w:t>
            </w:r>
            <w:r>
              <w:rPr>
                <w:spacing w:val="4"/>
                <w:sz w:val="22"/>
              </w:rPr>
              <w:t> </w:t>
            </w:r>
            <w:r>
              <w:rPr>
                <w:sz w:val="22"/>
              </w:rPr>
              <w:t>period</w:t>
            </w:r>
            <w:r>
              <w:rPr>
                <w:spacing w:val="3"/>
                <w:sz w:val="22"/>
              </w:rPr>
              <w:t> </w:t>
            </w:r>
            <w:r>
              <w:rPr>
                <w:sz w:val="22"/>
              </w:rPr>
              <w:t>from</w:t>
            </w:r>
            <w:r>
              <w:rPr>
                <w:spacing w:val="4"/>
                <w:sz w:val="22"/>
              </w:rPr>
              <w:t> </w:t>
            </w:r>
            <w:r>
              <w:rPr>
                <w:sz w:val="22"/>
              </w:rPr>
              <w:t>September</w:t>
            </w:r>
            <w:r>
              <w:rPr>
                <w:spacing w:val="3"/>
                <w:sz w:val="22"/>
              </w:rPr>
              <w:t> </w:t>
            </w:r>
            <w:r>
              <w:rPr>
                <w:sz w:val="22"/>
              </w:rPr>
              <w:t>17,</w:t>
            </w:r>
            <w:r>
              <w:rPr>
                <w:spacing w:val="4"/>
                <w:sz w:val="22"/>
              </w:rPr>
              <w:t> </w:t>
            </w:r>
            <w:r>
              <w:rPr>
                <w:sz w:val="22"/>
              </w:rPr>
              <w:t>2025</w:t>
            </w:r>
            <w:r>
              <w:rPr>
                <w:spacing w:val="3"/>
                <w:sz w:val="22"/>
              </w:rPr>
              <w:t> </w:t>
            </w:r>
            <w:r>
              <w:rPr>
                <w:sz w:val="22"/>
              </w:rPr>
              <w:t>(inception</w:t>
            </w:r>
            <w:r>
              <w:rPr>
                <w:spacing w:val="5"/>
                <w:sz w:val="22"/>
              </w:rPr>
              <w:t> </w:t>
            </w:r>
            <w:r>
              <w:rPr>
                <w:sz w:val="22"/>
              </w:rPr>
              <w:t>date)</w:t>
            </w:r>
            <w:r>
              <w:rPr>
                <w:spacing w:val="3"/>
                <w:sz w:val="22"/>
              </w:rPr>
              <w:t> </w:t>
            </w:r>
            <w:r>
              <w:rPr>
                <w:sz w:val="22"/>
              </w:rPr>
              <w:t>through</w:t>
            </w:r>
            <w:r>
              <w:rPr>
                <w:spacing w:val="4"/>
                <w:sz w:val="22"/>
              </w:rPr>
              <w:t> </w:t>
            </w:r>
            <w:r>
              <w:rPr>
                <w:sz w:val="22"/>
              </w:rPr>
              <w:t>October</w:t>
            </w:r>
            <w:r>
              <w:rPr>
                <w:spacing w:val="4"/>
                <w:sz w:val="22"/>
              </w:rPr>
              <w:t> </w:t>
            </w:r>
            <w:r>
              <w:rPr>
                <w:spacing w:val="-5"/>
                <w:sz w:val="22"/>
              </w:rPr>
              <w:t>31,</w:t>
            </w:r>
          </w:p>
          <w:p>
            <w:pPr>
              <w:pStyle w:val="TableParagraph"/>
              <w:spacing w:line="248" w:lineRule="exact"/>
              <w:rPr>
                <w:sz w:val="22"/>
              </w:rPr>
            </w:pPr>
            <w:r>
              <w:rPr>
                <w:spacing w:val="-2"/>
                <w:sz w:val="22"/>
              </w:rPr>
              <w:t>2025.</w:t>
            </w:r>
          </w:p>
        </w:tc>
      </w:tr>
      <w:tr>
        <w:trPr>
          <w:trHeight w:val="537" w:hRule="atLeast"/>
        </w:trPr>
        <w:tc>
          <w:tcPr>
            <w:tcW w:w="4680" w:type="dxa"/>
          </w:tcPr>
          <w:p>
            <w:pPr>
              <w:pStyle w:val="TableParagraph"/>
              <w:spacing w:line="270" w:lineRule="atLeast"/>
              <w:ind w:right="391"/>
              <w:rPr>
                <w:sz w:val="22"/>
              </w:rPr>
            </w:pPr>
            <w:r>
              <w:rPr>
                <w:sz w:val="22"/>
              </w:rPr>
              <w:t>Leverage Shares 2x Long FIG Daily ETF Leverage</w:t>
            </w:r>
            <w:r>
              <w:rPr>
                <w:spacing w:val="-7"/>
                <w:sz w:val="22"/>
              </w:rPr>
              <w:t> </w:t>
            </w:r>
            <w:r>
              <w:rPr>
                <w:sz w:val="22"/>
              </w:rPr>
              <w:t>Shares</w:t>
            </w:r>
            <w:r>
              <w:rPr>
                <w:spacing w:val="-7"/>
                <w:sz w:val="22"/>
              </w:rPr>
              <w:t> </w:t>
            </w:r>
            <w:r>
              <w:rPr>
                <w:sz w:val="22"/>
              </w:rPr>
              <w:t>2x</w:t>
            </w:r>
            <w:r>
              <w:rPr>
                <w:spacing w:val="-7"/>
                <w:sz w:val="22"/>
              </w:rPr>
              <w:t> </w:t>
            </w:r>
            <w:r>
              <w:rPr>
                <w:sz w:val="22"/>
              </w:rPr>
              <w:t>Long</w:t>
            </w:r>
            <w:r>
              <w:rPr>
                <w:spacing w:val="-7"/>
                <w:sz w:val="22"/>
              </w:rPr>
              <w:t> </w:t>
            </w:r>
            <w:r>
              <w:rPr>
                <w:sz w:val="22"/>
              </w:rPr>
              <w:t>FUTU</w:t>
            </w:r>
            <w:r>
              <w:rPr>
                <w:spacing w:val="-7"/>
                <w:sz w:val="22"/>
              </w:rPr>
              <w:t> </w:t>
            </w:r>
            <w:r>
              <w:rPr>
                <w:sz w:val="22"/>
              </w:rPr>
              <w:t>Daily</w:t>
            </w:r>
            <w:r>
              <w:rPr>
                <w:spacing w:val="-7"/>
                <w:sz w:val="22"/>
              </w:rPr>
              <w:t> </w:t>
            </w:r>
            <w:r>
              <w:rPr>
                <w:sz w:val="22"/>
              </w:rPr>
              <w:t>ETF</w:t>
            </w:r>
          </w:p>
        </w:tc>
        <w:tc>
          <w:tcPr>
            <w:tcW w:w="7294" w:type="dxa"/>
          </w:tcPr>
          <w:p>
            <w:pPr>
              <w:pStyle w:val="TableParagraph"/>
              <w:spacing w:line="270" w:lineRule="atLeast"/>
              <w:rPr>
                <w:sz w:val="22"/>
              </w:rPr>
            </w:pPr>
            <w:r>
              <w:rPr>
                <w:sz w:val="22"/>
              </w:rPr>
              <w:t>For</w:t>
            </w:r>
            <w:r>
              <w:rPr>
                <w:spacing w:val="29"/>
                <w:sz w:val="22"/>
              </w:rPr>
              <w:t> </w:t>
            </w:r>
            <w:r>
              <w:rPr>
                <w:sz w:val="22"/>
              </w:rPr>
              <w:t>the</w:t>
            </w:r>
            <w:r>
              <w:rPr>
                <w:spacing w:val="29"/>
                <w:sz w:val="22"/>
              </w:rPr>
              <w:t> </w:t>
            </w:r>
            <w:r>
              <w:rPr>
                <w:sz w:val="22"/>
              </w:rPr>
              <w:t>period</w:t>
            </w:r>
            <w:r>
              <w:rPr>
                <w:spacing w:val="28"/>
                <w:sz w:val="22"/>
              </w:rPr>
              <w:t> </w:t>
            </w:r>
            <w:r>
              <w:rPr>
                <w:sz w:val="22"/>
              </w:rPr>
              <w:t>from</w:t>
            </w:r>
            <w:r>
              <w:rPr>
                <w:spacing w:val="30"/>
                <w:sz w:val="22"/>
              </w:rPr>
              <w:t> </w:t>
            </w:r>
            <w:r>
              <w:rPr>
                <w:sz w:val="22"/>
              </w:rPr>
              <w:t>October</w:t>
            </w:r>
            <w:r>
              <w:rPr>
                <w:spacing w:val="29"/>
                <w:sz w:val="22"/>
              </w:rPr>
              <w:t> </w:t>
            </w:r>
            <w:r>
              <w:rPr>
                <w:sz w:val="22"/>
              </w:rPr>
              <w:t>13,</w:t>
            </w:r>
            <w:r>
              <w:rPr>
                <w:spacing w:val="30"/>
                <w:sz w:val="22"/>
              </w:rPr>
              <w:t> </w:t>
            </w:r>
            <w:r>
              <w:rPr>
                <w:sz w:val="22"/>
              </w:rPr>
              <w:t>2025</w:t>
            </w:r>
            <w:r>
              <w:rPr>
                <w:spacing w:val="29"/>
                <w:sz w:val="22"/>
              </w:rPr>
              <w:t> </w:t>
            </w:r>
            <w:r>
              <w:rPr>
                <w:sz w:val="22"/>
              </w:rPr>
              <w:t>(inception</w:t>
            </w:r>
            <w:r>
              <w:rPr>
                <w:spacing w:val="30"/>
                <w:sz w:val="22"/>
              </w:rPr>
              <w:t> </w:t>
            </w:r>
            <w:r>
              <w:rPr>
                <w:sz w:val="22"/>
              </w:rPr>
              <w:t>date)</w:t>
            </w:r>
            <w:r>
              <w:rPr>
                <w:spacing w:val="29"/>
                <w:sz w:val="22"/>
              </w:rPr>
              <w:t> </w:t>
            </w:r>
            <w:r>
              <w:rPr>
                <w:sz w:val="22"/>
              </w:rPr>
              <w:t>through</w:t>
            </w:r>
            <w:r>
              <w:rPr>
                <w:spacing w:val="29"/>
                <w:sz w:val="22"/>
              </w:rPr>
              <w:t> </w:t>
            </w:r>
            <w:r>
              <w:rPr>
                <w:sz w:val="22"/>
              </w:rPr>
              <w:t>October</w:t>
            </w:r>
            <w:r>
              <w:rPr>
                <w:spacing w:val="30"/>
                <w:sz w:val="22"/>
              </w:rPr>
              <w:t> </w:t>
            </w:r>
            <w:r>
              <w:rPr>
                <w:sz w:val="22"/>
              </w:rPr>
              <w:t>31, </w:t>
            </w:r>
            <w:r>
              <w:rPr>
                <w:spacing w:val="-2"/>
                <w:sz w:val="22"/>
              </w:rPr>
              <w:t>2025.</w:t>
            </w:r>
          </w:p>
        </w:tc>
      </w:tr>
      <w:tr>
        <w:trPr>
          <w:trHeight w:val="1071" w:hRule="atLeast"/>
        </w:trPr>
        <w:tc>
          <w:tcPr>
            <w:tcW w:w="4680" w:type="dxa"/>
          </w:tcPr>
          <w:p>
            <w:pPr>
              <w:pStyle w:val="TableParagraph"/>
              <w:ind w:right="391"/>
              <w:rPr>
                <w:sz w:val="22"/>
              </w:rPr>
            </w:pPr>
            <w:r>
              <w:rPr>
                <w:sz w:val="22"/>
              </w:rPr>
              <w:t>Leverage Shares 2x Long BLSH Daily ETF Leverage</w:t>
            </w:r>
            <w:r>
              <w:rPr>
                <w:spacing w:val="-7"/>
                <w:sz w:val="22"/>
              </w:rPr>
              <w:t> </w:t>
            </w:r>
            <w:r>
              <w:rPr>
                <w:sz w:val="22"/>
              </w:rPr>
              <w:t>Shares</w:t>
            </w:r>
            <w:r>
              <w:rPr>
                <w:spacing w:val="-7"/>
                <w:sz w:val="22"/>
              </w:rPr>
              <w:t> </w:t>
            </w:r>
            <w:r>
              <w:rPr>
                <w:sz w:val="22"/>
              </w:rPr>
              <w:t>2x</w:t>
            </w:r>
            <w:r>
              <w:rPr>
                <w:spacing w:val="-7"/>
                <w:sz w:val="22"/>
              </w:rPr>
              <w:t> </w:t>
            </w:r>
            <w:r>
              <w:rPr>
                <w:sz w:val="22"/>
              </w:rPr>
              <w:t>Long</w:t>
            </w:r>
            <w:r>
              <w:rPr>
                <w:spacing w:val="-6"/>
                <w:sz w:val="22"/>
              </w:rPr>
              <w:t> </w:t>
            </w:r>
            <w:r>
              <w:rPr>
                <w:sz w:val="22"/>
              </w:rPr>
              <w:t>BMNR</w:t>
            </w:r>
            <w:r>
              <w:rPr>
                <w:spacing w:val="-7"/>
                <w:sz w:val="22"/>
              </w:rPr>
              <w:t> </w:t>
            </w:r>
            <w:r>
              <w:rPr>
                <w:sz w:val="22"/>
              </w:rPr>
              <w:t>Daily</w:t>
            </w:r>
            <w:r>
              <w:rPr>
                <w:spacing w:val="-6"/>
                <w:sz w:val="22"/>
              </w:rPr>
              <w:t> </w:t>
            </w:r>
            <w:r>
              <w:rPr>
                <w:sz w:val="22"/>
              </w:rPr>
              <w:t>ETF Leverage Shares 2x Long MP Daily ETF</w:t>
            </w:r>
          </w:p>
          <w:p>
            <w:pPr>
              <w:pStyle w:val="TableParagraph"/>
              <w:spacing w:line="248" w:lineRule="exact"/>
              <w:rPr>
                <w:sz w:val="22"/>
              </w:rPr>
            </w:pPr>
            <w:r>
              <w:rPr>
                <w:sz w:val="22"/>
              </w:rPr>
              <w:t>Leverage</w:t>
            </w:r>
            <w:r>
              <w:rPr>
                <w:spacing w:val="-6"/>
                <w:sz w:val="22"/>
              </w:rPr>
              <w:t> </w:t>
            </w:r>
            <w:r>
              <w:rPr>
                <w:sz w:val="22"/>
              </w:rPr>
              <w:t>Shares</w:t>
            </w:r>
            <w:r>
              <w:rPr>
                <w:spacing w:val="-6"/>
                <w:sz w:val="22"/>
              </w:rPr>
              <w:t> </w:t>
            </w:r>
            <w:r>
              <w:rPr>
                <w:sz w:val="22"/>
              </w:rPr>
              <w:t>2x</w:t>
            </w:r>
            <w:r>
              <w:rPr>
                <w:spacing w:val="-6"/>
                <w:sz w:val="22"/>
              </w:rPr>
              <w:t> </w:t>
            </w:r>
            <w:r>
              <w:rPr>
                <w:sz w:val="22"/>
              </w:rPr>
              <w:t>Long</w:t>
            </w:r>
            <w:r>
              <w:rPr>
                <w:spacing w:val="-5"/>
                <w:sz w:val="22"/>
              </w:rPr>
              <w:t> </w:t>
            </w:r>
            <w:r>
              <w:rPr>
                <w:sz w:val="22"/>
              </w:rPr>
              <w:t>NBIS</w:t>
            </w:r>
            <w:r>
              <w:rPr>
                <w:spacing w:val="-6"/>
                <w:sz w:val="22"/>
              </w:rPr>
              <w:t> </w:t>
            </w:r>
            <w:r>
              <w:rPr>
                <w:sz w:val="22"/>
              </w:rPr>
              <w:t>Daily</w:t>
            </w:r>
            <w:r>
              <w:rPr>
                <w:spacing w:val="-5"/>
                <w:sz w:val="22"/>
              </w:rPr>
              <w:t> ETF</w:t>
            </w:r>
          </w:p>
        </w:tc>
        <w:tc>
          <w:tcPr>
            <w:tcW w:w="7294" w:type="dxa"/>
          </w:tcPr>
          <w:p>
            <w:pPr>
              <w:pStyle w:val="TableParagraph"/>
              <w:rPr>
                <w:sz w:val="22"/>
              </w:rPr>
            </w:pPr>
            <w:r>
              <w:rPr>
                <w:sz w:val="22"/>
              </w:rPr>
              <w:t>For</w:t>
            </w:r>
            <w:r>
              <w:rPr>
                <w:spacing w:val="29"/>
                <w:sz w:val="22"/>
              </w:rPr>
              <w:t> </w:t>
            </w:r>
            <w:r>
              <w:rPr>
                <w:sz w:val="22"/>
              </w:rPr>
              <w:t>the</w:t>
            </w:r>
            <w:r>
              <w:rPr>
                <w:spacing w:val="29"/>
                <w:sz w:val="22"/>
              </w:rPr>
              <w:t> </w:t>
            </w:r>
            <w:r>
              <w:rPr>
                <w:sz w:val="22"/>
              </w:rPr>
              <w:t>period</w:t>
            </w:r>
            <w:r>
              <w:rPr>
                <w:spacing w:val="28"/>
                <w:sz w:val="22"/>
              </w:rPr>
              <w:t> </w:t>
            </w:r>
            <w:r>
              <w:rPr>
                <w:sz w:val="22"/>
              </w:rPr>
              <w:t>from</w:t>
            </w:r>
            <w:r>
              <w:rPr>
                <w:spacing w:val="30"/>
                <w:sz w:val="22"/>
              </w:rPr>
              <w:t> </w:t>
            </w:r>
            <w:r>
              <w:rPr>
                <w:sz w:val="22"/>
              </w:rPr>
              <w:t>October</w:t>
            </w:r>
            <w:r>
              <w:rPr>
                <w:spacing w:val="29"/>
                <w:sz w:val="22"/>
              </w:rPr>
              <w:t> </w:t>
            </w:r>
            <w:r>
              <w:rPr>
                <w:sz w:val="22"/>
              </w:rPr>
              <w:t>24,</w:t>
            </w:r>
            <w:r>
              <w:rPr>
                <w:spacing w:val="30"/>
                <w:sz w:val="22"/>
              </w:rPr>
              <w:t> </w:t>
            </w:r>
            <w:r>
              <w:rPr>
                <w:sz w:val="22"/>
              </w:rPr>
              <w:t>2025</w:t>
            </w:r>
            <w:r>
              <w:rPr>
                <w:spacing w:val="29"/>
                <w:sz w:val="22"/>
              </w:rPr>
              <w:t> </w:t>
            </w:r>
            <w:r>
              <w:rPr>
                <w:sz w:val="22"/>
              </w:rPr>
              <w:t>(inception</w:t>
            </w:r>
            <w:r>
              <w:rPr>
                <w:spacing w:val="30"/>
                <w:sz w:val="22"/>
              </w:rPr>
              <w:t> </w:t>
            </w:r>
            <w:r>
              <w:rPr>
                <w:sz w:val="22"/>
              </w:rPr>
              <w:t>date)</w:t>
            </w:r>
            <w:r>
              <w:rPr>
                <w:spacing w:val="29"/>
                <w:sz w:val="22"/>
              </w:rPr>
              <w:t> </w:t>
            </w:r>
            <w:r>
              <w:rPr>
                <w:sz w:val="22"/>
              </w:rPr>
              <w:t>through</w:t>
            </w:r>
            <w:r>
              <w:rPr>
                <w:spacing w:val="29"/>
                <w:sz w:val="22"/>
              </w:rPr>
              <w:t> </w:t>
            </w:r>
            <w:r>
              <w:rPr>
                <w:sz w:val="22"/>
              </w:rPr>
              <w:t>October</w:t>
            </w:r>
            <w:r>
              <w:rPr>
                <w:spacing w:val="30"/>
                <w:sz w:val="22"/>
              </w:rPr>
              <w:t> </w:t>
            </w:r>
            <w:r>
              <w:rPr>
                <w:sz w:val="22"/>
              </w:rPr>
              <w:t>31, </w:t>
            </w:r>
            <w:r>
              <w:rPr>
                <w:spacing w:val="-2"/>
                <w:sz w:val="22"/>
              </w:rPr>
              <w:t>2025.</w:t>
            </w:r>
          </w:p>
        </w:tc>
      </w:tr>
    </w:tbl>
    <w:p>
      <w:pPr>
        <w:pStyle w:val="BodyText"/>
        <w:spacing w:before="3"/>
        <w:ind w:left="0"/>
      </w:pPr>
    </w:p>
    <w:p>
      <w:pPr>
        <w:pStyle w:val="BodyText"/>
        <w:spacing w:before="1"/>
      </w:pPr>
      <w:r>
        <w:rPr>
          <w:u w:val="single"/>
        </w:rPr>
        <w:t>Basis</w:t>
      </w:r>
      <w:r>
        <w:rPr>
          <w:spacing w:val="-5"/>
          <w:u w:val="single"/>
        </w:rPr>
        <w:t> </w:t>
      </w:r>
      <w:r>
        <w:rPr>
          <w:u w:val="single"/>
        </w:rPr>
        <w:t>for</w:t>
      </w:r>
      <w:r>
        <w:rPr>
          <w:spacing w:val="-5"/>
          <w:u w:val="single"/>
        </w:rPr>
        <w:t> </w:t>
      </w:r>
      <w:r>
        <w:rPr>
          <w:spacing w:val="-2"/>
          <w:u w:val="single"/>
        </w:rPr>
        <w:t>Opinion</w:t>
      </w:r>
    </w:p>
    <w:p>
      <w:pPr>
        <w:pStyle w:val="BodyText"/>
        <w:spacing w:before="268"/>
        <w:ind w:right="1076"/>
        <w:jc w:val="both"/>
      </w:pPr>
      <w:r>
        <w:rPr/>
        <w:t>These financial statements are the responsibility of the Funds’ management. Our responsibility is to express an opinion on the Funds’ financial statements based on our audits.</w:t>
      </w:r>
      <w:r>
        <w:rPr>
          <w:spacing w:val="40"/>
        </w:rPr>
        <w:t> </w:t>
      </w:r>
      <w:r>
        <w:rPr/>
        <w:t>We are a public accounting firm registered with the Public Company Accounting Oversight Board (United States) (“PCAOB”) and are required to be independent with respect to the Funds in accordance with the U.S. federal securities laws and the applicable rules and regulations of the Securities and Exchange Commission and the PCAOB.</w:t>
      </w:r>
    </w:p>
    <w:p>
      <w:pPr>
        <w:pStyle w:val="BodyText"/>
        <w:ind w:left="0"/>
      </w:pPr>
    </w:p>
    <w:p>
      <w:pPr>
        <w:pStyle w:val="BodyText"/>
        <w:ind w:right="1077"/>
        <w:jc w:val="both"/>
      </w:pPr>
      <w:r>
        <w:rPr/>
        <w:t>We conducted our audits in accordance with the standards of the PCAOB.</w:t>
      </w:r>
      <w:r>
        <w:rPr>
          <w:spacing w:val="40"/>
        </w:rPr>
        <w:t> </w:t>
      </w:r>
      <w:r>
        <w:rPr/>
        <w:t>Those standards require that we plan and</w:t>
      </w:r>
      <w:r>
        <w:rPr>
          <w:spacing w:val="-5"/>
        </w:rPr>
        <w:t> </w:t>
      </w:r>
      <w:r>
        <w:rPr/>
        <w:t>perform</w:t>
      </w:r>
      <w:r>
        <w:rPr>
          <w:spacing w:val="-4"/>
        </w:rPr>
        <w:t> </w:t>
      </w:r>
      <w:r>
        <w:rPr/>
        <w:t>the</w:t>
      </w:r>
      <w:r>
        <w:rPr>
          <w:spacing w:val="-5"/>
        </w:rPr>
        <w:t> </w:t>
      </w:r>
      <w:r>
        <w:rPr/>
        <w:t>audit</w:t>
      </w:r>
      <w:r>
        <w:rPr>
          <w:spacing w:val="-5"/>
        </w:rPr>
        <w:t> </w:t>
      </w:r>
      <w:r>
        <w:rPr/>
        <w:t>to</w:t>
      </w:r>
      <w:r>
        <w:rPr>
          <w:spacing w:val="-5"/>
        </w:rPr>
        <w:t> </w:t>
      </w:r>
      <w:r>
        <w:rPr/>
        <w:t>obtain</w:t>
      </w:r>
      <w:r>
        <w:rPr>
          <w:spacing w:val="-5"/>
        </w:rPr>
        <w:t> </w:t>
      </w:r>
      <w:r>
        <w:rPr/>
        <w:t>reasonable</w:t>
      </w:r>
      <w:r>
        <w:rPr>
          <w:spacing w:val="-5"/>
        </w:rPr>
        <w:t> </w:t>
      </w:r>
      <w:r>
        <w:rPr/>
        <w:t>assurance</w:t>
      </w:r>
      <w:r>
        <w:rPr>
          <w:spacing w:val="-4"/>
        </w:rPr>
        <w:t> </w:t>
      </w:r>
      <w:r>
        <w:rPr/>
        <w:t>about</w:t>
      </w:r>
      <w:r>
        <w:rPr>
          <w:spacing w:val="-5"/>
        </w:rPr>
        <w:t> </w:t>
      </w:r>
      <w:r>
        <w:rPr/>
        <w:t>whether</w:t>
      </w:r>
      <w:r>
        <w:rPr>
          <w:spacing w:val="-5"/>
        </w:rPr>
        <w:t> </w:t>
      </w:r>
      <w:r>
        <w:rPr/>
        <w:t>the</w:t>
      </w:r>
      <w:r>
        <w:rPr>
          <w:spacing w:val="-5"/>
        </w:rPr>
        <w:t> </w:t>
      </w:r>
      <w:r>
        <w:rPr/>
        <w:t>financial</w:t>
      </w:r>
      <w:r>
        <w:rPr>
          <w:spacing w:val="-5"/>
        </w:rPr>
        <w:t> </w:t>
      </w:r>
      <w:r>
        <w:rPr/>
        <w:t>statements</w:t>
      </w:r>
      <w:r>
        <w:rPr>
          <w:spacing w:val="-4"/>
        </w:rPr>
        <w:t> </w:t>
      </w:r>
      <w:r>
        <w:rPr/>
        <w:t>are</w:t>
      </w:r>
      <w:r>
        <w:rPr>
          <w:spacing w:val="-5"/>
        </w:rPr>
        <w:t> </w:t>
      </w:r>
      <w:r>
        <w:rPr/>
        <w:t>free</w:t>
      </w:r>
      <w:r>
        <w:rPr>
          <w:spacing w:val="-5"/>
        </w:rPr>
        <w:t> </w:t>
      </w:r>
      <w:r>
        <w:rPr/>
        <w:t>of</w:t>
      </w:r>
      <w:r>
        <w:rPr>
          <w:spacing w:val="-5"/>
        </w:rPr>
        <w:t> </w:t>
      </w:r>
      <w:r>
        <w:rPr/>
        <w:t>material misstatement whether due to error or fraud.</w:t>
      </w:r>
    </w:p>
    <w:p>
      <w:pPr>
        <w:pStyle w:val="BodyText"/>
        <w:spacing w:before="268"/>
        <w:ind w:right="1076"/>
        <w:jc w:val="both"/>
      </w:pPr>
      <w:r>
        <w:rPr/>
        <w:t>Our</w:t>
      </w:r>
      <w:r>
        <w:rPr>
          <w:spacing w:val="-13"/>
        </w:rPr>
        <w:t> </w:t>
      </w:r>
      <w:r>
        <w:rPr/>
        <w:t>audits</w:t>
      </w:r>
      <w:r>
        <w:rPr>
          <w:spacing w:val="-12"/>
        </w:rPr>
        <w:t> </w:t>
      </w:r>
      <w:r>
        <w:rPr/>
        <w:t>included</w:t>
      </w:r>
      <w:r>
        <w:rPr>
          <w:spacing w:val="-13"/>
        </w:rPr>
        <w:t> </w:t>
      </w:r>
      <w:r>
        <w:rPr/>
        <w:t>performing</w:t>
      </w:r>
      <w:r>
        <w:rPr>
          <w:spacing w:val="-12"/>
        </w:rPr>
        <w:t> </w:t>
      </w:r>
      <w:r>
        <w:rPr/>
        <w:t>procedures</w:t>
      </w:r>
      <w:r>
        <w:rPr>
          <w:spacing w:val="-13"/>
        </w:rPr>
        <w:t> </w:t>
      </w:r>
      <w:r>
        <w:rPr/>
        <w:t>to</w:t>
      </w:r>
      <w:r>
        <w:rPr>
          <w:spacing w:val="-12"/>
        </w:rPr>
        <w:t> </w:t>
      </w:r>
      <w:r>
        <w:rPr/>
        <w:t>assess</w:t>
      </w:r>
      <w:r>
        <w:rPr>
          <w:spacing w:val="-13"/>
        </w:rPr>
        <w:t> </w:t>
      </w:r>
      <w:r>
        <w:rPr/>
        <w:t>the</w:t>
      </w:r>
      <w:r>
        <w:rPr>
          <w:spacing w:val="-12"/>
        </w:rPr>
        <w:t> </w:t>
      </w:r>
      <w:r>
        <w:rPr/>
        <w:t>risks</w:t>
      </w:r>
      <w:r>
        <w:rPr>
          <w:spacing w:val="-12"/>
        </w:rPr>
        <w:t> </w:t>
      </w:r>
      <w:r>
        <w:rPr/>
        <w:t>of</w:t>
      </w:r>
      <w:r>
        <w:rPr>
          <w:spacing w:val="-13"/>
        </w:rPr>
        <w:t> </w:t>
      </w:r>
      <w:r>
        <w:rPr/>
        <w:t>material</w:t>
      </w:r>
      <w:r>
        <w:rPr>
          <w:spacing w:val="-12"/>
        </w:rPr>
        <w:t> </w:t>
      </w:r>
      <w:r>
        <w:rPr/>
        <w:t>misstatement</w:t>
      </w:r>
      <w:r>
        <w:rPr>
          <w:spacing w:val="-12"/>
        </w:rPr>
        <w:t> </w:t>
      </w:r>
      <w:r>
        <w:rPr/>
        <w:t>of</w:t>
      </w:r>
      <w:r>
        <w:rPr>
          <w:spacing w:val="-12"/>
        </w:rPr>
        <w:t> </w:t>
      </w:r>
      <w:r>
        <w:rPr/>
        <w:t>the</w:t>
      </w:r>
      <w:r>
        <w:rPr>
          <w:spacing w:val="-12"/>
        </w:rPr>
        <w:t> </w:t>
      </w:r>
      <w:r>
        <w:rPr/>
        <w:t>financial</w:t>
      </w:r>
      <w:r>
        <w:rPr>
          <w:spacing w:val="-12"/>
        </w:rPr>
        <w:t> </w:t>
      </w:r>
      <w:r>
        <w:rPr/>
        <w:t>statements, whether due to error or fraud, and performing procedures that respond to those risks. Such procedures included examining, on a test basis, evidence regarding the amounts and disclosures in the financial statements.</w:t>
      </w:r>
      <w:r>
        <w:rPr>
          <w:spacing w:val="40"/>
        </w:rPr>
        <w:t> </w:t>
      </w:r>
      <w:r>
        <w:rPr/>
        <w:t>Our procedures included confirmation of securities owned as of October 31, 2025, by correspondence with the custodian</w:t>
      </w:r>
      <w:r>
        <w:rPr>
          <w:spacing w:val="-11"/>
        </w:rPr>
        <w:t> </w:t>
      </w:r>
      <w:r>
        <w:rPr/>
        <w:t>and</w:t>
      </w:r>
      <w:r>
        <w:rPr>
          <w:spacing w:val="-11"/>
        </w:rPr>
        <w:t> </w:t>
      </w:r>
      <w:r>
        <w:rPr/>
        <w:t>brokers;</w:t>
      </w:r>
      <w:r>
        <w:rPr>
          <w:spacing w:val="-11"/>
        </w:rPr>
        <w:t> </w:t>
      </w:r>
      <w:r>
        <w:rPr/>
        <w:t>when</w:t>
      </w:r>
      <w:r>
        <w:rPr>
          <w:spacing w:val="-11"/>
        </w:rPr>
        <w:t> </w:t>
      </w:r>
      <w:r>
        <w:rPr/>
        <w:t>replies</w:t>
      </w:r>
      <w:r>
        <w:rPr>
          <w:spacing w:val="-10"/>
        </w:rPr>
        <w:t> </w:t>
      </w:r>
      <w:r>
        <w:rPr/>
        <w:t>were</w:t>
      </w:r>
      <w:r>
        <w:rPr>
          <w:spacing w:val="-11"/>
        </w:rPr>
        <w:t> </w:t>
      </w:r>
      <w:r>
        <w:rPr/>
        <w:t>not</w:t>
      </w:r>
      <w:r>
        <w:rPr>
          <w:spacing w:val="-11"/>
        </w:rPr>
        <w:t> </w:t>
      </w:r>
      <w:r>
        <w:rPr/>
        <w:t>received</w:t>
      </w:r>
      <w:r>
        <w:rPr>
          <w:spacing w:val="-12"/>
        </w:rPr>
        <w:t> </w:t>
      </w:r>
      <w:r>
        <w:rPr/>
        <w:t>from</w:t>
      </w:r>
      <w:r>
        <w:rPr>
          <w:spacing w:val="-10"/>
        </w:rPr>
        <w:t> </w:t>
      </w:r>
      <w:r>
        <w:rPr/>
        <w:t>the</w:t>
      </w:r>
      <w:r>
        <w:rPr>
          <w:spacing w:val="-10"/>
        </w:rPr>
        <w:t> </w:t>
      </w:r>
      <w:r>
        <w:rPr/>
        <w:t>brokers,</w:t>
      </w:r>
      <w:r>
        <w:rPr>
          <w:spacing w:val="-11"/>
        </w:rPr>
        <w:t> </w:t>
      </w:r>
      <w:r>
        <w:rPr/>
        <w:t>we</w:t>
      </w:r>
      <w:r>
        <w:rPr>
          <w:spacing w:val="-10"/>
        </w:rPr>
        <w:t> </w:t>
      </w:r>
      <w:r>
        <w:rPr/>
        <w:t>performed</w:t>
      </w:r>
      <w:r>
        <w:rPr>
          <w:spacing w:val="-11"/>
        </w:rPr>
        <w:t> </w:t>
      </w:r>
      <w:r>
        <w:rPr/>
        <w:t>other</w:t>
      </w:r>
      <w:r>
        <w:rPr>
          <w:spacing w:val="-10"/>
        </w:rPr>
        <w:t> </w:t>
      </w:r>
      <w:r>
        <w:rPr/>
        <w:t>auditing</w:t>
      </w:r>
      <w:r>
        <w:rPr>
          <w:spacing w:val="-10"/>
        </w:rPr>
        <w:t> </w:t>
      </w:r>
      <w:r>
        <w:rPr/>
        <w:t>procedures. Our</w:t>
      </w:r>
      <w:r>
        <w:rPr>
          <w:spacing w:val="-11"/>
        </w:rPr>
        <w:t> </w:t>
      </w:r>
      <w:r>
        <w:rPr/>
        <w:t>audits</w:t>
      </w:r>
      <w:r>
        <w:rPr>
          <w:spacing w:val="-11"/>
        </w:rPr>
        <w:t> </w:t>
      </w:r>
      <w:r>
        <w:rPr/>
        <w:t>also</w:t>
      </w:r>
      <w:r>
        <w:rPr>
          <w:spacing w:val="-11"/>
        </w:rPr>
        <w:t> </w:t>
      </w:r>
      <w:r>
        <w:rPr/>
        <w:t>included</w:t>
      </w:r>
      <w:r>
        <w:rPr>
          <w:spacing w:val="-11"/>
        </w:rPr>
        <w:t> </w:t>
      </w:r>
      <w:r>
        <w:rPr/>
        <w:t>evaluating</w:t>
      </w:r>
      <w:r>
        <w:rPr>
          <w:spacing w:val="-10"/>
        </w:rPr>
        <w:t> </w:t>
      </w:r>
      <w:r>
        <w:rPr/>
        <w:t>the</w:t>
      </w:r>
      <w:r>
        <w:rPr>
          <w:spacing w:val="-11"/>
        </w:rPr>
        <w:t> </w:t>
      </w:r>
      <w:r>
        <w:rPr/>
        <w:t>accounting</w:t>
      </w:r>
      <w:r>
        <w:rPr>
          <w:spacing w:val="-10"/>
        </w:rPr>
        <w:t> </w:t>
      </w:r>
      <w:r>
        <w:rPr/>
        <w:t>principles</w:t>
      </w:r>
      <w:r>
        <w:rPr>
          <w:spacing w:val="-11"/>
        </w:rPr>
        <w:t> </w:t>
      </w:r>
      <w:r>
        <w:rPr/>
        <w:t>used</w:t>
      </w:r>
      <w:r>
        <w:rPr>
          <w:spacing w:val="-10"/>
        </w:rPr>
        <w:t> </w:t>
      </w:r>
      <w:r>
        <w:rPr/>
        <w:t>and</w:t>
      </w:r>
      <w:r>
        <w:rPr>
          <w:spacing w:val="-11"/>
        </w:rPr>
        <w:t> </w:t>
      </w:r>
      <w:r>
        <w:rPr/>
        <w:t>significant</w:t>
      </w:r>
      <w:r>
        <w:rPr>
          <w:spacing w:val="-12"/>
        </w:rPr>
        <w:t> </w:t>
      </w:r>
      <w:r>
        <w:rPr/>
        <w:t>estimates</w:t>
      </w:r>
      <w:r>
        <w:rPr>
          <w:spacing w:val="-11"/>
        </w:rPr>
        <w:t> </w:t>
      </w:r>
      <w:r>
        <w:rPr/>
        <w:t>made</w:t>
      </w:r>
      <w:r>
        <w:rPr>
          <w:spacing w:val="-11"/>
        </w:rPr>
        <w:t> </w:t>
      </w:r>
      <w:r>
        <w:rPr/>
        <w:t>by</w:t>
      </w:r>
      <w:r>
        <w:rPr>
          <w:spacing w:val="-11"/>
        </w:rPr>
        <w:t> </w:t>
      </w:r>
      <w:r>
        <w:rPr/>
        <w:t>management, as well as evaluating the overall presentation of the financial statements.</w:t>
      </w:r>
      <w:r>
        <w:rPr>
          <w:spacing w:val="40"/>
        </w:rPr>
        <w:t> </w:t>
      </w:r>
      <w:r>
        <w:rPr/>
        <w:t>We believe that our audits provide a reasonable basis for our opinion.</w:t>
      </w:r>
    </w:p>
    <w:p>
      <w:pPr>
        <w:pStyle w:val="BodyText"/>
        <w:ind w:left="0"/>
      </w:pPr>
    </w:p>
    <w:p>
      <w:pPr>
        <w:pStyle w:val="BodyText"/>
        <w:jc w:val="both"/>
      </w:pPr>
      <w:r>
        <w:rPr/>
        <w:t>We</w:t>
      </w:r>
      <w:r>
        <w:rPr>
          <w:spacing w:val="-6"/>
        </w:rPr>
        <w:t> </w:t>
      </w:r>
      <w:r>
        <w:rPr/>
        <w:t>have</w:t>
      </w:r>
      <w:r>
        <w:rPr>
          <w:spacing w:val="-5"/>
        </w:rPr>
        <w:t> </w:t>
      </w:r>
      <w:r>
        <w:rPr/>
        <w:t>served</w:t>
      </w:r>
      <w:r>
        <w:rPr>
          <w:spacing w:val="-5"/>
        </w:rPr>
        <w:t> </w:t>
      </w:r>
      <w:r>
        <w:rPr/>
        <w:t>as</w:t>
      </w:r>
      <w:r>
        <w:rPr>
          <w:spacing w:val="-5"/>
        </w:rPr>
        <w:t> </w:t>
      </w:r>
      <w:r>
        <w:rPr/>
        <w:t>the</w:t>
      </w:r>
      <w:r>
        <w:rPr>
          <w:spacing w:val="-4"/>
        </w:rPr>
        <w:t> </w:t>
      </w:r>
      <w:r>
        <w:rPr/>
        <w:t>Funds’</w:t>
      </w:r>
      <w:r>
        <w:rPr>
          <w:spacing w:val="-6"/>
        </w:rPr>
        <w:t> </w:t>
      </w:r>
      <w:r>
        <w:rPr/>
        <w:t>auditor</w:t>
      </w:r>
      <w:r>
        <w:rPr>
          <w:spacing w:val="-5"/>
        </w:rPr>
        <w:t> </w:t>
      </w:r>
      <w:r>
        <w:rPr/>
        <w:t>for</w:t>
      </w:r>
      <w:r>
        <w:rPr>
          <w:spacing w:val="-5"/>
        </w:rPr>
        <w:t> </w:t>
      </w:r>
      <w:r>
        <w:rPr/>
        <w:t>one</w:t>
      </w:r>
      <w:r>
        <w:rPr>
          <w:spacing w:val="-5"/>
        </w:rPr>
        <w:t> </w:t>
      </w:r>
      <w:r>
        <w:rPr/>
        <w:t>or</w:t>
      </w:r>
      <w:r>
        <w:rPr>
          <w:spacing w:val="-4"/>
        </w:rPr>
        <w:t> </w:t>
      </w:r>
      <w:r>
        <w:rPr/>
        <w:t>more</w:t>
      </w:r>
      <w:r>
        <w:rPr>
          <w:spacing w:val="-5"/>
        </w:rPr>
        <w:t> </w:t>
      </w:r>
      <w:r>
        <w:rPr/>
        <w:t>of</w:t>
      </w:r>
      <w:r>
        <w:rPr>
          <w:spacing w:val="-6"/>
        </w:rPr>
        <w:t> </w:t>
      </w:r>
      <w:r>
        <w:rPr/>
        <w:t>the</w:t>
      </w:r>
      <w:r>
        <w:rPr>
          <w:spacing w:val="-5"/>
        </w:rPr>
        <w:t> </w:t>
      </w:r>
      <w:r>
        <w:rPr/>
        <w:t>Funds</w:t>
      </w:r>
      <w:r>
        <w:rPr>
          <w:spacing w:val="-5"/>
        </w:rPr>
        <w:t> </w:t>
      </w:r>
      <w:r>
        <w:rPr/>
        <w:t>within</w:t>
      </w:r>
      <w:r>
        <w:rPr>
          <w:spacing w:val="-4"/>
        </w:rPr>
        <w:t> </w:t>
      </w:r>
      <w:r>
        <w:rPr/>
        <w:t>the</w:t>
      </w:r>
      <w:r>
        <w:rPr>
          <w:spacing w:val="-4"/>
        </w:rPr>
        <w:t> </w:t>
      </w:r>
      <w:r>
        <w:rPr/>
        <w:t>Trust</w:t>
      </w:r>
      <w:r>
        <w:rPr>
          <w:spacing w:val="-6"/>
        </w:rPr>
        <w:t> </w:t>
      </w:r>
      <w:r>
        <w:rPr/>
        <w:t>since</w:t>
      </w:r>
      <w:r>
        <w:rPr>
          <w:spacing w:val="-5"/>
        </w:rPr>
        <w:t> </w:t>
      </w:r>
      <w:r>
        <w:rPr>
          <w:spacing w:val="-2"/>
        </w:rPr>
        <w:t>2024.</w:t>
      </w:r>
    </w:p>
    <w:p>
      <w:pPr>
        <w:spacing w:line="240" w:lineRule="auto"/>
        <w:ind w:left="855" w:right="0" w:firstLine="0"/>
        <w:rPr>
          <w:sz w:val="20"/>
        </w:rPr>
      </w:pPr>
      <w:r>
        <w:rPr>
          <w:sz w:val="20"/>
        </w:rPr>
        <w:drawing>
          <wp:inline distT="0" distB="0" distL="0" distR="0">
            <wp:extent cx="1390138" cy="52854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390138" cy="528542"/>
                    </a:xfrm>
                    <a:prstGeom prst="rect">
                      <a:avLst/>
                    </a:prstGeom>
                  </pic:spPr>
                </pic:pic>
              </a:graphicData>
            </a:graphic>
          </wp:inline>
        </w:drawing>
      </w:r>
      <w:r>
        <w:rPr>
          <w:sz w:val="20"/>
        </w:rPr>
      </w:r>
    </w:p>
    <w:p>
      <w:pPr>
        <w:pStyle w:val="BodyText"/>
        <w:spacing w:line="241" w:lineRule="exact"/>
        <w:jc w:val="both"/>
      </w:pPr>
      <w:r>
        <w:rPr/>
        <w:t>COHEN</w:t>
      </w:r>
      <w:r>
        <w:rPr>
          <w:spacing w:val="-7"/>
        </w:rPr>
        <w:t> </w:t>
      </w:r>
      <w:r>
        <w:rPr/>
        <w:t>&amp;</w:t>
      </w:r>
      <w:r>
        <w:rPr>
          <w:spacing w:val="-7"/>
        </w:rPr>
        <w:t> </w:t>
      </w:r>
      <w:r>
        <w:rPr/>
        <w:t>COMPANY,</w:t>
      </w:r>
      <w:r>
        <w:rPr>
          <w:spacing w:val="-7"/>
        </w:rPr>
        <w:t> </w:t>
      </w:r>
      <w:r>
        <w:rPr>
          <w:spacing w:val="-4"/>
        </w:rPr>
        <w:t>LTD.</w:t>
      </w:r>
    </w:p>
    <w:p>
      <w:pPr>
        <w:pStyle w:val="BodyText"/>
        <w:ind w:right="8884"/>
      </w:pPr>
      <w:r>
        <w:rPr/>
        <w:t>Philadelphia,</w:t>
      </w:r>
      <w:r>
        <w:rPr>
          <w:spacing w:val="-13"/>
        </w:rPr>
        <w:t> </w:t>
      </w:r>
      <w:r>
        <w:rPr/>
        <w:t>Pennsylvania December 30, 2025</w:t>
      </w:r>
    </w:p>
    <w:sectPr>
      <w:pgSz w:w="12240" w:h="15840"/>
      <w:pgMar w:top="170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979"/>
    </w:pPr>
    <w:rPr>
      <w:rFonts w:ascii="Calibri" w:hAnsi="Calibri" w:eastAsia="Calibri" w:cs="Calibri"/>
      <w:sz w:val="22"/>
      <w:szCs w:val="22"/>
      <w:lang w:val="en-US" w:eastAsia="en-US" w:bidi="ar-SA"/>
    </w:rPr>
  </w:style>
  <w:style w:styleId="Heading1" w:type="paragraph">
    <w:name w:val="Heading 1"/>
    <w:basedOn w:val="Normal"/>
    <w:uiPriority w:val="1"/>
    <w:qFormat/>
    <w:pPr>
      <w:spacing w:before="28"/>
      <w:ind w:right="102"/>
      <w:jc w:val="center"/>
      <w:outlineLvl w:val="1"/>
    </w:pPr>
    <w:rPr>
      <w:rFonts w:ascii="Calibri" w:hAnsi="Calibri" w:eastAsia="Calibri" w:cs="Calibri"/>
      <w:b/>
      <w:bCs/>
      <w:sz w:val="22"/>
      <w:szCs w:val="22"/>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lkrutowsky</dc:creator>
  <dc:title>Microsoft Word - Opinion - Themes ETF Trust 10.31.2025.docx</dc:title>
  <dcterms:created xsi:type="dcterms:W3CDTF">2025-12-30T21:02:56Z</dcterms:created>
  <dcterms:modified xsi:type="dcterms:W3CDTF">2025-12-30T21:02:56Z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PScript5.dll Version 5.2.2</vt:lpwstr>
  </property>
  <property fmtid="{D5CDD505-2E9C-101B-9397-08002B2CF9AE}" pid="4" name="LastSaved">
    <vt:filetime>2025-12-30T00:00:00Z</vt:filetime>
  </property>
  <property fmtid="{D5CDD505-2E9C-101B-9397-08002B2CF9AE}" pid="5" name="Producer">
    <vt:lpwstr>Acrobat Distiller 25.0 (Windows)</vt:lpwstr>
  </property>
</Properties>
</file>