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Financial Statement/Report"/>
        <w:tag w:val="Confluence.DataElement:638458375271492839:statement"/>
        <w:id w:val="676471332"/>
        <w:placeholder>
          <w:docPart w:val="A4C61FD43F0C470882855709BFD6A385"/>
        </w:placeholder>
      </w:sdtPr>
      <w:sdtEndPr>
        <w:rPr>
          <w:rFonts w:ascii="Times New Roman" w:hAnsi="Times New Roman" w:cstheme="minorBidi"/>
          <w:vanish/>
          <w:sz w:val="18"/>
        </w:rPr>
      </w:sdtEndPr>
      <w:sdtContent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Assets and Liabilities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footnoteReference w:customMarkFollows="1" w:id="1"/>
                  <w:t xml:space="preserve"> 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October 31, 2025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COIN Monthly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MSTR Monthly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NVDA Monthly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PLTR Monthly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TSLA Monthly ETF</w:t>
                </w: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ASSETS: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value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1,109,354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641,076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1,809,560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1,276,782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1,584,570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investments sold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202,101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146,166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467,474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371,244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284,558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Dividends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1,311,464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787,250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2,277,041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1,648,032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1,869,132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LIABILITIES: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Written option contracts, at value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125,685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65,352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147,108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136,512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146,970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investments purchased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282,265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166,988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541,247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421,130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325,667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to adviser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578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927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613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845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Due to broker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liabilities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408,540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757F2B">
                      <w:pPr>
                        <w:jc w:val="center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 xml:space="preserve">                  232,760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689,304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558,297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473,488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902,924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554,490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1,587,737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1,089,735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1,395,644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 CONSISTS OF: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Paid-in capital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784,139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750,794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1,375,753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904,149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1,163,142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distributable earnings/(accumulated losses)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118,785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(196,304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211,984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185,586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232,502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902,924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554,490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1,587,737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1,089,735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1,395,644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902,924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554,490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1,587,737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1,089,735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1,395,644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issued and outstanding</w:t>
                </w:r>
                <w:r>
                  <w:rPr>
                    <w:rFonts w:cs="Times New Roman"/>
                    <w:color w:val="000000"/>
                    <w:sz w:val="14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 value per share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22.57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13.86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22.68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21.79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23.26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COST: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cost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1,109,218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640,970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1,809,432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1,276,702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1,584,315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(125,560)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(65,254)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(146,746)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(136,261)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(146,831)</w:t>
                </w: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PROCEEDS: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(125,560)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(65,254)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(146,746)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(136,261)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  <w:r>
                  <w:rPr>
                    <w:rFonts w:cs="Times New Roman"/>
                    <w:color w:val="FFFFFF"/>
                    <w:sz w:val="14"/>
                  </w:rPr>
                  <w:t>(146,831)</w:t>
                </w: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Written options premium received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125,560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65,254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146,746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136,261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146,831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</w:tbl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1E0E65">
            <w:trPr>
              <w:cantSplit/>
            </w:trPr>
            <w:tc>
              <w:tcPr>
                <w:tcW w:w="360" w:type="dxa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Unlimited shares authorized.</w:t>
                </w:r>
              </w:p>
            </w:tc>
          </w:tr>
        </w:tbl>
        <w:p w:rsidR="001E0E65" w:rsidRDefault="001E0E65"/>
        <w:p w:rsidR="001E0E65" w:rsidRDefault="001E0E65">
          <w:pPr>
            <w:spacing w:after="200"/>
          </w:pPr>
          <w:r>
            <w:br w:type="page"/>
          </w:r>
        </w:p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Assets and Liabilities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October 31, 2025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AAL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ADBE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AMD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ARM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ASML Daily ETF</w:t>
                </w: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ASSETS: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value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3,543,467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4,517,303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1,852,045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1,453,727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Cash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 w:rsidTr="005A42FF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46,437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 w:rsidTr="0083439F">
                  <w:trPr>
                    <w:jc w:val="right"/>
                  </w:trPr>
                  <w:tc>
                    <w:tcPr>
                      <w:tcW w:w="402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1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999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 w:rsidRPr="00800E93"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49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 w:rsidRPr="00800E93"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</w:tr>
              </w:tbl>
              <w:p w:rsidR="001E0E65" w:rsidRDefault="001E0E65" w:rsidP="0083439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 w:rsidTr="005A42FF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 w:rsidTr="005A42FF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 w:rsidTr="005A42FF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Segregated cash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672,637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28,455,681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18,177,450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15,958,942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9,408,815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appreciation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115,973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342,699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5,883,783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2,669,472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2,645,791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71,203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126,708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201,437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Dividends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615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9,957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12,048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7,366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5,069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capital shares sold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547,503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906,865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32,899,307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28,717,292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20,487,825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13,714,839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LIABILITIES: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8,281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538,762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105,435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469,336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12,694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to adviser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16,664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15,773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11,391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11,985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payable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795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depreciation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440,751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499,609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DD64A7">
                      <w:pPr>
                        <w:jc w:val="center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 xml:space="preserve">                   81,430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capital shares redeemed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1,125,795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liabilities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9,276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996,369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1,247,003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980,628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106,904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897,589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31,902,938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27,470,289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19,507,197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13,607,935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 CONSISTS OF: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Paid-in capital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660,778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34,351,181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10,947,695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17,192,364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2,212,242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distributable earnings/(accumulated losses)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236,811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(2,448,243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16,522,594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2,314,833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11,395,693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897,589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31,902,938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27,470,289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19,507,197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13,607,935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897,589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31,902,938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27,470,289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19,507,197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13,607,935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issued and outstanding</w:t>
                </w:r>
                <w:r>
                  <w:rPr>
                    <w:rFonts w:cs="Times New Roman"/>
                    <w:color w:val="000000"/>
                    <w:sz w:val="14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3,205,000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610,000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1,295,000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 value per share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13.81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9.95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45.03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15.06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25.68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COST: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cost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3,543,467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4,517,303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1,852,045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1,453,727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</w:tbl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1E0E65">
            <w:trPr>
              <w:cantSplit/>
            </w:trPr>
            <w:tc>
              <w:tcPr>
                <w:tcW w:w="360" w:type="dxa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Unlimited shares authorized.</w:t>
                </w:r>
              </w:p>
            </w:tc>
          </w:tr>
        </w:tbl>
        <w:p w:rsidR="001E0E65" w:rsidRDefault="001E0E65"/>
        <w:p w:rsidR="001E0E65" w:rsidRDefault="001E0E65">
          <w:pPr>
            <w:spacing w:after="200"/>
          </w:pPr>
          <w:r>
            <w:br w:type="page"/>
          </w:r>
        </w:p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Assets and Liabilities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October 31, 2025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AVGO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BA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BBAI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BLSH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BMNR Daily ETF</w:t>
                </w: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ASSETS: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value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2,891,297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400,539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1,212,413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49,301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14,292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Segregated cash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8,996,053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2,374,839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22,020,104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262,592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271,732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appreciation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3,354,982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1,381,948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26,919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263,179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82,913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Dividends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5,693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1,491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4,427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capital shares sold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63,107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375,564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15,511,204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2,859,782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24,618,892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375,038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688,530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LIABILITIES: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375,767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119,977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1,081,988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15,663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depreciation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164,058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383,299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148,528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37,584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to adviser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9,143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1,667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15,497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payable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245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capital shares redeemed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188,604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63,106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312,970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liabilities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549,040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504,943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1,434,862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116,383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313,189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14,962,164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2,354,839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23,184,030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258,655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375,341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 CONSISTS OF: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Paid-in capital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10,666,823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2,878,589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21,043,916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311,894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437,594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distributable earnings/(accumulated losses)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4,295,341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(523,750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2,140,114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(53,239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(62,253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14,962,164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2,354,839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23,184,030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258,655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375,341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14,962,164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2,354,839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23,184,030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258,655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375,341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issued and outstanding</w:t>
                </w:r>
                <w:r>
                  <w:rPr>
                    <w:rFonts w:cs="Times New Roman"/>
                    <w:color w:val="000000"/>
                    <w:sz w:val="14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1,230,000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 value per share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33.62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13.46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18.85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12.93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12.51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COST: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cost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2,891,297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400,539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1,212,413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49,301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14,292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</w:tbl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1E0E65">
            <w:trPr>
              <w:cantSplit/>
            </w:trPr>
            <w:tc>
              <w:tcPr>
                <w:tcW w:w="360" w:type="dxa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Unlimited shares authorized.</w:t>
                </w:r>
              </w:p>
            </w:tc>
          </w:tr>
        </w:tbl>
        <w:p w:rsidR="001E0E65" w:rsidRDefault="001E0E65"/>
        <w:p w:rsidR="001E0E65" w:rsidRDefault="001E0E65">
          <w:pPr>
            <w:spacing w:after="200"/>
          </w:pPr>
          <w:r>
            <w:br w:type="page"/>
          </w:r>
        </w:p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Assets and Liabilities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October 31, 2025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BULL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COIN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COST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CRCL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CRM Daily ETF</w:t>
                </w: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ASSETS: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value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1,427,104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798,379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1,085,694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3,061,107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3,273,245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Segregated cash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17,907,541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6,076,153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6,877,433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65,778,923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19,225,490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 xml:space="preserve">Unrealized appreciation on swap contracts 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62,871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1,769,554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360,038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3,528,325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47,840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325,277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Dividends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4,093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2,755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3,905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10,717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10,051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capital shares sold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587,865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647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19,449,449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8,972,765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7,967,032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69,798,650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26,037,111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LIABILITIES: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1,139,497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535,228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228,952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2,461,017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480,118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depreciation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618,380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74,280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1,055,978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capital shares redeemed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342,660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366,595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1,784,633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to adviser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7,796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5,266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4,968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36,543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14,322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payable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1,382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1,183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liabilities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2,109,715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907,089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2,092,834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3,554,721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494,461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17,339,734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8,065,676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5,874,198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66,243,929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25,542,650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 CONSISTS OF: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Paid-in capital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23,039,422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7,501,091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6,186,302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80,725,010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23,930,064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distributable earnings/(accumulated losses)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(5,699,688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564,585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(312,104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(14,481,081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1,612,586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17,339,734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8,065,676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5,874,198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66,243,929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25,542,650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17,339,734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8,065,676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5,874,198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66,243,929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25,542,650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issued and outstanding</w:t>
                </w:r>
                <w:r>
                  <w:rPr>
                    <w:rFonts w:cs="Times New Roman"/>
                    <w:color w:val="000000"/>
                    <w:sz w:val="14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2,525,000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8,440,000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1,865,000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 value per share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6.87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36.66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13.20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7.85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13.70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COST: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cost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1,427,104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798,379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1,085,694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3,061,107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3,273,245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</w:tbl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1E0E65">
            <w:trPr>
              <w:cantSplit/>
            </w:trPr>
            <w:tc>
              <w:tcPr>
                <w:tcW w:w="360" w:type="dxa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Unlimited shares authorized.</w:t>
                </w:r>
              </w:p>
            </w:tc>
          </w:tr>
        </w:tbl>
        <w:p w:rsidR="001E0E65" w:rsidRDefault="001E0E65"/>
        <w:p w:rsidR="001E0E65" w:rsidRDefault="001E0E65">
          <w:pPr>
            <w:spacing w:after="200"/>
          </w:pPr>
          <w:r>
            <w:br w:type="page"/>
          </w:r>
        </w:p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Assets and Liabilities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October 31, 2025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CRWV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FIG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FUTU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GLXY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HOOD Daily ETF</w:t>
                </w: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ASSETS: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value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5,166,911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28,006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155,691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12,725,644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Cash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 w:rsidTr="0083439F">
                  <w:trPr>
                    <w:jc w:val="right"/>
                  </w:trPr>
                  <w:tc>
                    <w:tcPr>
                      <w:tcW w:w="402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1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999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249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 w:rsidRPr="00800E93"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</w:tr>
              </w:tbl>
              <w:p w:rsidR="001E0E65" w:rsidRDefault="001E0E65" w:rsidP="0083439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 w:rsidTr="005A42FF">
                  <w:trPr>
                    <w:jc w:val="right"/>
                  </w:trPr>
                  <w:tc>
                    <w:tcPr>
                      <w:tcW w:w="402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1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999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 w:rsidRPr="00800E93"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49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 w:rsidRPr="00800E93"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</w:tr>
              </w:tbl>
              <w:p w:rsidR="001E0E65" w:rsidRDefault="001E0E65" w:rsidP="0083439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 w:rsidTr="005A42FF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288,188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 w:rsidTr="005A42FF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 w:rsidTr="005A42FF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>
                <w:pPr>
                  <w:jc w:val="right"/>
                  <w:rPr>
                    <w:rFonts w:cs="Times New Roman"/>
                    <w:color w:val="000000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Segregated cash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69,776,376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6,966,421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1,794,324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4,019,593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73,761,140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appreciation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14,467,768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32,600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490,581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426,292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22,597,830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1,268,305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2,770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Dividends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13,694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629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39,065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investments sold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237,605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capital shares sold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390,043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90,693,054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7,027,208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2,575,863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4,992,248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109,361,284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LIABILITIES: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1,579,249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987,903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12,122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148,719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5,629,310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depreciation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738,612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18,153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292,875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to adviser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48,692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921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2,374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61,005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payable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1,383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16,755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investments purchased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237,605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capital shares redeemed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1,733,305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liabilities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2,367,936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1,006,977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12,436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443,968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7,677,980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88,325,118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6,020,231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2,563,427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4,548,280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101,683,304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 CONSISTS OF: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Paid-in capital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68,906,352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7,207,464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2,082,511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4,830,641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51,856,221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distributable earnings/(accumulated losses)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19,418,766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(1,187,233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480,916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(282,361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49,827,083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88,325,118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6,020,231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2,563,427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4,548,280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101,683,304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88,325,118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6,020,231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2,563,427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4,548,280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101,683,304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issued and outstanding</w:t>
                </w:r>
                <w:r>
                  <w:rPr>
                    <w:rFonts w:cs="Times New Roman"/>
                    <w:color w:val="000000"/>
                    <w:sz w:val="14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7,195,000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690,000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880,000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 value per share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12.28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8.73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22.29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25.99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115.55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COST: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 w:rsidP="0083439F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 w:rsidP="0083439F">
                <w:pPr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cost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5,166,911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28,006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155,691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 w:rsidP="0083439F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12,725,644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 w:rsidP="0083439F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 w:rsidP="0083439F"/>
            </w:tc>
          </w:tr>
        </w:tbl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1E0E65">
            <w:trPr>
              <w:cantSplit/>
            </w:trPr>
            <w:tc>
              <w:tcPr>
                <w:tcW w:w="360" w:type="dxa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Unlimited shares authorized.</w:t>
                </w:r>
              </w:p>
            </w:tc>
          </w:tr>
        </w:tbl>
        <w:p w:rsidR="001E0E65" w:rsidRDefault="001E0E65"/>
        <w:p w:rsidR="001E0E65" w:rsidRDefault="001E0E65">
          <w:pPr>
            <w:spacing w:after="200"/>
          </w:pPr>
          <w:r>
            <w:br w:type="page"/>
          </w:r>
        </w:p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Assets and Liabilities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October 31, 2025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MP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NBIS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NVDA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PANW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PLTR Daily ETF</w:t>
                </w: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ASSETS: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value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70,656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69,551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5,915,803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499,376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4,169,328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Segregated cash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553,033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1,061,421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13,039,368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3,015,813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19,784,008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Dividends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7,305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1,590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9,634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appreciation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161,671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4,011,714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955,823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7,747,509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623,709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1,292,664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22,974,288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4,472,765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31,710,479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LIABILITIES: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depreciation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83,434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37,132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10,093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53,200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181,370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168,721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to adviser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13,064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2,664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15,367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payable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capital shares redeemed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630,605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liabilities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93,554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896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103,396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184,034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814,784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530,155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1,291,768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22,870,892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4,288,731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30,895,695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 CONSISTS OF: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Paid-in capital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623,689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1,130,972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8,921,289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1,959,479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18,096,704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distributable earnings/(accumulated losses)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(93,534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160,796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13,949,603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2,329,252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12,798,991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530,155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1,291,768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22,870,892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4,288,731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30,895,695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530,155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1,291,768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22,870,892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4,288,731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30,895,695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issued and outstanding</w:t>
                </w:r>
                <w:r>
                  <w:rPr>
                    <w:rFonts w:cs="Times New Roman"/>
                    <w:color w:val="000000"/>
                    <w:sz w:val="14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990,000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735,000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 value per share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11.78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18.45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23.10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18.25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42.04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COST: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cost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70,656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69,551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5,915,803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499,376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4,169,328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</w:tbl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1E0E65">
            <w:trPr>
              <w:cantSplit/>
            </w:trPr>
            <w:tc>
              <w:tcPr>
                <w:tcW w:w="360" w:type="dxa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Unlimited shares authorized.</w:t>
                </w:r>
              </w:p>
            </w:tc>
          </w:tr>
        </w:tbl>
        <w:p w:rsidR="001E0E65" w:rsidRDefault="001E0E65"/>
        <w:p w:rsidR="001E0E65" w:rsidRDefault="001E0E65">
          <w:pPr>
            <w:spacing w:after="200"/>
          </w:pPr>
          <w:r>
            <w:br w:type="page"/>
          </w:r>
        </w:p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  <w:gridCol w:w="1440"/>
            <w:gridCol w:w="1440"/>
            <w:gridCol w:w="1440"/>
            <w:gridCol w:w="1440"/>
          </w:tblGrid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Assets and Liabilities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10080" w:type="dxa"/>
                <w:gridSpan w:val="6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October 31, 2025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PYPL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RTX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TSLA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TSM Daily ETF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UNH Daily ETF</w:t>
                </w: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ASSETS: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value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3,591,380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370,709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6,242,918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1,620,616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28,102,913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Segregated cash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29,490,913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1,093,493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34,875,693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10,312,069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163,526,984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capital shares sold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6,934,524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2,037,530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appreciation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441,080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341,450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13,049,546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1,682,422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64,708,252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Dividends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9,262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514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20,771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3,945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140,228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291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54,913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282,618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40,467,159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1,861,080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54,188,928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13,901,961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258,515,907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LIABILITIES: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948,081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2,527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1,571,197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47,030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24,143,476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depreciation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175,214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1,035,315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to adviser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13,484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813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32,641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6,404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170,466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payable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5,461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245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capital shares redeemed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2,366,188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399,581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liabilities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1,136,852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3,340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3,975,487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453,015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25,349,502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39,330,307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1,857,740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50,213,441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13,448,946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233,166,405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 CONSISTS OF: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Paid-in capital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41,288,447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1,378,087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37,012,582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10,021,066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147,303,250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distributable earnings/(accumulated losses)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(1,958,140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479,653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13,200,859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3,427,880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85,863,155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39,330,307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1,857,740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50,213,441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13,448,946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233,166,405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39,330,307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1,857,740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50,213,441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13,448,946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233,166,405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issued and outstanding</w:t>
                </w:r>
                <w:r>
                  <w:rPr>
                    <w:rFonts w:cs="Times New Roman"/>
                    <w:color w:val="000000"/>
                    <w:sz w:val="14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2,440,000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80,000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4,655,000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11,445,000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 value per share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16.12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23.22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10.79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26.63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20.37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COST: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cost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3,591,380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370,709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6,242,918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1,620,616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28,102,913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</w:tbl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1E0E65">
            <w:trPr>
              <w:cantSplit/>
            </w:trPr>
            <w:tc>
              <w:tcPr>
                <w:tcW w:w="360" w:type="dxa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Unlimited shares authorized.</w:t>
                </w:r>
              </w:p>
            </w:tc>
          </w:tr>
        </w:tbl>
        <w:p w:rsidR="001E0E65" w:rsidRDefault="001E0E65"/>
        <w:p w:rsidR="001E0E65" w:rsidRDefault="001E0E65">
          <w:pPr>
            <w:spacing w:after="200"/>
          </w:pPr>
          <w:r>
            <w:br w:type="page"/>
          </w:r>
        </w:p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432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0"/>
            <w:gridCol w:w="1440"/>
          </w:tblGrid>
          <w:tr w:rsidR="001E0E65">
            <w:trPr>
              <w:cantSplit/>
              <w:tblHeader/>
            </w:trPr>
            <w:tc>
              <w:tcPr>
                <w:tcW w:w="4320" w:type="dxa"/>
                <w:gridSpan w:val="2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 of Assets and Liabilities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4320" w:type="dxa"/>
                <w:gridSpan w:val="2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October 31, 2025</w:t>
                </w:r>
              </w:p>
            </w:tc>
          </w:tr>
          <w:tr w:rsidR="001E0E65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XYZ Daily ETF</w:t>
                </w: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ASSETS: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value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880,829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Segregated cash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2,651,121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Unrealized appreciation on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591,856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Receivable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36,378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Dividends receivable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2,761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4,162,945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LIABILITIES: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capital shares redeemed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339,337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for swap contracts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88,175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Payable to adviser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2,296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144" w:hanging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Interest payable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liabilities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429,825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3,733,120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 CONSISTS OF: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Paid-in capital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2,757,725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distributable earnings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975,395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3,733,120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assets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3,733,120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issued and outstanding</w:t>
                </w:r>
                <w:r>
                  <w:rPr>
                    <w:rFonts w:cs="Times New Roman"/>
                    <w:color w:val="000000"/>
                    <w:sz w:val="14"/>
                    <w:vertAlign w:val="superscript"/>
                  </w:rPr>
                  <w:t>(a)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165,000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asset value per share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22.63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COST: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p w:rsidR="001E0E65" w:rsidRDefault="001E0E65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1E0E65">
            <w:trPr>
              <w:cantSplit/>
            </w:trPr>
            <w:tc>
              <w:tcPr>
                <w:tcW w:w="2880" w:type="dxa"/>
                <w:vAlign w:val="bottom"/>
              </w:tcPr>
              <w:p w:rsidR="001E0E65" w:rsidRDefault="001E0E65">
                <w:pPr>
                  <w:ind w:left="72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Investments, at cost</w:t>
                </w:r>
              </w:p>
            </w:tc>
            <w:tc>
              <w:tcPr>
                <w:tcW w:w="1440" w:type="dxa"/>
                <w:tcMar>
                  <w:left w:w="72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10"/>
                  <w:gridCol w:w="96"/>
                  <w:gridCol w:w="1094"/>
                  <w:gridCol w:w="68"/>
                </w:tblGrid>
                <w:tr w:rsidR="001E0E65">
                  <w:trPr>
                    <w:jc w:val="right"/>
                  </w:trPr>
                  <w:tc>
                    <w:tcPr>
                      <w:tcW w:w="4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4000" w:type="pct"/>
                    </w:tcPr>
                    <w:p w:rsidR="001E0E65" w:rsidRDefault="001E0E65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880,829</w:t>
                      </w:r>
                    </w:p>
                  </w:tc>
                  <w:tc>
                    <w:tcPr>
                      <w:tcW w:w="250" w:type="pct"/>
                    </w:tcPr>
                    <w:p w:rsidR="001E0E65" w:rsidRDefault="001E0E65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:rsidR="001E0E65" w:rsidRDefault="001E0E65"/>
            </w:tc>
          </w:tr>
        </w:tbl>
        <w:p w:rsidR="001E0E65" w:rsidRDefault="001E0E65">
          <w:pPr>
            <w:rPr>
              <w:vanish/>
            </w:rPr>
          </w:pPr>
        </w:p>
        <w:p w:rsidR="001E0E65" w:rsidRDefault="001E0E65">
          <w:pPr>
            <w:rPr>
              <w:vanish/>
            </w:rPr>
          </w:pPr>
        </w:p>
        <w:p w:rsidR="001E0E65" w:rsidRDefault="001E0E65"/>
        <w:p w:rsidR="001E0E65" w:rsidRDefault="001E0E65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1E0E65">
            <w:trPr>
              <w:cantSplit/>
            </w:trPr>
            <w:tc>
              <w:tcPr>
                <w:tcW w:w="360" w:type="dxa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  <w:vAlign w:val="bottom"/>
              </w:tcPr>
              <w:p w:rsidR="001E0E65" w:rsidRDefault="001E0E65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Unlimited shares authorized.</w:t>
                </w:r>
              </w:p>
            </w:tc>
          </w:tr>
        </w:tbl>
        <w:p w:rsidR="001E0E65" w:rsidRDefault="001E0E65">
          <w:pPr>
            <w:rPr>
              <w:vanish/>
            </w:rPr>
          </w:pPr>
        </w:p>
      </w:sdtContent>
    </w:sdt>
    <w:p w:rsidR="00021967" w:rsidRDefault="00021967"/>
    <w:sectPr w:rsidR="0002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0E65" w:rsidRDefault="001E0E65" w:rsidP="001E0E65">
      <w:r>
        <w:separator/>
      </w:r>
    </w:p>
  </w:endnote>
  <w:endnote w:type="continuationSeparator" w:id="0">
    <w:p w:rsidR="001E0E65" w:rsidRDefault="001E0E65" w:rsidP="001E0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0E65" w:rsidRDefault="001E0E65" w:rsidP="001E0E65">
      <w:r>
        <w:separator/>
      </w:r>
    </w:p>
  </w:footnote>
  <w:footnote w:type="continuationSeparator" w:id="0">
    <w:p w:rsidR="001E0E65" w:rsidRDefault="001E0E65" w:rsidP="001E0E65">
      <w:r>
        <w:continuationSeparator/>
      </w:r>
    </w:p>
  </w:footnote>
  <w:footnote w:id="1">
    <w:p w:rsidR="001E0E65" w:rsidRDefault="001E0E65">
      <w:pPr>
        <w:rPr>
          <w:rFonts w:cs="Times New Roman"/>
          <w:color w:val="000000"/>
          <w:sz w:val="14"/>
        </w:rPr>
      </w:pPr>
      <w:r>
        <w:rPr>
          <w:rFonts w:cs="Times New Roman"/>
          <w:sz w:val="14"/>
          <w:vertAlign w:val="superscript"/>
        </w:rPr>
        <w:t xml:space="preserve"> </w:t>
      </w:r>
      <w:r>
        <w:t xml:space="preserve"> </w:t>
      </w:r>
      <w:r>
        <w:rPr>
          <w:rFonts w:cs="Times New Roman"/>
          <w:color w:val="000000"/>
          <w:sz w:val="14"/>
        </w:rPr>
        <w:t>The accompanying notes are an integral part of these financial statements.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65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0F7CA2"/>
    <w:rsid w:val="001102B1"/>
    <w:rsid w:val="00112BD0"/>
    <w:rsid w:val="0012261B"/>
    <w:rsid w:val="00155C9C"/>
    <w:rsid w:val="00165AFC"/>
    <w:rsid w:val="00190F4C"/>
    <w:rsid w:val="0019244A"/>
    <w:rsid w:val="00194778"/>
    <w:rsid w:val="001A2E60"/>
    <w:rsid w:val="001A697B"/>
    <w:rsid w:val="001E0E65"/>
    <w:rsid w:val="002030F3"/>
    <w:rsid w:val="00207A5A"/>
    <w:rsid w:val="00226E88"/>
    <w:rsid w:val="002422F1"/>
    <w:rsid w:val="00256371"/>
    <w:rsid w:val="00266A5A"/>
    <w:rsid w:val="00281423"/>
    <w:rsid w:val="002B05D9"/>
    <w:rsid w:val="002B1558"/>
    <w:rsid w:val="0032118F"/>
    <w:rsid w:val="003565D3"/>
    <w:rsid w:val="00380733"/>
    <w:rsid w:val="003840CA"/>
    <w:rsid w:val="004007F8"/>
    <w:rsid w:val="00402403"/>
    <w:rsid w:val="00416679"/>
    <w:rsid w:val="004211C1"/>
    <w:rsid w:val="00443ED7"/>
    <w:rsid w:val="00457E8B"/>
    <w:rsid w:val="0047022A"/>
    <w:rsid w:val="00490015"/>
    <w:rsid w:val="004A5761"/>
    <w:rsid w:val="004B515B"/>
    <w:rsid w:val="004C40AA"/>
    <w:rsid w:val="004C5FD2"/>
    <w:rsid w:val="00502F9B"/>
    <w:rsid w:val="00532CC2"/>
    <w:rsid w:val="00576E1B"/>
    <w:rsid w:val="00586963"/>
    <w:rsid w:val="005A2EC6"/>
    <w:rsid w:val="005A7D8F"/>
    <w:rsid w:val="005C5D88"/>
    <w:rsid w:val="005C768D"/>
    <w:rsid w:val="005E7C0C"/>
    <w:rsid w:val="005F16A3"/>
    <w:rsid w:val="00604FFA"/>
    <w:rsid w:val="0062712C"/>
    <w:rsid w:val="00630894"/>
    <w:rsid w:val="00643D59"/>
    <w:rsid w:val="00674713"/>
    <w:rsid w:val="00677635"/>
    <w:rsid w:val="0068619D"/>
    <w:rsid w:val="006E3F23"/>
    <w:rsid w:val="006F387A"/>
    <w:rsid w:val="0071425B"/>
    <w:rsid w:val="007226F8"/>
    <w:rsid w:val="00722D35"/>
    <w:rsid w:val="00733A29"/>
    <w:rsid w:val="00746FA9"/>
    <w:rsid w:val="00780E9F"/>
    <w:rsid w:val="00787CAE"/>
    <w:rsid w:val="00793BA9"/>
    <w:rsid w:val="007C5890"/>
    <w:rsid w:val="007D5109"/>
    <w:rsid w:val="007D5D0E"/>
    <w:rsid w:val="007E2DA9"/>
    <w:rsid w:val="008138A9"/>
    <w:rsid w:val="00835328"/>
    <w:rsid w:val="00867FD7"/>
    <w:rsid w:val="0089125F"/>
    <w:rsid w:val="008C446D"/>
    <w:rsid w:val="008E3BA9"/>
    <w:rsid w:val="008F4A0B"/>
    <w:rsid w:val="009202EF"/>
    <w:rsid w:val="0092192A"/>
    <w:rsid w:val="009619E5"/>
    <w:rsid w:val="00963826"/>
    <w:rsid w:val="00976621"/>
    <w:rsid w:val="009C3447"/>
    <w:rsid w:val="009C6D0C"/>
    <w:rsid w:val="009F49F0"/>
    <w:rsid w:val="00A04135"/>
    <w:rsid w:val="00A044B8"/>
    <w:rsid w:val="00A04719"/>
    <w:rsid w:val="00A0692E"/>
    <w:rsid w:val="00A131FB"/>
    <w:rsid w:val="00A152AF"/>
    <w:rsid w:val="00A47C47"/>
    <w:rsid w:val="00A649A2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80944"/>
    <w:rsid w:val="00B90AB7"/>
    <w:rsid w:val="00BC3281"/>
    <w:rsid w:val="00BC6D83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501A9"/>
    <w:rsid w:val="00F571B7"/>
    <w:rsid w:val="00F746E6"/>
    <w:rsid w:val="00F93F5E"/>
    <w:rsid w:val="00F97C68"/>
    <w:rsid w:val="00FB3B54"/>
    <w:rsid w:val="00FC6D94"/>
    <w:rsid w:val="00FD0642"/>
    <w:rsid w:val="00FD37C7"/>
    <w:rsid w:val="00FF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4FD9D-0FDA-4851-BB27-CADFA39E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E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E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E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E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E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E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E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b/>
      <w:color w:val="0083C6"/>
      <w:kern w:val="0"/>
      <w:sz w:val="24"/>
      <w:szCs w:val="22"/>
      <w:lang w:val="en-US" w:bidi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483"/>
    <w:pPr>
      <w:contextualSpacing/>
    </w:pPr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2483"/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E0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0E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E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E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E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E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E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E65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E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E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E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1E0E65"/>
    <w:rPr>
      <w:b/>
      <w:bCs/>
    </w:rPr>
  </w:style>
  <w:style w:type="character" w:styleId="Emphasis">
    <w:name w:val="Emphasis"/>
    <w:uiPriority w:val="20"/>
    <w:qFormat/>
    <w:rsid w:val="001E0E65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1E0E65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styleId="SubtleEmphasis">
    <w:name w:val="Subtle Emphasis"/>
    <w:uiPriority w:val="19"/>
    <w:qFormat/>
    <w:rsid w:val="001E0E65"/>
    <w:rPr>
      <w:i/>
      <w:iCs/>
    </w:rPr>
  </w:style>
  <w:style w:type="character" w:styleId="SubtleReference">
    <w:name w:val="Subtle Reference"/>
    <w:uiPriority w:val="31"/>
    <w:qFormat/>
    <w:rsid w:val="001E0E65"/>
    <w:rPr>
      <w:smallCaps/>
    </w:rPr>
  </w:style>
  <w:style w:type="character" w:styleId="BookTitle">
    <w:name w:val="Book Title"/>
    <w:uiPriority w:val="33"/>
    <w:qFormat/>
    <w:rsid w:val="001E0E6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0E65"/>
    <w:pPr>
      <w:keepNext w:val="0"/>
      <w:keepLines w:val="0"/>
      <w:spacing w:before="480" w:after="0" w:line="276" w:lineRule="auto"/>
      <w:contextualSpacing/>
      <w:outlineLvl w:val="9"/>
    </w:pPr>
    <w:rPr>
      <w:b/>
      <w:bCs/>
      <w:color w:val="auto"/>
      <w:kern w:val="0"/>
      <w:sz w:val="28"/>
      <w:szCs w:val="28"/>
      <w:lang w:val="en-US" w:bidi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E0E65"/>
    <w:rPr>
      <w:color w:val="808080"/>
    </w:rPr>
  </w:style>
  <w:style w:type="paragraph" w:styleId="Header">
    <w:name w:val="header"/>
    <w:basedOn w:val="Normal"/>
    <w:link w:val="HeaderChar"/>
    <w:unhideWhenUsed/>
    <w:rsid w:val="001E0E65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HeaderChar">
    <w:name w:val="Header Char"/>
    <w:basedOn w:val="DefaultParagraphFont"/>
    <w:link w:val="Header"/>
    <w:rsid w:val="001E0E65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Footer">
    <w:name w:val="footer"/>
    <w:basedOn w:val="Normal"/>
    <w:link w:val="FooterChar"/>
    <w:unhideWhenUsed/>
    <w:rsid w:val="001E0E65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FooterChar">
    <w:name w:val="Footer Char"/>
    <w:basedOn w:val="DefaultParagraphFont"/>
    <w:link w:val="Footer"/>
    <w:rsid w:val="001E0E65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1E0E65"/>
    <w:rPr>
      <w:rFonts w:ascii="Segoe UI" w:hAnsi="Segoe UI" w:cs="Segoe UI"/>
      <w:kern w:val="0"/>
      <w:szCs w:val="18"/>
      <w:lang w:val="en-US" w:bidi="en-US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1E0E65"/>
    <w:rPr>
      <w:rFonts w:ascii="Segoe UI" w:hAnsi="Segoe UI" w:cs="Segoe UI"/>
      <w:kern w:val="0"/>
      <w:szCs w:val="18"/>
      <w:lang w:val="en-US" w:bidi="en-US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0E65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0E65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E0E6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C61FD43F0C470882855709BFD6A3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B6AC7-9C15-4670-96C2-F549DFDF035A}"/>
      </w:docPartPr>
      <w:docPartBody>
        <w:p w:rsidR="001D0CE9" w:rsidRDefault="001D0CE9" w:rsidP="001D0CE9">
          <w:pPr>
            <w:pStyle w:val="A4C61FD43F0C470882855709BFD6A385"/>
          </w:pPr>
          <w:r w:rsidRPr="00313AC7">
            <w:rPr>
              <w:rStyle w:val="PlaceholderText"/>
            </w:rPr>
            <w:t>Placeholder: Returns an entire table created with the Statement Mapper - Display Statement: Statement of Assets and Liabilities (Model Office - MST-SPT (Model Office))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E9"/>
    <w:rsid w:val="001D0CE9"/>
    <w:rsid w:val="00B8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0CE9"/>
    <w:rPr>
      <w:color w:val="808080"/>
    </w:rPr>
  </w:style>
  <w:style w:type="paragraph" w:customStyle="1" w:styleId="A4C61FD43F0C470882855709BFD6A385">
    <w:name w:val="A4C61FD43F0C470882855709BFD6A385"/>
    <w:rsid w:val="001D0C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2703</Words>
  <Characters>14761</Characters>
  <Application>Microsoft Office Word</Application>
  <DocSecurity>0</DocSecurity>
  <Lines>2108</Lines>
  <Paragraphs>919</Paragraphs>
  <ScaleCrop>false</ScaleCrop>
  <Company/>
  <LinksUpToDate>false</LinksUpToDate>
  <CharactersWithSpaces>16545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1</cp:revision>
  <dcterms:created xsi:type="dcterms:W3CDTF">2025-12-09T03:03:00Z</dcterms:created>
  <dcterms:modified xsi:type="dcterms:W3CDTF">2025-12-09T03:06:00Z</dcterms:modified>
</cp:coreProperties>
</file>