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F7700" w14:textId="77777777" w:rsidR="00142DBD" w:rsidRPr="006E2D10" w:rsidRDefault="00142DBD" w:rsidP="00DE38E2">
      <w:pPr>
        <w:pStyle w:val="BodyText"/>
        <w:rPr>
          <w:color w:val="231F20"/>
          <w:w w:val="110"/>
        </w:rPr>
      </w:pPr>
    </w:p>
    <w:p w14:paraId="2258E4EF" w14:textId="77777777" w:rsidR="00E26D9C" w:rsidRDefault="00184721" w:rsidP="00473954">
      <w:pPr>
        <w:pStyle w:val="Heading1"/>
        <w:spacing w:before="68"/>
        <w:ind w:left="0"/>
        <w:rPr>
          <w:color w:val="231F20"/>
        </w:rPr>
      </w:pPr>
      <w:bookmarkStart w:id="0" w:name="_TOC_250000"/>
      <w:bookmarkEnd w:id="0"/>
      <w:r w:rsidRPr="006E2D10">
        <w:rPr>
          <w:color w:val="231F20"/>
        </w:rPr>
        <w:t>Perritt Funds</w:t>
      </w:r>
    </w:p>
    <w:p w14:paraId="169B5E1B" w14:textId="2F82EFED" w:rsidR="00DE38E2" w:rsidRPr="006E2D10" w:rsidRDefault="00DE38E2" w:rsidP="00473954">
      <w:pPr>
        <w:pStyle w:val="Heading1"/>
        <w:spacing w:before="68"/>
        <w:ind w:left="0"/>
      </w:pPr>
      <w:r>
        <w:rPr>
          <w:color w:val="231F20"/>
        </w:rPr>
        <w:t>Additional Information</w:t>
      </w:r>
    </w:p>
    <w:p w14:paraId="64D4D7B2" w14:textId="77777777" w:rsidR="00DE38E2" w:rsidRDefault="00DE38E2" w:rsidP="007433A8">
      <w:pPr>
        <w:spacing w:before="71" w:line="261" w:lineRule="auto"/>
        <w:ind w:left="160" w:right="831"/>
        <w:rPr>
          <w:color w:val="231F20"/>
          <w:w w:val="110"/>
          <w:sz w:val="16"/>
        </w:rPr>
      </w:pPr>
    </w:p>
    <w:p w14:paraId="7AE1CB36" w14:textId="77777777" w:rsidR="00DE38E2" w:rsidRPr="006E2D10" w:rsidRDefault="00DE38E2" w:rsidP="00DE38E2">
      <w:pPr>
        <w:pStyle w:val="BodyText"/>
        <w:ind w:left="400"/>
        <w:rPr>
          <w:rFonts w:ascii="Times Roman" w:eastAsia="Times Roman" w:hAnsi="Times Roman" w:cs="Times Roman"/>
          <w:b/>
        </w:rPr>
      </w:pPr>
      <w:r w:rsidRPr="006E2D10">
        <w:rPr>
          <w:rFonts w:ascii="Times Roman" w:eastAsia="Times Roman" w:hAnsi="Times Roman" w:cs="Times Roman"/>
          <w:b/>
        </w:rPr>
        <w:t>Qualified Dividend Income/Dividends Received Deductions (Unaudited)</w:t>
      </w:r>
    </w:p>
    <w:p w14:paraId="433DC3CA" w14:textId="77777777" w:rsidR="00DE38E2" w:rsidRPr="006E2D10" w:rsidRDefault="00DE38E2" w:rsidP="00DE38E2">
      <w:pPr>
        <w:pStyle w:val="BodyText"/>
        <w:ind w:left="400"/>
        <w:rPr>
          <w:rFonts w:ascii="Times Roman" w:eastAsia="Times Roman" w:hAnsi="Times Roman" w:cs="Times Roman"/>
          <w:b/>
        </w:rPr>
      </w:pPr>
    </w:p>
    <w:p w14:paraId="338CE8E3" w14:textId="77777777" w:rsidR="00DE38E2" w:rsidRPr="006E2D10" w:rsidRDefault="00DE38E2" w:rsidP="00DE38E2">
      <w:pPr>
        <w:pStyle w:val="Notes"/>
        <w:spacing w:line="240" w:lineRule="auto"/>
        <w:rPr>
          <w:rFonts w:ascii="Times Roman" w:eastAsia="Times Roman" w:hAnsi="Times Roman" w:cs="Times Roman"/>
        </w:rPr>
      </w:pPr>
      <w:r w:rsidRPr="006E2D10">
        <w:rPr>
          <w:rFonts w:ascii="Times Roman" w:eastAsia="Times Roman" w:hAnsi="Times Roman" w:cs="Times Roman"/>
        </w:rPr>
        <w:tab/>
        <w:t xml:space="preserve">For the fiscal year </w:t>
      </w:r>
      <w:proofErr w:type="gramStart"/>
      <w:r w:rsidRPr="006E2D10">
        <w:rPr>
          <w:rFonts w:ascii="Times Roman" w:eastAsia="Times Roman" w:hAnsi="Times Roman" w:cs="Times Roman"/>
        </w:rPr>
        <w:t>ended</w:t>
      </w:r>
      <w:proofErr w:type="gramEnd"/>
      <w:r w:rsidRPr="006E2D10">
        <w:rPr>
          <w:rFonts w:ascii="Times Roman" w:eastAsia="Times Roman" w:hAnsi="Times Roman" w:cs="Times Roman"/>
        </w:rPr>
        <w:t xml:space="preserve"> October 31, 2025, certain dividends paid by the Fund may be subject to a maximum tax rate of 23.8%, as provided for by the Jobs and Growth Tax Reconciliation Act of 2003. The percentage of dividends declared from ordinary income designated as qualified dividend income was as follows:</w:t>
      </w:r>
    </w:p>
    <w:tbl>
      <w:tblPr>
        <w:tblStyle w:val="TableGrid"/>
        <w:tblW w:w="5000" w:type="pct"/>
        <w:tblLook w:val="04A0" w:firstRow="1" w:lastRow="0" w:firstColumn="1" w:lastColumn="0" w:noHBand="0" w:noVBand="1"/>
      </w:tblPr>
      <w:tblGrid>
        <w:gridCol w:w="4382"/>
        <w:gridCol w:w="3328"/>
      </w:tblGrid>
      <w:tr w:rsidR="00A7353D" w:rsidRPr="00A7353D" w14:paraId="595296BA" w14:textId="77777777" w:rsidTr="00A7353D">
        <w:tc>
          <w:tcPr>
            <w:tcW w:w="2842" w:type="pct"/>
          </w:tcPr>
          <w:p w14:paraId="12BCB16D" w14:textId="77777777" w:rsidR="00A7353D" w:rsidRPr="00A7353D" w:rsidRDefault="00A7353D" w:rsidP="00920ED1">
            <w:pPr>
              <w:pStyle w:val="Notes"/>
              <w:tabs>
                <w:tab w:val="clear" w:pos="240"/>
                <w:tab w:val="clear" w:pos="440"/>
              </w:tabs>
              <w:spacing w:after="0" w:line="240" w:lineRule="auto"/>
              <w:rPr>
                <w:rFonts w:ascii="Times Roman" w:eastAsia="Times Roman" w:hAnsi="Times Roman" w:cs="Times Roman"/>
              </w:rPr>
            </w:pPr>
            <w:r w:rsidRPr="00A7353D">
              <w:rPr>
                <w:rFonts w:ascii="Times Roman" w:eastAsia="Times Roman" w:hAnsi="Times Roman" w:cs="Times Roman"/>
              </w:rPr>
              <w:t>Fund Name</w:t>
            </w:r>
          </w:p>
        </w:tc>
        <w:tc>
          <w:tcPr>
            <w:tcW w:w="2158" w:type="pct"/>
          </w:tcPr>
          <w:p w14:paraId="6BEF6069" w14:textId="77777777" w:rsidR="00A7353D" w:rsidRPr="00A7353D" w:rsidRDefault="00A7353D" w:rsidP="00920ED1">
            <w:pPr>
              <w:pStyle w:val="Notes"/>
              <w:tabs>
                <w:tab w:val="clear" w:pos="240"/>
                <w:tab w:val="clear" w:pos="440"/>
              </w:tabs>
              <w:spacing w:after="0" w:line="240" w:lineRule="auto"/>
              <w:rPr>
                <w:rFonts w:ascii="Times Roman" w:eastAsia="Times Roman" w:hAnsi="Times Roman" w:cs="Times Roman"/>
              </w:rPr>
            </w:pPr>
            <w:r w:rsidRPr="00A7353D">
              <w:rPr>
                <w:rFonts w:ascii="Times Roman" w:eastAsia="Times Roman" w:hAnsi="Times Roman" w:cs="Times Roman"/>
              </w:rPr>
              <w:t>Qualified Dividend Income</w:t>
            </w:r>
          </w:p>
        </w:tc>
      </w:tr>
      <w:tr w:rsidR="00A7353D" w:rsidRPr="00A7353D" w14:paraId="30EF5222" w14:textId="77777777" w:rsidTr="00A7353D">
        <w:tc>
          <w:tcPr>
            <w:tcW w:w="2842" w:type="pct"/>
          </w:tcPr>
          <w:p w14:paraId="506D3DB4" w14:textId="77777777" w:rsidR="00A7353D" w:rsidRPr="00A7353D" w:rsidRDefault="00A7353D" w:rsidP="00920ED1">
            <w:pPr>
              <w:pStyle w:val="Notes"/>
              <w:tabs>
                <w:tab w:val="clear" w:pos="240"/>
                <w:tab w:val="clear" w:pos="440"/>
              </w:tabs>
              <w:spacing w:after="0" w:line="240" w:lineRule="auto"/>
              <w:rPr>
                <w:rFonts w:ascii="Times Roman" w:eastAsia="Times Roman" w:hAnsi="Times Roman" w:cs="Times Roman"/>
              </w:rPr>
            </w:pPr>
            <w:r w:rsidRPr="00A7353D">
              <w:rPr>
                <w:rFonts w:ascii="Times Roman" w:eastAsia="Times Roman" w:hAnsi="Times Roman" w:cs="Times Roman"/>
              </w:rPr>
              <w:t xml:space="preserve">Perritt </w:t>
            </w:r>
            <w:proofErr w:type="spellStart"/>
            <w:r w:rsidRPr="00A7353D">
              <w:rPr>
                <w:rFonts w:ascii="Times Roman" w:eastAsia="Times Roman" w:hAnsi="Times Roman" w:cs="Times Roman"/>
              </w:rPr>
              <w:t>MicroCap</w:t>
            </w:r>
            <w:proofErr w:type="spellEnd"/>
            <w:r w:rsidRPr="00A7353D">
              <w:rPr>
                <w:rFonts w:ascii="Times Roman" w:eastAsia="Times Roman" w:hAnsi="Times Roman" w:cs="Times Roman"/>
              </w:rPr>
              <w:t xml:space="preserve"> Opportunities Fund</w:t>
            </w:r>
          </w:p>
        </w:tc>
        <w:tc>
          <w:tcPr>
            <w:tcW w:w="2158" w:type="pct"/>
          </w:tcPr>
          <w:p w14:paraId="09E4FDF5" w14:textId="77777777" w:rsidR="00A7353D" w:rsidRPr="00A7353D" w:rsidRDefault="00A7353D" w:rsidP="00920ED1">
            <w:pPr>
              <w:pStyle w:val="Notes"/>
              <w:tabs>
                <w:tab w:val="clear" w:pos="240"/>
                <w:tab w:val="clear" w:pos="440"/>
              </w:tabs>
              <w:spacing w:after="0" w:line="240" w:lineRule="auto"/>
              <w:rPr>
                <w:rFonts w:ascii="Times Roman" w:eastAsia="Times Roman" w:hAnsi="Times Roman" w:cs="Times Roman"/>
              </w:rPr>
            </w:pPr>
            <w:r w:rsidRPr="00A7353D">
              <w:rPr>
                <w:rFonts w:ascii="Times Roman" w:eastAsia="Times Roman" w:hAnsi="Times Roman" w:cs="Times Roman"/>
              </w:rPr>
              <w:t>0.00%</w:t>
            </w:r>
          </w:p>
        </w:tc>
      </w:tr>
    </w:tbl>
    <w:p w14:paraId="049E794F" w14:textId="77777777" w:rsidR="00A7353D" w:rsidRDefault="00A7353D" w:rsidP="00DE38E2">
      <w:pPr>
        <w:pStyle w:val="Notes"/>
        <w:spacing w:line="240" w:lineRule="auto"/>
        <w:rPr>
          <w:rFonts w:ascii="Times Roman" w:eastAsia="Times Roman" w:hAnsi="Times Roman" w:cs="Times Roman"/>
        </w:rPr>
      </w:pPr>
    </w:p>
    <w:p w14:paraId="0D44828E" w14:textId="1A7138D8" w:rsidR="00DE38E2" w:rsidRPr="006E2D10" w:rsidRDefault="00DE38E2" w:rsidP="00DE38E2">
      <w:pPr>
        <w:pStyle w:val="Notes"/>
        <w:spacing w:line="240" w:lineRule="auto"/>
        <w:rPr>
          <w:rFonts w:ascii="Times Roman" w:eastAsia="Times Roman" w:hAnsi="Times Roman" w:cs="Times Roman"/>
        </w:rPr>
      </w:pPr>
      <w:r w:rsidRPr="006E2D10">
        <w:rPr>
          <w:rFonts w:ascii="Times Roman" w:eastAsia="Times Roman" w:hAnsi="Times Roman" w:cs="Times Roman"/>
        </w:rPr>
        <w:tab/>
        <w:t xml:space="preserve">For corporate shareholders, the </w:t>
      </w:r>
      <w:proofErr w:type="gramStart"/>
      <w:r w:rsidRPr="006E2D10">
        <w:rPr>
          <w:rFonts w:ascii="Times Roman" w:eastAsia="Times Roman" w:hAnsi="Times Roman" w:cs="Times Roman"/>
        </w:rPr>
        <w:t>percent</w:t>
      </w:r>
      <w:proofErr w:type="gramEnd"/>
      <w:r w:rsidRPr="006E2D10">
        <w:rPr>
          <w:rFonts w:ascii="Times Roman" w:eastAsia="Times Roman" w:hAnsi="Times Roman" w:cs="Times Roman"/>
        </w:rPr>
        <w:t xml:space="preserve"> of ordinary income distributions qualifying for the corporate dividends received deduction for the fiscal year ended October 31, </w:t>
      </w:r>
      <w:proofErr w:type="gramStart"/>
      <w:r w:rsidRPr="006E2D10">
        <w:rPr>
          <w:rFonts w:ascii="Times Roman" w:eastAsia="Times Roman" w:hAnsi="Times Roman" w:cs="Times Roman"/>
        </w:rPr>
        <w:t>2025</w:t>
      </w:r>
      <w:proofErr w:type="gramEnd"/>
      <w:r w:rsidRPr="006E2D10">
        <w:rPr>
          <w:rFonts w:ascii="Times Roman" w:eastAsia="Times Roman" w:hAnsi="Times Roman" w:cs="Times Roman"/>
        </w:rPr>
        <w:t xml:space="preserve"> was as follows:</w:t>
      </w:r>
    </w:p>
    <w:tbl>
      <w:tblPr>
        <w:tblStyle w:val="TableGrid"/>
        <w:tblW w:w="5000" w:type="pct"/>
        <w:tblLook w:val="04A0" w:firstRow="1" w:lastRow="0" w:firstColumn="1" w:lastColumn="0" w:noHBand="0" w:noVBand="1"/>
      </w:tblPr>
      <w:tblGrid>
        <w:gridCol w:w="4108"/>
        <w:gridCol w:w="3602"/>
      </w:tblGrid>
      <w:tr w:rsidR="00A7353D" w:rsidRPr="00A7353D" w14:paraId="7876E2C6" w14:textId="77777777" w:rsidTr="00A7353D">
        <w:tc>
          <w:tcPr>
            <w:tcW w:w="2664" w:type="pct"/>
          </w:tcPr>
          <w:p w14:paraId="707D6353" w14:textId="77777777" w:rsidR="00A7353D" w:rsidRPr="00A7353D" w:rsidRDefault="00A7353D" w:rsidP="002B08B6">
            <w:pPr>
              <w:pStyle w:val="Notes"/>
              <w:tabs>
                <w:tab w:val="clear" w:pos="240"/>
                <w:tab w:val="clear" w:pos="440"/>
              </w:tabs>
              <w:spacing w:after="0" w:line="240" w:lineRule="auto"/>
              <w:rPr>
                <w:rFonts w:ascii="Times Roman" w:eastAsia="Times Roman" w:hAnsi="Times Roman" w:cs="Times Roman"/>
              </w:rPr>
            </w:pPr>
            <w:r w:rsidRPr="00A7353D">
              <w:rPr>
                <w:rFonts w:ascii="Times Roman" w:eastAsia="Times Roman" w:hAnsi="Times Roman" w:cs="Times Roman"/>
              </w:rPr>
              <w:t>Fund Name</w:t>
            </w:r>
          </w:p>
        </w:tc>
        <w:tc>
          <w:tcPr>
            <w:tcW w:w="2336" w:type="pct"/>
          </w:tcPr>
          <w:p w14:paraId="1558530D" w14:textId="77777777" w:rsidR="00A7353D" w:rsidRPr="00A7353D" w:rsidRDefault="00A7353D" w:rsidP="002B08B6">
            <w:pPr>
              <w:pStyle w:val="Notes"/>
              <w:tabs>
                <w:tab w:val="clear" w:pos="240"/>
                <w:tab w:val="clear" w:pos="440"/>
              </w:tabs>
              <w:spacing w:after="0" w:line="240" w:lineRule="auto"/>
              <w:rPr>
                <w:rFonts w:ascii="Times Roman" w:eastAsia="Times Roman" w:hAnsi="Times Roman" w:cs="Times Roman"/>
              </w:rPr>
            </w:pPr>
            <w:r w:rsidRPr="00A7353D">
              <w:rPr>
                <w:rFonts w:ascii="Times Roman" w:eastAsia="Times Roman" w:hAnsi="Times Roman" w:cs="Times Roman"/>
              </w:rPr>
              <w:t>Dividends Received Deductions</w:t>
            </w:r>
          </w:p>
        </w:tc>
      </w:tr>
      <w:tr w:rsidR="00A7353D" w:rsidRPr="00A7353D" w14:paraId="3BB80FBC" w14:textId="77777777" w:rsidTr="00A7353D">
        <w:tc>
          <w:tcPr>
            <w:tcW w:w="2664" w:type="pct"/>
          </w:tcPr>
          <w:p w14:paraId="03E6C9F5" w14:textId="77777777" w:rsidR="00A7353D" w:rsidRPr="00A7353D" w:rsidRDefault="00A7353D" w:rsidP="002B08B6">
            <w:pPr>
              <w:pStyle w:val="Notes"/>
              <w:tabs>
                <w:tab w:val="clear" w:pos="240"/>
                <w:tab w:val="clear" w:pos="440"/>
              </w:tabs>
              <w:spacing w:after="0" w:line="240" w:lineRule="auto"/>
              <w:rPr>
                <w:rFonts w:ascii="Times Roman" w:eastAsia="Times Roman" w:hAnsi="Times Roman" w:cs="Times Roman"/>
              </w:rPr>
            </w:pPr>
            <w:r w:rsidRPr="00A7353D">
              <w:rPr>
                <w:rFonts w:ascii="Times Roman" w:eastAsia="Times Roman" w:hAnsi="Times Roman" w:cs="Times Roman"/>
              </w:rPr>
              <w:t xml:space="preserve">Perritt </w:t>
            </w:r>
            <w:proofErr w:type="spellStart"/>
            <w:r w:rsidRPr="00A7353D">
              <w:rPr>
                <w:rFonts w:ascii="Times Roman" w:eastAsia="Times Roman" w:hAnsi="Times Roman" w:cs="Times Roman"/>
              </w:rPr>
              <w:t>MicroCap</w:t>
            </w:r>
            <w:proofErr w:type="spellEnd"/>
            <w:r w:rsidRPr="00A7353D">
              <w:rPr>
                <w:rFonts w:ascii="Times Roman" w:eastAsia="Times Roman" w:hAnsi="Times Roman" w:cs="Times Roman"/>
              </w:rPr>
              <w:t xml:space="preserve"> Opportunities Fund</w:t>
            </w:r>
          </w:p>
        </w:tc>
        <w:tc>
          <w:tcPr>
            <w:tcW w:w="2336" w:type="pct"/>
          </w:tcPr>
          <w:p w14:paraId="47DE7194" w14:textId="77777777" w:rsidR="00A7353D" w:rsidRPr="00A7353D" w:rsidRDefault="00A7353D" w:rsidP="002B08B6">
            <w:pPr>
              <w:pStyle w:val="Notes"/>
              <w:tabs>
                <w:tab w:val="clear" w:pos="240"/>
                <w:tab w:val="clear" w:pos="440"/>
              </w:tabs>
              <w:spacing w:after="0" w:line="240" w:lineRule="auto"/>
              <w:rPr>
                <w:rFonts w:ascii="Times Roman" w:eastAsia="Times Roman" w:hAnsi="Times Roman" w:cs="Times Roman"/>
              </w:rPr>
            </w:pPr>
            <w:r w:rsidRPr="00A7353D">
              <w:rPr>
                <w:rFonts w:ascii="Times Roman" w:eastAsia="Times Roman" w:hAnsi="Times Roman" w:cs="Times Roman"/>
              </w:rPr>
              <w:t>0.00%</w:t>
            </w:r>
          </w:p>
        </w:tc>
      </w:tr>
    </w:tbl>
    <w:p w14:paraId="11176128" w14:textId="77777777" w:rsidR="00A7353D" w:rsidRDefault="00A7353D" w:rsidP="00DE38E2">
      <w:pPr>
        <w:pStyle w:val="Notes"/>
        <w:spacing w:line="240" w:lineRule="auto"/>
        <w:rPr>
          <w:rFonts w:ascii="Times Roman" w:eastAsia="Times Roman" w:hAnsi="Times Roman" w:cs="Times Roman"/>
        </w:rPr>
      </w:pPr>
    </w:p>
    <w:p w14:paraId="59AAEE68" w14:textId="69377F31" w:rsidR="00DE38E2" w:rsidRPr="006E2D10" w:rsidRDefault="00DE38E2" w:rsidP="00DE38E2">
      <w:pPr>
        <w:pStyle w:val="Notes"/>
        <w:spacing w:line="240" w:lineRule="auto"/>
        <w:rPr>
          <w:rFonts w:ascii="Times Roman" w:eastAsia="Times Roman" w:hAnsi="Times Roman" w:cs="Times Roman"/>
        </w:rPr>
      </w:pPr>
      <w:r w:rsidRPr="006E2D10">
        <w:rPr>
          <w:rFonts w:ascii="Times Roman" w:eastAsia="Times Roman" w:hAnsi="Times Roman" w:cs="Times Roman"/>
        </w:rPr>
        <w:tab/>
        <w:t>The percentage of taxable ordinary income distributions that are designated as short-term capital gain distributions under Internal Revenue Section 871(k)(2)(C) for the Fund were as follows:</w:t>
      </w:r>
    </w:p>
    <w:tbl>
      <w:tblPr>
        <w:tblStyle w:val="TableGrid"/>
        <w:tblW w:w="5000" w:type="pct"/>
        <w:tblLook w:val="04A0" w:firstRow="1" w:lastRow="0" w:firstColumn="1" w:lastColumn="0" w:noHBand="0" w:noVBand="1"/>
      </w:tblPr>
      <w:tblGrid>
        <w:gridCol w:w="4478"/>
        <w:gridCol w:w="3232"/>
      </w:tblGrid>
      <w:tr w:rsidR="00A7353D" w:rsidRPr="00A7353D" w14:paraId="078B0756" w14:textId="77777777" w:rsidTr="00A7353D">
        <w:tc>
          <w:tcPr>
            <w:tcW w:w="2904" w:type="pct"/>
          </w:tcPr>
          <w:p w14:paraId="05F645D3" w14:textId="77777777" w:rsidR="00A7353D" w:rsidRPr="00A7353D" w:rsidRDefault="00A7353D" w:rsidP="009F7BD9">
            <w:pPr>
              <w:pStyle w:val="Notes"/>
              <w:tabs>
                <w:tab w:val="clear" w:pos="240"/>
                <w:tab w:val="clear" w:pos="440"/>
              </w:tabs>
              <w:spacing w:after="0" w:line="240" w:lineRule="auto"/>
              <w:rPr>
                <w:rFonts w:ascii="Times Roman" w:eastAsia="Times Roman" w:hAnsi="Times Roman" w:cs="Times Roman"/>
              </w:rPr>
            </w:pPr>
            <w:r w:rsidRPr="00A7353D">
              <w:rPr>
                <w:rFonts w:ascii="Times Roman" w:eastAsia="Times Roman" w:hAnsi="Times Roman" w:cs="Times Roman"/>
              </w:rPr>
              <w:t>Fund Name</w:t>
            </w:r>
          </w:p>
        </w:tc>
        <w:tc>
          <w:tcPr>
            <w:tcW w:w="2096" w:type="pct"/>
          </w:tcPr>
          <w:p w14:paraId="53E15BC9" w14:textId="77777777" w:rsidR="00A7353D" w:rsidRPr="00A7353D" w:rsidRDefault="00A7353D" w:rsidP="009F7BD9">
            <w:pPr>
              <w:pStyle w:val="Notes"/>
              <w:tabs>
                <w:tab w:val="clear" w:pos="240"/>
                <w:tab w:val="clear" w:pos="440"/>
              </w:tabs>
              <w:spacing w:after="0" w:line="240" w:lineRule="auto"/>
              <w:rPr>
                <w:rFonts w:ascii="Times Roman" w:eastAsia="Times Roman" w:hAnsi="Times Roman" w:cs="Times Roman"/>
              </w:rPr>
            </w:pPr>
            <w:r w:rsidRPr="00A7353D">
              <w:rPr>
                <w:rFonts w:ascii="Times Roman" w:eastAsia="Times Roman" w:hAnsi="Times Roman" w:cs="Times Roman"/>
              </w:rPr>
              <w:t>Short-Term Capital Gains</w:t>
            </w:r>
          </w:p>
        </w:tc>
      </w:tr>
      <w:tr w:rsidR="00A7353D" w:rsidRPr="00A7353D" w14:paraId="4D4611A1" w14:textId="77777777" w:rsidTr="00A7353D">
        <w:tc>
          <w:tcPr>
            <w:tcW w:w="2904" w:type="pct"/>
          </w:tcPr>
          <w:p w14:paraId="7BA5357F" w14:textId="77777777" w:rsidR="00A7353D" w:rsidRPr="00A7353D" w:rsidRDefault="00A7353D" w:rsidP="009F7BD9">
            <w:pPr>
              <w:pStyle w:val="Notes"/>
              <w:tabs>
                <w:tab w:val="clear" w:pos="240"/>
                <w:tab w:val="clear" w:pos="440"/>
              </w:tabs>
              <w:spacing w:after="0" w:line="240" w:lineRule="auto"/>
              <w:rPr>
                <w:rFonts w:ascii="Times Roman" w:eastAsia="Times Roman" w:hAnsi="Times Roman" w:cs="Times Roman"/>
              </w:rPr>
            </w:pPr>
            <w:r w:rsidRPr="00A7353D">
              <w:rPr>
                <w:rFonts w:ascii="Times Roman" w:eastAsia="Times Roman" w:hAnsi="Times Roman" w:cs="Times Roman"/>
              </w:rPr>
              <w:t xml:space="preserve">Perritt </w:t>
            </w:r>
            <w:proofErr w:type="spellStart"/>
            <w:r w:rsidRPr="00A7353D">
              <w:rPr>
                <w:rFonts w:ascii="Times Roman" w:eastAsia="Times Roman" w:hAnsi="Times Roman" w:cs="Times Roman"/>
              </w:rPr>
              <w:t>MicroCap</w:t>
            </w:r>
            <w:proofErr w:type="spellEnd"/>
            <w:r w:rsidRPr="00A7353D">
              <w:rPr>
                <w:rFonts w:ascii="Times Roman" w:eastAsia="Times Roman" w:hAnsi="Times Roman" w:cs="Times Roman"/>
              </w:rPr>
              <w:t xml:space="preserve"> Opportunities Fund</w:t>
            </w:r>
          </w:p>
        </w:tc>
        <w:tc>
          <w:tcPr>
            <w:tcW w:w="2096" w:type="pct"/>
          </w:tcPr>
          <w:p w14:paraId="0C023F61" w14:textId="77777777" w:rsidR="00A7353D" w:rsidRPr="00A7353D" w:rsidRDefault="00A7353D" w:rsidP="009F7BD9">
            <w:pPr>
              <w:pStyle w:val="Notes"/>
              <w:tabs>
                <w:tab w:val="clear" w:pos="240"/>
                <w:tab w:val="clear" w:pos="440"/>
              </w:tabs>
              <w:spacing w:after="0" w:line="240" w:lineRule="auto"/>
              <w:rPr>
                <w:rFonts w:ascii="Times Roman" w:eastAsia="Times Roman" w:hAnsi="Times Roman" w:cs="Times Roman"/>
              </w:rPr>
            </w:pPr>
            <w:r w:rsidRPr="00A7353D">
              <w:rPr>
                <w:rFonts w:ascii="Times Roman" w:eastAsia="Times Roman" w:hAnsi="Times Roman" w:cs="Times Roman"/>
              </w:rPr>
              <w:t>0.00%</w:t>
            </w:r>
          </w:p>
        </w:tc>
      </w:tr>
    </w:tbl>
    <w:p w14:paraId="47535A3F" w14:textId="5463A6D2" w:rsidR="00E26D9C" w:rsidRPr="006E2D10" w:rsidRDefault="00184721" w:rsidP="007433A8">
      <w:pPr>
        <w:spacing w:before="71" w:line="261" w:lineRule="auto"/>
        <w:ind w:left="160" w:right="831"/>
        <w:rPr>
          <w:color w:val="231F20"/>
          <w:w w:val="110"/>
          <w:sz w:val="16"/>
        </w:rPr>
      </w:pPr>
      <w:r w:rsidRPr="006E2D10">
        <w:rPr>
          <w:color w:val="231F20"/>
          <w:w w:val="110"/>
          <w:sz w:val="16"/>
        </w:rPr>
        <w:t>The</w:t>
      </w:r>
      <w:r w:rsidRPr="006E2D10">
        <w:rPr>
          <w:color w:val="231F20"/>
          <w:spacing w:val="-10"/>
          <w:w w:val="110"/>
          <w:sz w:val="16"/>
        </w:rPr>
        <w:t xml:space="preserve"> </w:t>
      </w:r>
      <w:r w:rsidRPr="006E2D10">
        <w:rPr>
          <w:color w:val="231F20"/>
          <w:w w:val="110"/>
          <w:sz w:val="16"/>
        </w:rPr>
        <w:t>S</w:t>
      </w:r>
      <w:r w:rsidR="007433A8" w:rsidRPr="006E2D10">
        <w:rPr>
          <w:color w:val="231F20"/>
          <w:w w:val="110"/>
          <w:sz w:val="16"/>
        </w:rPr>
        <w:t>tatement of Additional Information (SAI) includes additional information about the Fund’s directors and is available, without charge, upon request, by calling 1-800-331-8936.</w:t>
      </w:r>
    </w:p>
    <w:p w14:paraId="258265ED" w14:textId="17EDC9EC" w:rsidR="007433A8" w:rsidRPr="006E2D10" w:rsidRDefault="00184721" w:rsidP="007433A8">
      <w:pPr>
        <w:spacing w:before="71" w:line="261" w:lineRule="auto"/>
        <w:ind w:left="160" w:right="409" w:hanging="1"/>
        <w:rPr>
          <w:color w:val="231F20"/>
          <w:w w:val="110"/>
          <w:sz w:val="16"/>
        </w:rPr>
      </w:pPr>
      <w:r w:rsidRPr="006E2D10">
        <w:rPr>
          <w:color w:val="231F20"/>
          <w:w w:val="110"/>
          <w:sz w:val="16"/>
        </w:rPr>
        <w:t>Th</w:t>
      </w:r>
      <w:r w:rsidR="007433A8" w:rsidRPr="006E2D10">
        <w:rPr>
          <w:color w:val="231F20"/>
          <w:w w:val="110"/>
          <w:sz w:val="16"/>
        </w:rPr>
        <w:t>e Fund files its complete schedule of portfolio holdings with the Commission for the first and third quarters of each fiscal year as an exhibit to its reports on Form N-PORT. The Funds’ Form N-PORT reports are available on the Commission’s website at http://www.sec.gov.</w:t>
      </w:r>
    </w:p>
    <w:p w14:paraId="740F7B7C" w14:textId="6A2856C3" w:rsidR="00E26D9C" w:rsidRPr="006E2D10" w:rsidRDefault="00184721" w:rsidP="007433A8">
      <w:pPr>
        <w:spacing w:before="71" w:line="261" w:lineRule="auto"/>
        <w:ind w:left="160" w:right="409" w:hanging="1"/>
        <w:rPr>
          <w:sz w:val="16"/>
        </w:rPr>
      </w:pPr>
      <w:r w:rsidRPr="006E2D10">
        <w:rPr>
          <w:color w:val="231F20"/>
          <w:w w:val="110"/>
          <w:sz w:val="16"/>
        </w:rPr>
        <w:t>A</w:t>
      </w:r>
      <w:r w:rsidRPr="006E2D10">
        <w:rPr>
          <w:color w:val="231F20"/>
          <w:spacing w:val="-8"/>
          <w:w w:val="110"/>
          <w:sz w:val="16"/>
        </w:rPr>
        <w:t xml:space="preserve"> </w:t>
      </w:r>
      <w:r w:rsidR="007433A8" w:rsidRPr="006E2D10">
        <w:rPr>
          <w:color w:val="231F20"/>
          <w:w w:val="110"/>
          <w:sz w:val="16"/>
        </w:rPr>
        <w:t>description of the policies and procedures that the Fund uses to determine how to vote proxies relating to portfolio securities is available without charge, upon request, by calling the Advisor at 1-800-331-8936 and on the Securities and Exchange Commission’s website at http://www.sec.gov.</w:t>
      </w:r>
    </w:p>
    <w:p w14:paraId="27B76CB1" w14:textId="77777777" w:rsidR="002A5C44" w:rsidRPr="006E2D10" w:rsidRDefault="00184721" w:rsidP="002A5C44">
      <w:pPr>
        <w:spacing w:before="71" w:line="261" w:lineRule="auto"/>
        <w:ind w:left="160" w:right="740"/>
        <w:rPr>
          <w:color w:val="231F20"/>
          <w:spacing w:val="-9"/>
          <w:w w:val="110"/>
          <w:sz w:val="16"/>
        </w:rPr>
      </w:pPr>
      <w:proofErr w:type="spellStart"/>
      <w:proofErr w:type="gramStart"/>
      <w:r w:rsidRPr="006E2D10">
        <w:rPr>
          <w:color w:val="231F20"/>
          <w:w w:val="110"/>
          <w:sz w:val="16"/>
        </w:rPr>
        <w:t>Information</w:t>
      </w:r>
      <w:r w:rsidR="002A5C44" w:rsidRPr="006E2D10">
        <w:rPr>
          <w:color w:val="231F20"/>
          <w:spacing w:val="-9"/>
          <w:w w:val="110"/>
          <w:sz w:val="16"/>
        </w:rPr>
        <w:t>egarding</w:t>
      </w:r>
      <w:proofErr w:type="spellEnd"/>
      <w:proofErr w:type="gramEnd"/>
      <w:r w:rsidR="002A5C44" w:rsidRPr="006E2D10">
        <w:rPr>
          <w:color w:val="231F20"/>
          <w:spacing w:val="-9"/>
          <w:w w:val="110"/>
          <w:sz w:val="16"/>
        </w:rPr>
        <w:t xml:space="preserve"> how the Fund voted proxies relating to portfolio securities during the most recent 12-month period </w:t>
      </w:r>
      <w:proofErr w:type="gramStart"/>
      <w:r w:rsidR="002A5C44" w:rsidRPr="006E2D10">
        <w:rPr>
          <w:color w:val="231F20"/>
          <w:spacing w:val="-9"/>
          <w:w w:val="110"/>
          <w:sz w:val="16"/>
        </w:rPr>
        <w:t>ended</w:t>
      </w:r>
      <w:proofErr w:type="gramEnd"/>
      <w:r w:rsidR="002A5C44" w:rsidRPr="006E2D10">
        <w:rPr>
          <w:color w:val="231F20"/>
          <w:spacing w:val="-9"/>
          <w:w w:val="110"/>
          <w:sz w:val="16"/>
        </w:rPr>
        <w:t xml:space="preserve"> June 30 is available without charge, upon request, by calling 1-800-331-8936 and on the Securities and Exchange Commission’s website at http://www.sec.gov. </w:t>
      </w:r>
    </w:p>
    <w:p w14:paraId="061BCB9A" w14:textId="32F9CF22" w:rsidR="00E26D9C" w:rsidRPr="006E2D10" w:rsidRDefault="00184721" w:rsidP="002A5C44">
      <w:pPr>
        <w:spacing w:before="71" w:line="261" w:lineRule="auto"/>
        <w:ind w:left="160" w:right="740"/>
        <w:rPr>
          <w:sz w:val="16"/>
        </w:rPr>
      </w:pPr>
      <w:r w:rsidRPr="006E2D10">
        <w:rPr>
          <w:color w:val="231F20"/>
          <w:w w:val="110"/>
          <w:sz w:val="16"/>
        </w:rPr>
        <w:t>Household</w:t>
      </w:r>
      <w:r w:rsidRPr="006E2D10">
        <w:rPr>
          <w:color w:val="231F20"/>
          <w:spacing w:val="-14"/>
          <w:w w:val="110"/>
          <w:sz w:val="16"/>
        </w:rPr>
        <w:t xml:space="preserve"> </w:t>
      </w:r>
      <w:r w:rsidR="002A5C44" w:rsidRPr="006E2D10">
        <w:rPr>
          <w:color w:val="231F20"/>
          <w:w w:val="110"/>
          <w:sz w:val="16"/>
        </w:rPr>
        <w:t>Delivery of Shareholder Documents: To reduce expenses, the Fund may mail only one copy of the Fund’s prospectus, SAI and each annual and semi-annual report to those addresses shared by two or more accounts. If you wish to receive individual copies of these documents, please call the Funds at 1-800-331-8936 or contact your financial institution. You will begin receiving individual copies thirty days after receiving your request.</w:t>
      </w:r>
    </w:p>
    <w:p w14:paraId="1F8090AA" w14:textId="4F3EB675" w:rsidR="00E26D9C" w:rsidRPr="00A7353D" w:rsidRDefault="00184721" w:rsidP="00A7353D">
      <w:pPr>
        <w:spacing w:before="69" w:line="261" w:lineRule="auto"/>
        <w:ind w:left="160" w:right="520"/>
        <w:rPr>
          <w:b/>
          <w:sz w:val="20"/>
          <w:lang w:val="de-DE"/>
        </w:rPr>
      </w:pPr>
      <w:r w:rsidRPr="006E2D10">
        <w:rPr>
          <w:color w:val="231F20"/>
          <w:w w:val="105"/>
          <w:sz w:val="16"/>
        </w:rPr>
        <w:t>Elect</w:t>
      </w:r>
      <w:r w:rsidR="002A5C44" w:rsidRPr="006E2D10">
        <w:rPr>
          <w:color w:val="231F20"/>
          <w:w w:val="105"/>
          <w:sz w:val="16"/>
        </w:rPr>
        <w:t>ronic Delivery of Shareholder Documents: You may choose to receive the Fund’s prospectus and annual and semi-annual reports electronically. To sign up for electronic delivery, visit www.icsdelivery.com and select the first letter of your brokerage firm’s name. Then, select your brokerage institution from the list that follows, fill out the appropriate information and provide an e-mail address where you would like your information sent. If your brokerage firm is not listed, electronic delivery may not be available. Please contact your brokerage firm or financial advisor.</w:t>
      </w:r>
      <w:r w:rsidR="00A7353D" w:rsidRPr="00A7353D">
        <w:rPr>
          <w:b/>
          <w:sz w:val="20"/>
          <w:lang w:val="de-DE"/>
        </w:rPr>
        <w:t xml:space="preserve"> </w:t>
      </w:r>
    </w:p>
    <w:sectPr w:rsidR="00E26D9C" w:rsidRPr="00A7353D" w:rsidSect="00A7353D">
      <w:headerReference w:type="even" r:id="rId8"/>
      <w:footerReference w:type="even" r:id="rId9"/>
      <w:pgSz w:w="7920" w:h="12240"/>
      <w:pgMar w:top="600" w:right="0" w:bottom="660" w:left="200" w:header="0" w:footer="460" w:gutter="0"/>
      <w:pgNumType w:start="4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02DA5" w14:textId="77777777" w:rsidR="005A7E6C" w:rsidRDefault="005A7E6C">
      <w:r>
        <w:separator/>
      </w:r>
    </w:p>
  </w:endnote>
  <w:endnote w:type="continuationSeparator" w:id="0">
    <w:p w14:paraId="4BB56B81" w14:textId="77777777" w:rsidR="005A7E6C" w:rsidRDefault="005A7E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Neue-BoldItalic">
    <w:altName w:val="Arial"/>
    <w:charset w:val="00"/>
    <w:family w:val="roman"/>
    <w:pitch w:val="variable"/>
  </w:font>
  <w:font w:name="Lucida Grande">
    <w:altName w:val="Segoe UI"/>
    <w:charset w:val="00"/>
    <w:family w:val="auto"/>
    <w:pitch w:val="variable"/>
    <w:sig w:usb0="E1000AEF" w:usb1="5000A1FF" w:usb2="00000000" w:usb3="00000000" w:csb0="000001BF" w:csb1="00000000"/>
  </w:font>
  <w:font w:name="ITC Giovanni Std Book">
    <w:altName w:val="Cambria"/>
    <w:panose1 w:val="00000000000000000000"/>
    <w:charset w:val="00"/>
    <w:family w:val="roman"/>
    <w:notTrueType/>
    <w:pitch w:val="default"/>
  </w:font>
  <w:font w:name="ITC Giovanni Std Bold">
    <w:altName w:val="Cambria"/>
    <w:panose1 w:val="00000000000000000000"/>
    <w:charset w:val="00"/>
    <w:family w:val="roman"/>
    <w:notTrueType/>
    <w:pitch w:val="default"/>
  </w:font>
  <w:font w:name="Times Roman">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ECB8C" w14:textId="77777777" w:rsidR="00E26D9C" w:rsidRDefault="00E26D9C">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D4A24" w14:textId="77777777" w:rsidR="005A7E6C" w:rsidRDefault="005A7E6C">
      <w:r>
        <w:separator/>
      </w:r>
    </w:p>
  </w:footnote>
  <w:footnote w:type="continuationSeparator" w:id="0">
    <w:p w14:paraId="5E602FC4" w14:textId="77777777" w:rsidR="005A7E6C" w:rsidRDefault="005A7E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20B49" w14:textId="77777777" w:rsidR="00E26D9C" w:rsidRDefault="00E26D9C">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61499"/>
    <w:multiLevelType w:val="hybridMultilevel"/>
    <w:tmpl w:val="9A34627E"/>
    <w:lvl w:ilvl="0" w:tplc="EC948A46">
      <w:numFmt w:val="bullet"/>
      <w:lvlText w:val="—"/>
      <w:lvlJc w:val="left"/>
      <w:pPr>
        <w:ind w:left="720" w:hanging="360"/>
      </w:pPr>
      <w:rPr>
        <w:rFonts w:ascii="Times New Roman" w:eastAsia="Times New Roman" w:hAnsi="Times New Roman" w:cs="Times New Roman" w:hint="default"/>
        <w:color w:val="231F20"/>
        <w:w w:val="105"/>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CB7DE1"/>
    <w:multiLevelType w:val="hybridMultilevel"/>
    <w:tmpl w:val="427AB966"/>
    <w:lvl w:ilvl="0" w:tplc="D8C6E3C2">
      <w:numFmt w:val="bullet"/>
      <w:lvlText w:val=""/>
      <w:lvlJc w:val="left"/>
      <w:pPr>
        <w:ind w:left="760" w:hanging="360"/>
      </w:pPr>
      <w:rPr>
        <w:rFonts w:ascii="Symbol" w:eastAsia="Times New Roman" w:hAnsi="Symbol" w:cs="Times New Roman" w:hint="default"/>
      </w:rPr>
    </w:lvl>
    <w:lvl w:ilvl="1" w:tplc="04090003" w:tentative="1">
      <w:start w:val="1"/>
      <w:numFmt w:val="bullet"/>
      <w:lvlText w:val="o"/>
      <w:lvlJc w:val="left"/>
      <w:pPr>
        <w:ind w:left="1480" w:hanging="360"/>
      </w:pPr>
      <w:rPr>
        <w:rFonts w:ascii="Courier New" w:hAnsi="Courier New" w:cs="Courier New" w:hint="default"/>
      </w:rPr>
    </w:lvl>
    <w:lvl w:ilvl="2" w:tplc="04090005" w:tentative="1">
      <w:start w:val="1"/>
      <w:numFmt w:val="bullet"/>
      <w:lvlText w:val=""/>
      <w:lvlJc w:val="left"/>
      <w:pPr>
        <w:ind w:left="2200" w:hanging="360"/>
      </w:pPr>
      <w:rPr>
        <w:rFonts w:ascii="Wingdings" w:hAnsi="Wingdings" w:hint="default"/>
      </w:rPr>
    </w:lvl>
    <w:lvl w:ilvl="3" w:tplc="04090001" w:tentative="1">
      <w:start w:val="1"/>
      <w:numFmt w:val="bullet"/>
      <w:lvlText w:val=""/>
      <w:lvlJc w:val="left"/>
      <w:pPr>
        <w:ind w:left="2920" w:hanging="360"/>
      </w:pPr>
      <w:rPr>
        <w:rFonts w:ascii="Symbol" w:hAnsi="Symbol" w:hint="default"/>
      </w:rPr>
    </w:lvl>
    <w:lvl w:ilvl="4" w:tplc="04090003" w:tentative="1">
      <w:start w:val="1"/>
      <w:numFmt w:val="bullet"/>
      <w:lvlText w:val="o"/>
      <w:lvlJc w:val="left"/>
      <w:pPr>
        <w:ind w:left="3640" w:hanging="360"/>
      </w:pPr>
      <w:rPr>
        <w:rFonts w:ascii="Courier New" w:hAnsi="Courier New" w:cs="Courier New" w:hint="default"/>
      </w:rPr>
    </w:lvl>
    <w:lvl w:ilvl="5" w:tplc="04090005" w:tentative="1">
      <w:start w:val="1"/>
      <w:numFmt w:val="bullet"/>
      <w:lvlText w:val=""/>
      <w:lvlJc w:val="left"/>
      <w:pPr>
        <w:ind w:left="4360" w:hanging="360"/>
      </w:pPr>
      <w:rPr>
        <w:rFonts w:ascii="Wingdings" w:hAnsi="Wingdings" w:hint="default"/>
      </w:rPr>
    </w:lvl>
    <w:lvl w:ilvl="6" w:tplc="04090001" w:tentative="1">
      <w:start w:val="1"/>
      <w:numFmt w:val="bullet"/>
      <w:lvlText w:val=""/>
      <w:lvlJc w:val="left"/>
      <w:pPr>
        <w:ind w:left="5080" w:hanging="360"/>
      </w:pPr>
      <w:rPr>
        <w:rFonts w:ascii="Symbol" w:hAnsi="Symbol" w:hint="default"/>
      </w:rPr>
    </w:lvl>
    <w:lvl w:ilvl="7" w:tplc="04090003" w:tentative="1">
      <w:start w:val="1"/>
      <w:numFmt w:val="bullet"/>
      <w:lvlText w:val="o"/>
      <w:lvlJc w:val="left"/>
      <w:pPr>
        <w:ind w:left="5800" w:hanging="360"/>
      </w:pPr>
      <w:rPr>
        <w:rFonts w:ascii="Courier New" w:hAnsi="Courier New" w:cs="Courier New" w:hint="default"/>
      </w:rPr>
    </w:lvl>
    <w:lvl w:ilvl="8" w:tplc="04090005" w:tentative="1">
      <w:start w:val="1"/>
      <w:numFmt w:val="bullet"/>
      <w:lvlText w:val=""/>
      <w:lvlJc w:val="left"/>
      <w:pPr>
        <w:ind w:left="6520" w:hanging="360"/>
      </w:pPr>
      <w:rPr>
        <w:rFonts w:ascii="Wingdings" w:hAnsi="Wingdings" w:hint="default"/>
      </w:rPr>
    </w:lvl>
  </w:abstractNum>
  <w:abstractNum w:abstractNumId="2" w15:restartNumberingAfterBreak="0">
    <w:nsid w:val="22AB3B26"/>
    <w:multiLevelType w:val="hybridMultilevel"/>
    <w:tmpl w:val="CE123510"/>
    <w:lvl w:ilvl="0" w:tplc="FD424FA8">
      <w:numFmt w:val="bullet"/>
      <w:lvlText w:val="•"/>
      <w:lvlJc w:val="left"/>
      <w:pPr>
        <w:ind w:left="430" w:hanging="270"/>
      </w:pPr>
      <w:rPr>
        <w:rFonts w:ascii="Times New Roman" w:eastAsia="Times New Roman" w:hAnsi="Times New Roman" w:cs="Times New Roman" w:hint="default"/>
        <w:b/>
        <w:bCs/>
        <w:color w:val="231F20"/>
        <w:w w:val="142"/>
        <w:sz w:val="20"/>
        <w:szCs w:val="20"/>
      </w:rPr>
    </w:lvl>
    <w:lvl w:ilvl="1" w:tplc="47946BD4">
      <w:numFmt w:val="bullet"/>
      <w:lvlText w:val="•"/>
      <w:lvlJc w:val="left"/>
      <w:pPr>
        <w:ind w:left="1168" w:hanging="270"/>
      </w:pPr>
      <w:rPr>
        <w:rFonts w:hint="default"/>
      </w:rPr>
    </w:lvl>
    <w:lvl w:ilvl="2" w:tplc="46D4AA64">
      <w:numFmt w:val="bullet"/>
      <w:lvlText w:val="•"/>
      <w:lvlJc w:val="left"/>
      <w:pPr>
        <w:ind w:left="1896" w:hanging="270"/>
      </w:pPr>
      <w:rPr>
        <w:rFonts w:hint="default"/>
      </w:rPr>
    </w:lvl>
    <w:lvl w:ilvl="3" w:tplc="27CC4AC6">
      <w:numFmt w:val="bullet"/>
      <w:lvlText w:val="•"/>
      <w:lvlJc w:val="left"/>
      <w:pPr>
        <w:ind w:left="2624" w:hanging="270"/>
      </w:pPr>
      <w:rPr>
        <w:rFonts w:hint="default"/>
      </w:rPr>
    </w:lvl>
    <w:lvl w:ilvl="4" w:tplc="FB8E2250">
      <w:numFmt w:val="bullet"/>
      <w:lvlText w:val="•"/>
      <w:lvlJc w:val="left"/>
      <w:pPr>
        <w:ind w:left="3352" w:hanging="270"/>
      </w:pPr>
      <w:rPr>
        <w:rFonts w:hint="default"/>
      </w:rPr>
    </w:lvl>
    <w:lvl w:ilvl="5" w:tplc="B8BECDDA">
      <w:numFmt w:val="bullet"/>
      <w:lvlText w:val="•"/>
      <w:lvlJc w:val="left"/>
      <w:pPr>
        <w:ind w:left="4080" w:hanging="270"/>
      </w:pPr>
      <w:rPr>
        <w:rFonts w:hint="default"/>
      </w:rPr>
    </w:lvl>
    <w:lvl w:ilvl="6" w:tplc="C7384D28">
      <w:numFmt w:val="bullet"/>
      <w:lvlText w:val="•"/>
      <w:lvlJc w:val="left"/>
      <w:pPr>
        <w:ind w:left="4808" w:hanging="270"/>
      </w:pPr>
      <w:rPr>
        <w:rFonts w:hint="default"/>
      </w:rPr>
    </w:lvl>
    <w:lvl w:ilvl="7" w:tplc="89ECBE64">
      <w:numFmt w:val="bullet"/>
      <w:lvlText w:val="•"/>
      <w:lvlJc w:val="left"/>
      <w:pPr>
        <w:ind w:left="5536" w:hanging="270"/>
      </w:pPr>
      <w:rPr>
        <w:rFonts w:hint="default"/>
      </w:rPr>
    </w:lvl>
    <w:lvl w:ilvl="8" w:tplc="B6AA4F20">
      <w:numFmt w:val="bullet"/>
      <w:lvlText w:val="•"/>
      <w:lvlJc w:val="left"/>
      <w:pPr>
        <w:ind w:left="6264" w:hanging="270"/>
      </w:pPr>
      <w:rPr>
        <w:rFonts w:hint="default"/>
      </w:rPr>
    </w:lvl>
  </w:abstractNum>
  <w:abstractNum w:abstractNumId="3" w15:restartNumberingAfterBreak="0">
    <w:nsid w:val="40BD613E"/>
    <w:multiLevelType w:val="hybridMultilevel"/>
    <w:tmpl w:val="817AC8C6"/>
    <w:lvl w:ilvl="0" w:tplc="E1A4DDCA">
      <w:start w:val="1"/>
      <w:numFmt w:val="decimal"/>
      <w:lvlText w:val="%1."/>
      <w:lvlJc w:val="left"/>
      <w:pPr>
        <w:ind w:left="400" w:hanging="240"/>
      </w:pPr>
      <w:rPr>
        <w:rFonts w:ascii="Times New Roman" w:eastAsia="Times New Roman" w:hAnsi="Times New Roman" w:cs="Times New Roman" w:hint="default"/>
        <w:b/>
        <w:bCs/>
        <w:color w:val="231F20"/>
        <w:w w:val="111"/>
        <w:sz w:val="18"/>
        <w:szCs w:val="18"/>
      </w:rPr>
    </w:lvl>
    <w:lvl w:ilvl="1" w:tplc="21D42B2C">
      <w:start w:val="1"/>
      <w:numFmt w:val="lowerLetter"/>
      <w:lvlText w:val="%2."/>
      <w:lvlJc w:val="left"/>
      <w:pPr>
        <w:ind w:left="599" w:hanging="200"/>
      </w:pPr>
      <w:rPr>
        <w:rFonts w:ascii="Times New Roman" w:eastAsia="Times New Roman" w:hAnsi="Times New Roman" w:cs="Times New Roman" w:hint="default"/>
        <w:color w:val="231F20"/>
        <w:w w:val="103"/>
        <w:sz w:val="18"/>
        <w:szCs w:val="18"/>
      </w:rPr>
    </w:lvl>
    <w:lvl w:ilvl="2" w:tplc="A85AFFDA">
      <w:numFmt w:val="bullet"/>
      <w:lvlText w:val="•"/>
      <w:lvlJc w:val="left"/>
      <w:pPr>
        <w:ind w:left="1391" w:hanging="200"/>
      </w:pPr>
      <w:rPr>
        <w:rFonts w:hint="default"/>
      </w:rPr>
    </w:lvl>
    <w:lvl w:ilvl="3" w:tplc="E6CA5BEC">
      <w:numFmt w:val="bullet"/>
      <w:lvlText w:val="•"/>
      <w:lvlJc w:val="left"/>
      <w:pPr>
        <w:ind w:left="2182" w:hanging="200"/>
      </w:pPr>
      <w:rPr>
        <w:rFonts w:hint="default"/>
      </w:rPr>
    </w:lvl>
    <w:lvl w:ilvl="4" w:tplc="C9FC7402">
      <w:numFmt w:val="bullet"/>
      <w:lvlText w:val="•"/>
      <w:lvlJc w:val="left"/>
      <w:pPr>
        <w:ind w:left="2973" w:hanging="200"/>
      </w:pPr>
      <w:rPr>
        <w:rFonts w:hint="default"/>
      </w:rPr>
    </w:lvl>
    <w:lvl w:ilvl="5" w:tplc="F4529E16">
      <w:numFmt w:val="bullet"/>
      <w:lvlText w:val="•"/>
      <w:lvlJc w:val="left"/>
      <w:pPr>
        <w:ind w:left="3764" w:hanging="200"/>
      </w:pPr>
      <w:rPr>
        <w:rFonts w:hint="default"/>
      </w:rPr>
    </w:lvl>
    <w:lvl w:ilvl="6" w:tplc="589601EE">
      <w:numFmt w:val="bullet"/>
      <w:lvlText w:val="•"/>
      <w:lvlJc w:val="left"/>
      <w:pPr>
        <w:ind w:left="4555" w:hanging="200"/>
      </w:pPr>
      <w:rPr>
        <w:rFonts w:hint="default"/>
      </w:rPr>
    </w:lvl>
    <w:lvl w:ilvl="7" w:tplc="63A8B064">
      <w:numFmt w:val="bullet"/>
      <w:lvlText w:val="•"/>
      <w:lvlJc w:val="left"/>
      <w:pPr>
        <w:ind w:left="5346" w:hanging="200"/>
      </w:pPr>
      <w:rPr>
        <w:rFonts w:hint="default"/>
      </w:rPr>
    </w:lvl>
    <w:lvl w:ilvl="8" w:tplc="6CC8C2A8">
      <w:numFmt w:val="bullet"/>
      <w:lvlText w:val="•"/>
      <w:lvlJc w:val="left"/>
      <w:pPr>
        <w:ind w:left="6137" w:hanging="200"/>
      </w:pPr>
      <w:rPr>
        <w:rFonts w:hint="default"/>
      </w:rPr>
    </w:lvl>
  </w:abstractNum>
  <w:abstractNum w:abstractNumId="4" w15:restartNumberingAfterBreak="0">
    <w:nsid w:val="4EFF61D6"/>
    <w:multiLevelType w:val="hybridMultilevel"/>
    <w:tmpl w:val="58F2D764"/>
    <w:lvl w:ilvl="0" w:tplc="C794F9A4">
      <w:numFmt w:val="bullet"/>
      <w:lvlText w:val="•"/>
      <w:lvlJc w:val="left"/>
      <w:pPr>
        <w:ind w:left="1472" w:hanging="137"/>
      </w:pPr>
      <w:rPr>
        <w:rFonts w:ascii="Times New Roman" w:eastAsia="Times New Roman" w:hAnsi="Times New Roman" w:cs="Times New Roman" w:hint="default"/>
        <w:color w:val="231F20"/>
        <w:w w:val="142"/>
        <w:sz w:val="18"/>
        <w:szCs w:val="18"/>
      </w:rPr>
    </w:lvl>
    <w:lvl w:ilvl="1" w:tplc="C47C66D6">
      <w:numFmt w:val="bullet"/>
      <w:lvlText w:val="•"/>
      <w:lvlJc w:val="left"/>
      <w:pPr>
        <w:ind w:left="2104" w:hanging="137"/>
      </w:pPr>
      <w:rPr>
        <w:rFonts w:hint="default"/>
      </w:rPr>
    </w:lvl>
    <w:lvl w:ilvl="2" w:tplc="A5205FA0">
      <w:numFmt w:val="bullet"/>
      <w:lvlText w:val="•"/>
      <w:lvlJc w:val="left"/>
      <w:pPr>
        <w:ind w:left="2728" w:hanging="137"/>
      </w:pPr>
      <w:rPr>
        <w:rFonts w:hint="default"/>
      </w:rPr>
    </w:lvl>
    <w:lvl w:ilvl="3" w:tplc="D0F6F3A6">
      <w:numFmt w:val="bullet"/>
      <w:lvlText w:val="•"/>
      <w:lvlJc w:val="left"/>
      <w:pPr>
        <w:ind w:left="3352" w:hanging="137"/>
      </w:pPr>
      <w:rPr>
        <w:rFonts w:hint="default"/>
      </w:rPr>
    </w:lvl>
    <w:lvl w:ilvl="4" w:tplc="ADA40F76">
      <w:numFmt w:val="bullet"/>
      <w:lvlText w:val="•"/>
      <w:lvlJc w:val="left"/>
      <w:pPr>
        <w:ind w:left="3976" w:hanging="137"/>
      </w:pPr>
      <w:rPr>
        <w:rFonts w:hint="default"/>
      </w:rPr>
    </w:lvl>
    <w:lvl w:ilvl="5" w:tplc="707845A4">
      <w:numFmt w:val="bullet"/>
      <w:lvlText w:val="•"/>
      <w:lvlJc w:val="left"/>
      <w:pPr>
        <w:ind w:left="4600" w:hanging="137"/>
      </w:pPr>
      <w:rPr>
        <w:rFonts w:hint="default"/>
      </w:rPr>
    </w:lvl>
    <w:lvl w:ilvl="6" w:tplc="3BF8F6CA">
      <w:numFmt w:val="bullet"/>
      <w:lvlText w:val="•"/>
      <w:lvlJc w:val="left"/>
      <w:pPr>
        <w:ind w:left="5224" w:hanging="137"/>
      </w:pPr>
      <w:rPr>
        <w:rFonts w:hint="default"/>
      </w:rPr>
    </w:lvl>
    <w:lvl w:ilvl="7" w:tplc="3B7C656A">
      <w:numFmt w:val="bullet"/>
      <w:lvlText w:val="•"/>
      <w:lvlJc w:val="left"/>
      <w:pPr>
        <w:ind w:left="5848" w:hanging="137"/>
      </w:pPr>
      <w:rPr>
        <w:rFonts w:hint="default"/>
      </w:rPr>
    </w:lvl>
    <w:lvl w:ilvl="8" w:tplc="0D1C4A1C">
      <w:numFmt w:val="bullet"/>
      <w:lvlText w:val="•"/>
      <w:lvlJc w:val="left"/>
      <w:pPr>
        <w:ind w:left="6472" w:hanging="137"/>
      </w:pPr>
      <w:rPr>
        <w:rFonts w:hint="default"/>
      </w:rPr>
    </w:lvl>
  </w:abstractNum>
  <w:abstractNum w:abstractNumId="5" w15:restartNumberingAfterBreak="0">
    <w:nsid w:val="60740F71"/>
    <w:multiLevelType w:val="hybridMultilevel"/>
    <w:tmpl w:val="5D3898DE"/>
    <w:lvl w:ilvl="0" w:tplc="D07CB4D8">
      <w:numFmt w:val="bullet"/>
      <w:lvlText w:val="—"/>
      <w:lvlJc w:val="left"/>
      <w:pPr>
        <w:ind w:left="720" w:hanging="360"/>
      </w:pPr>
      <w:rPr>
        <w:rFonts w:ascii="Times New Roman" w:eastAsia="Times New Roman" w:hAnsi="Times New Roman" w:cs="Times New Roman" w:hint="default"/>
        <w:color w:val="231F20"/>
        <w:w w:val="10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1746C1D"/>
    <w:multiLevelType w:val="hybridMultilevel"/>
    <w:tmpl w:val="5DB0BFA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6BC1335"/>
    <w:multiLevelType w:val="multilevel"/>
    <w:tmpl w:val="D550D4C0"/>
    <w:lvl w:ilvl="0">
      <w:start w:val="5"/>
      <w:numFmt w:val="lowerLetter"/>
      <w:lvlText w:val="%1"/>
      <w:lvlJc w:val="left"/>
      <w:pPr>
        <w:ind w:left="160" w:hanging="268"/>
      </w:pPr>
      <w:rPr>
        <w:rFonts w:hint="default"/>
      </w:rPr>
    </w:lvl>
    <w:lvl w:ilvl="1">
      <w:start w:val="13"/>
      <w:numFmt w:val="lowerLetter"/>
      <w:lvlText w:val="%1-%2"/>
      <w:lvlJc w:val="left"/>
      <w:pPr>
        <w:ind w:left="160" w:hanging="268"/>
      </w:pPr>
      <w:rPr>
        <w:rFonts w:ascii="Times New Roman" w:eastAsia="Times New Roman" w:hAnsi="Times New Roman" w:cs="Times New Roman" w:hint="default"/>
        <w:color w:val="231F20"/>
        <w:w w:val="100"/>
        <w:sz w:val="14"/>
        <w:szCs w:val="14"/>
      </w:rPr>
    </w:lvl>
    <w:lvl w:ilvl="2">
      <w:numFmt w:val="bullet"/>
      <w:lvlText w:val="•"/>
      <w:lvlJc w:val="left"/>
      <w:pPr>
        <w:ind w:left="600" w:hanging="200"/>
      </w:pPr>
      <w:rPr>
        <w:rFonts w:ascii="Times New Roman" w:eastAsia="Times New Roman" w:hAnsi="Times New Roman" w:cs="Times New Roman" w:hint="default"/>
        <w:color w:val="231F20"/>
        <w:w w:val="142"/>
        <w:sz w:val="16"/>
        <w:szCs w:val="16"/>
      </w:rPr>
    </w:lvl>
    <w:lvl w:ilvl="3">
      <w:numFmt w:val="bullet"/>
      <w:lvlText w:val="•"/>
      <w:lvlJc w:val="left"/>
      <w:pPr>
        <w:ind w:left="2182" w:hanging="200"/>
      </w:pPr>
      <w:rPr>
        <w:rFonts w:hint="default"/>
      </w:rPr>
    </w:lvl>
    <w:lvl w:ilvl="4">
      <w:numFmt w:val="bullet"/>
      <w:lvlText w:val="•"/>
      <w:lvlJc w:val="left"/>
      <w:pPr>
        <w:ind w:left="2973" w:hanging="200"/>
      </w:pPr>
      <w:rPr>
        <w:rFonts w:hint="default"/>
      </w:rPr>
    </w:lvl>
    <w:lvl w:ilvl="5">
      <w:numFmt w:val="bullet"/>
      <w:lvlText w:val="•"/>
      <w:lvlJc w:val="left"/>
      <w:pPr>
        <w:ind w:left="3764" w:hanging="200"/>
      </w:pPr>
      <w:rPr>
        <w:rFonts w:hint="default"/>
      </w:rPr>
    </w:lvl>
    <w:lvl w:ilvl="6">
      <w:numFmt w:val="bullet"/>
      <w:lvlText w:val="•"/>
      <w:lvlJc w:val="left"/>
      <w:pPr>
        <w:ind w:left="4555" w:hanging="200"/>
      </w:pPr>
      <w:rPr>
        <w:rFonts w:hint="default"/>
      </w:rPr>
    </w:lvl>
    <w:lvl w:ilvl="7">
      <w:numFmt w:val="bullet"/>
      <w:lvlText w:val="•"/>
      <w:lvlJc w:val="left"/>
      <w:pPr>
        <w:ind w:left="5346" w:hanging="200"/>
      </w:pPr>
      <w:rPr>
        <w:rFonts w:hint="default"/>
      </w:rPr>
    </w:lvl>
    <w:lvl w:ilvl="8">
      <w:numFmt w:val="bullet"/>
      <w:lvlText w:val="•"/>
      <w:lvlJc w:val="left"/>
      <w:pPr>
        <w:ind w:left="6137" w:hanging="200"/>
      </w:pPr>
      <w:rPr>
        <w:rFonts w:hint="default"/>
      </w:rPr>
    </w:lvl>
  </w:abstractNum>
  <w:num w:numId="1" w16cid:durableId="560210566">
    <w:abstractNumId w:val="2"/>
  </w:num>
  <w:num w:numId="2" w16cid:durableId="732243006">
    <w:abstractNumId w:val="7"/>
  </w:num>
  <w:num w:numId="3" w16cid:durableId="520054052">
    <w:abstractNumId w:val="4"/>
  </w:num>
  <w:num w:numId="4" w16cid:durableId="1408378660">
    <w:abstractNumId w:val="3"/>
  </w:num>
  <w:num w:numId="5" w16cid:durableId="1012493258">
    <w:abstractNumId w:val="0"/>
  </w:num>
  <w:num w:numId="6" w16cid:durableId="1844515496">
    <w:abstractNumId w:val="5"/>
  </w:num>
  <w:num w:numId="7" w16cid:durableId="100420308">
    <w:abstractNumId w:val="1"/>
  </w:num>
  <w:num w:numId="8" w16cid:durableId="15794418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D9C"/>
    <w:rsid w:val="00006E54"/>
    <w:rsid w:val="000329DF"/>
    <w:rsid w:val="00044159"/>
    <w:rsid w:val="0005021A"/>
    <w:rsid w:val="00053AB7"/>
    <w:rsid w:val="000660B6"/>
    <w:rsid w:val="00067635"/>
    <w:rsid w:val="00077B5E"/>
    <w:rsid w:val="0008030D"/>
    <w:rsid w:val="00091727"/>
    <w:rsid w:val="000E5CF0"/>
    <w:rsid w:val="001062DC"/>
    <w:rsid w:val="00111722"/>
    <w:rsid w:val="00112B14"/>
    <w:rsid w:val="0011350A"/>
    <w:rsid w:val="00141A7D"/>
    <w:rsid w:val="00142DBD"/>
    <w:rsid w:val="00165707"/>
    <w:rsid w:val="00184721"/>
    <w:rsid w:val="00186CBA"/>
    <w:rsid w:val="001A3BAE"/>
    <w:rsid w:val="001A4F9F"/>
    <w:rsid w:val="001B11AC"/>
    <w:rsid w:val="001B3FB1"/>
    <w:rsid w:val="001D0ECA"/>
    <w:rsid w:val="001D610A"/>
    <w:rsid w:val="001E505E"/>
    <w:rsid w:val="001F40F5"/>
    <w:rsid w:val="002303A8"/>
    <w:rsid w:val="0024201E"/>
    <w:rsid w:val="00246326"/>
    <w:rsid w:val="0026522A"/>
    <w:rsid w:val="00272D60"/>
    <w:rsid w:val="00281C1C"/>
    <w:rsid w:val="002844B0"/>
    <w:rsid w:val="00295B8E"/>
    <w:rsid w:val="002A04EC"/>
    <w:rsid w:val="002A5C44"/>
    <w:rsid w:val="002B34A2"/>
    <w:rsid w:val="002C57D8"/>
    <w:rsid w:val="002E3183"/>
    <w:rsid w:val="002F1149"/>
    <w:rsid w:val="002F33DC"/>
    <w:rsid w:val="00324A6A"/>
    <w:rsid w:val="00333797"/>
    <w:rsid w:val="00342255"/>
    <w:rsid w:val="00352EF8"/>
    <w:rsid w:val="00362EF5"/>
    <w:rsid w:val="00384DD2"/>
    <w:rsid w:val="0038725B"/>
    <w:rsid w:val="00391A68"/>
    <w:rsid w:val="003A4E1D"/>
    <w:rsid w:val="003A4FA3"/>
    <w:rsid w:val="003C4F52"/>
    <w:rsid w:val="003E2931"/>
    <w:rsid w:val="003F0E9B"/>
    <w:rsid w:val="003F607D"/>
    <w:rsid w:val="0040667D"/>
    <w:rsid w:val="0042067A"/>
    <w:rsid w:val="00425718"/>
    <w:rsid w:val="004265D7"/>
    <w:rsid w:val="00473954"/>
    <w:rsid w:val="00486323"/>
    <w:rsid w:val="00493878"/>
    <w:rsid w:val="004C4999"/>
    <w:rsid w:val="004E606D"/>
    <w:rsid w:val="004F1FFD"/>
    <w:rsid w:val="005037BF"/>
    <w:rsid w:val="00535149"/>
    <w:rsid w:val="005430D3"/>
    <w:rsid w:val="00547404"/>
    <w:rsid w:val="00556615"/>
    <w:rsid w:val="00563E05"/>
    <w:rsid w:val="005826EF"/>
    <w:rsid w:val="005956A2"/>
    <w:rsid w:val="00597C11"/>
    <w:rsid w:val="005A7E6C"/>
    <w:rsid w:val="005F3D95"/>
    <w:rsid w:val="005F4008"/>
    <w:rsid w:val="005F682F"/>
    <w:rsid w:val="005F6969"/>
    <w:rsid w:val="0063330B"/>
    <w:rsid w:val="00690431"/>
    <w:rsid w:val="00691F6A"/>
    <w:rsid w:val="006A4C88"/>
    <w:rsid w:val="006A7002"/>
    <w:rsid w:val="006B3D69"/>
    <w:rsid w:val="006D0DBA"/>
    <w:rsid w:val="006D2828"/>
    <w:rsid w:val="006E2D10"/>
    <w:rsid w:val="006E4B8F"/>
    <w:rsid w:val="006F1089"/>
    <w:rsid w:val="006F351F"/>
    <w:rsid w:val="006F7778"/>
    <w:rsid w:val="00705F10"/>
    <w:rsid w:val="007133E5"/>
    <w:rsid w:val="00722111"/>
    <w:rsid w:val="00724D3B"/>
    <w:rsid w:val="00727C8C"/>
    <w:rsid w:val="007433A8"/>
    <w:rsid w:val="00744679"/>
    <w:rsid w:val="007A5B01"/>
    <w:rsid w:val="007C2D46"/>
    <w:rsid w:val="007C5194"/>
    <w:rsid w:val="007D02FD"/>
    <w:rsid w:val="007D397E"/>
    <w:rsid w:val="007D7662"/>
    <w:rsid w:val="00816B0E"/>
    <w:rsid w:val="00821519"/>
    <w:rsid w:val="008331AA"/>
    <w:rsid w:val="00835104"/>
    <w:rsid w:val="008426C5"/>
    <w:rsid w:val="00866F6C"/>
    <w:rsid w:val="008B777B"/>
    <w:rsid w:val="008F002A"/>
    <w:rsid w:val="009209EA"/>
    <w:rsid w:val="00937774"/>
    <w:rsid w:val="00956282"/>
    <w:rsid w:val="0096103F"/>
    <w:rsid w:val="00967507"/>
    <w:rsid w:val="0097034A"/>
    <w:rsid w:val="00985046"/>
    <w:rsid w:val="009874C6"/>
    <w:rsid w:val="0099483D"/>
    <w:rsid w:val="009A590D"/>
    <w:rsid w:val="009B0593"/>
    <w:rsid w:val="009B17F7"/>
    <w:rsid w:val="009B47A4"/>
    <w:rsid w:val="009C0376"/>
    <w:rsid w:val="009C6D82"/>
    <w:rsid w:val="009C7930"/>
    <w:rsid w:val="009D5D8D"/>
    <w:rsid w:val="009D765B"/>
    <w:rsid w:val="009E0670"/>
    <w:rsid w:val="009F3952"/>
    <w:rsid w:val="009F5CCB"/>
    <w:rsid w:val="00A01BBC"/>
    <w:rsid w:val="00A16D43"/>
    <w:rsid w:val="00A33C8D"/>
    <w:rsid w:val="00A34BC5"/>
    <w:rsid w:val="00A41FB8"/>
    <w:rsid w:val="00A53951"/>
    <w:rsid w:val="00A5799B"/>
    <w:rsid w:val="00A733AA"/>
    <w:rsid w:val="00A7353D"/>
    <w:rsid w:val="00A76F1D"/>
    <w:rsid w:val="00AE3FAC"/>
    <w:rsid w:val="00B0416B"/>
    <w:rsid w:val="00B04582"/>
    <w:rsid w:val="00B101CE"/>
    <w:rsid w:val="00B113D0"/>
    <w:rsid w:val="00B25C85"/>
    <w:rsid w:val="00B31F64"/>
    <w:rsid w:val="00B329C6"/>
    <w:rsid w:val="00B33E6C"/>
    <w:rsid w:val="00B41E9D"/>
    <w:rsid w:val="00B55F46"/>
    <w:rsid w:val="00B6339C"/>
    <w:rsid w:val="00B66A96"/>
    <w:rsid w:val="00B66E2F"/>
    <w:rsid w:val="00B700C8"/>
    <w:rsid w:val="00B84DC7"/>
    <w:rsid w:val="00BA49A0"/>
    <w:rsid w:val="00BD5DC0"/>
    <w:rsid w:val="00BD5DCC"/>
    <w:rsid w:val="00BE5E6D"/>
    <w:rsid w:val="00C03F23"/>
    <w:rsid w:val="00C0497A"/>
    <w:rsid w:val="00C1365B"/>
    <w:rsid w:val="00C1738A"/>
    <w:rsid w:val="00C21919"/>
    <w:rsid w:val="00C226CE"/>
    <w:rsid w:val="00C60DAE"/>
    <w:rsid w:val="00C70FC7"/>
    <w:rsid w:val="00C74065"/>
    <w:rsid w:val="00C90DC0"/>
    <w:rsid w:val="00CA2D54"/>
    <w:rsid w:val="00CB4DE4"/>
    <w:rsid w:val="00CC2B93"/>
    <w:rsid w:val="00CC3BCD"/>
    <w:rsid w:val="00CF2FA8"/>
    <w:rsid w:val="00CF66AA"/>
    <w:rsid w:val="00D242B8"/>
    <w:rsid w:val="00D27236"/>
    <w:rsid w:val="00D7397F"/>
    <w:rsid w:val="00D8499F"/>
    <w:rsid w:val="00D962EA"/>
    <w:rsid w:val="00DB11C4"/>
    <w:rsid w:val="00DC62F9"/>
    <w:rsid w:val="00DE38E2"/>
    <w:rsid w:val="00DE468C"/>
    <w:rsid w:val="00E027EF"/>
    <w:rsid w:val="00E06A6D"/>
    <w:rsid w:val="00E119C0"/>
    <w:rsid w:val="00E1415B"/>
    <w:rsid w:val="00E1595A"/>
    <w:rsid w:val="00E17884"/>
    <w:rsid w:val="00E26D9C"/>
    <w:rsid w:val="00E575C2"/>
    <w:rsid w:val="00E90958"/>
    <w:rsid w:val="00EA025F"/>
    <w:rsid w:val="00EB2314"/>
    <w:rsid w:val="00EC5528"/>
    <w:rsid w:val="00ED7B2C"/>
    <w:rsid w:val="00EE0C15"/>
    <w:rsid w:val="00EF20F7"/>
    <w:rsid w:val="00EF337E"/>
    <w:rsid w:val="00F2538D"/>
    <w:rsid w:val="00F45703"/>
    <w:rsid w:val="00F5082C"/>
    <w:rsid w:val="00F51021"/>
    <w:rsid w:val="00F51491"/>
    <w:rsid w:val="00F517E0"/>
    <w:rsid w:val="00F64C2E"/>
    <w:rsid w:val="00F94C37"/>
    <w:rsid w:val="00F97B9F"/>
    <w:rsid w:val="00FA3F30"/>
    <w:rsid w:val="00FC2E84"/>
    <w:rsid w:val="00FD47D1"/>
    <w:rsid w:val="00FE4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6AE57BB"/>
  <w15:chartTrackingRefBased/>
  <w15:docId w15:val="{33ACAFFB-5528-4C28-8370-70056EB56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ascii="Times New Roman" w:eastAsia="Times New Roman" w:hAnsi="Times New Roman"/>
      <w:sz w:val="22"/>
      <w:szCs w:val="22"/>
    </w:rPr>
  </w:style>
  <w:style w:type="paragraph" w:styleId="Heading1">
    <w:name w:val="heading 1"/>
    <w:basedOn w:val="Normal"/>
    <w:uiPriority w:val="1"/>
    <w:qFormat/>
    <w:pPr>
      <w:spacing w:before="98"/>
      <w:ind w:left="89"/>
      <w:outlineLvl w:val="0"/>
    </w:pPr>
    <w:rPr>
      <w:b/>
      <w:bCs/>
      <w:sz w:val="24"/>
      <w:szCs w:val="24"/>
    </w:rPr>
  </w:style>
  <w:style w:type="paragraph" w:styleId="Heading2">
    <w:name w:val="heading 2"/>
    <w:basedOn w:val="Normal"/>
    <w:uiPriority w:val="1"/>
    <w:qFormat/>
    <w:pPr>
      <w:spacing w:before="40"/>
      <w:ind w:left="20"/>
      <w:outlineLvl w:val="1"/>
    </w:pPr>
    <w:rPr>
      <w:rFonts w:ascii="HelveticaNeue-BoldItalic" w:eastAsia="HelveticaNeue-BoldItalic" w:hAnsi="HelveticaNeue-BoldItalic" w:cs="HelveticaNeue-BoldItalic"/>
      <w:b/>
      <w:bCs/>
      <w:i/>
      <w:sz w:val="24"/>
      <w:szCs w:val="24"/>
    </w:rPr>
  </w:style>
  <w:style w:type="paragraph" w:styleId="Heading3">
    <w:name w:val="heading 3"/>
    <w:basedOn w:val="Normal"/>
    <w:uiPriority w:val="1"/>
    <w:qFormat/>
    <w:pPr>
      <w:spacing w:before="146"/>
      <w:ind w:left="400" w:hanging="240"/>
      <w:outlineLvl w:val="2"/>
    </w:pPr>
    <w:rPr>
      <w:b/>
      <w:bCs/>
      <w:sz w:val="18"/>
      <w:szCs w:val="18"/>
    </w:rPr>
  </w:style>
  <w:style w:type="paragraph" w:styleId="Heading4">
    <w:name w:val="heading 4"/>
    <w:basedOn w:val="Normal"/>
    <w:uiPriority w:val="1"/>
    <w:qFormat/>
    <w:pPr>
      <w:spacing w:before="38"/>
      <w:ind w:left="89"/>
      <w:outlineLvl w:val="3"/>
    </w:pPr>
    <w:rPr>
      <w:rFonts w:ascii="HelveticaNeue-BoldItalic" w:eastAsia="HelveticaNeue-BoldItalic" w:hAnsi="HelveticaNeue-BoldItalic" w:cs="HelveticaNeue-BoldItalic"/>
      <w:b/>
      <w:bCs/>
      <w:i/>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37"/>
      <w:ind w:left="160"/>
    </w:pPr>
    <w:rPr>
      <w:b/>
      <w:bCs/>
      <w:sz w:val="24"/>
      <w:szCs w:val="24"/>
    </w:rPr>
  </w:style>
  <w:style w:type="paragraph" w:styleId="TOC2">
    <w:name w:val="toc 2"/>
    <w:basedOn w:val="Normal"/>
    <w:uiPriority w:val="1"/>
    <w:qFormat/>
    <w:pPr>
      <w:spacing w:before="13"/>
      <w:ind w:left="160"/>
    </w:pPr>
    <w:rPr>
      <w:sz w:val="18"/>
      <w:szCs w:val="18"/>
    </w:rPr>
  </w:style>
  <w:style w:type="paragraph" w:styleId="TOC3">
    <w:name w:val="toc 3"/>
    <w:basedOn w:val="Normal"/>
    <w:uiPriority w:val="1"/>
    <w:qFormat/>
    <w:pPr>
      <w:ind w:left="160"/>
    </w:pPr>
    <w:rPr>
      <w:i/>
      <w:sz w:val="18"/>
      <w:szCs w:val="18"/>
    </w:rPr>
  </w:style>
  <w:style w:type="paragraph" w:styleId="BodyText">
    <w:name w:val="Body Text"/>
    <w:basedOn w:val="Normal"/>
    <w:uiPriority w:val="1"/>
    <w:qFormat/>
    <w:rPr>
      <w:sz w:val="18"/>
      <w:szCs w:val="18"/>
    </w:rPr>
  </w:style>
  <w:style w:type="paragraph" w:customStyle="1" w:styleId="ColorfulList-Accent11">
    <w:name w:val="Colorful List - Accent 11"/>
    <w:basedOn w:val="Normal"/>
    <w:uiPriority w:val="1"/>
    <w:qFormat/>
    <w:pPr>
      <w:spacing w:before="146"/>
      <w:ind w:left="400" w:hanging="24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E027EF"/>
    <w:rPr>
      <w:rFonts w:ascii="Lucida Grande" w:hAnsi="Lucida Grande" w:cs="Lucida Grande"/>
      <w:sz w:val="18"/>
      <w:szCs w:val="18"/>
    </w:rPr>
  </w:style>
  <w:style w:type="character" w:customStyle="1" w:styleId="BalloonTextChar">
    <w:name w:val="Balloon Text Char"/>
    <w:link w:val="BalloonText"/>
    <w:uiPriority w:val="99"/>
    <w:semiHidden/>
    <w:rsid w:val="00E027EF"/>
    <w:rPr>
      <w:rFonts w:ascii="Lucida Grande" w:eastAsia="Times New Roman" w:hAnsi="Lucida Grande" w:cs="Lucida Grande"/>
      <w:sz w:val="18"/>
      <w:szCs w:val="18"/>
    </w:rPr>
  </w:style>
  <w:style w:type="paragraph" w:styleId="Header">
    <w:name w:val="header"/>
    <w:basedOn w:val="Normal"/>
    <w:link w:val="HeaderChar"/>
    <w:uiPriority w:val="99"/>
    <w:unhideWhenUsed/>
    <w:rsid w:val="001E505E"/>
    <w:pPr>
      <w:tabs>
        <w:tab w:val="center" w:pos="4680"/>
        <w:tab w:val="right" w:pos="9360"/>
      </w:tabs>
    </w:pPr>
  </w:style>
  <w:style w:type="character" w:customStyle="1" w:styleId="HeaderChar">
    <w:name w:val="Header Char"/>
    <w:link w:val="Header"/>
    <w:uiPriority w:val="99"/>
    <w:rsid w:val="001E505E"/>
    <w:rPr>
      <w:rFonts w:ascii="Times New Roman" w:eastAsia="Times New Roman" w:hAnsi="Times New Roman"/>
      <w:sz w:val="22"/>
      <w:szCs w:val="22"/>
    </w:rPr>
  </w:style>
  <w:style w:type="paragraph" w:styleId="Footer">
    <w:name w:val="footer"/>
    <w:basedOn w:val="Normal"/>
    <w:link w:val="FooterChar"/>
    <w:uiPriority w:val="99"/>
    <w:unhideWhenUsed/>
    <w:rsid w:val="001E505E"/>
    <w:pPr>
      <w:tabs>
        <w:tab w:val="center" w:pos="4680"/>
        <w:tab w:val="right" w:pos="9360"/>
      </w:tabs>
    </w:pPr>
  </w:style>
  <w:style w:type="character" w:customStyle="1" w:styleId="FooterChar">
    <w:name w:val="Footer Char"/>
    <w:link w:val="Footer"/>
    <w:uiPriority w:val="99"/>
    <w:rsid w:val="001E505E"/>
    <w:rPr>
      <w:rFonts w:ascii="Times New Roman" w:eastAsia="Times New Roman" w:hAnsi="Times New Roman"/>
      <w:sz w:val="22"/>
      <w:szCs w:val="22"/>
    </w:rPr>
  </w:style>
  <w:style w:type="character" w:styleId="CommentReference">
    <w:name w:val="annotation reference"/>
    <w:uiPriority w:val="99"/>
    <w:semiHidden/>
    <w:unhideWhenUsed/>
    <w:rsid w:val="001E505E"/>
    <w:rPr>
      <w:sz w:val="16"/>
      <w:szCs w:val="16"/>
    </w:rPr>
  </w:style>
  <w:style w:type="paragraph" w:styleId="CommentText">
    <w:name w:val="annotation text"/>
    <w:basedOn w:val="Normal"/>
    <w:link w:val="CommentTextChar"/>
    <w:uiPriority w:val="99"/>
    <w:unhideWhenUsed/>
    <w:rsid w:val="001E505E"/>
    <w:rPr>
      <w:sz w:val="20"/>
      <w:szCs w:val="20"/>
    </w:rPr>
  </w:style>
  <w:style w:type="character" w:customStyle="1" w:styleId="CommentTextChar">
    <w:name w:val="Comment Text Char"/>
    <w:link w:val="CommentText"/>
    <w:uiPriority w:val="99"/>
    <w:rsid w:val="001E505E"/>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1E505E"/>
    <w:rPr>
      <w:b/>
      <w:bCs/>
    </w:rPr>
  </w:style>
  <w:style w:type="character" w:customStyle="1" w:styleId="CommentSubjectChar">
    <w:name w:val="Comment Subject Char"/>
    <w:link w:val="CommentSubject"/>
    <w:uiPriority w:val="99"/>
    <w:semiHidden/>
    <w:rsid w:val="001E505E"/>
    <w:rPr>
      <w:rFonts w:ascii="Times New Roman" w:eastAsia="Times New Roman" w:hAnsi="Times New Roman"/>
      <w:b/>
      <w:bCs/>
    </w:rPr>
  </w:style>
  <w:style w:type="table" w:styleId="TableGrid">
    <w:name w:val="Table Grid"/>
    <w:basedOn w:val="TableNormal"/>
    <w:uiPriority w:val="39"/>
    <w:rsid w:val="00722111"/>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72"/>
    <w:qFormat/>
    <w:rsid w:val="00D7397F"/>
    <w:pPr>
      <w:ind w:left="720"/>
      <w:contextualSpacing/>
    </w:pPr>
  </w:style>
  <w:style w:type="paragraph" w:customStyle="1" w:styleId="Notes">
    <w:name w:val="Notes"/>
    <w:qFormat/>
    <w:rsid w:val="00F64C2E"/>
    <w:pPr>
      <w:tabs>
        <w:tab w:val="left" w:pos="240"/>
        <w:tab w:val="left" w:pos="440"/>
      </w:tabs>
      <w:suppressAutoHyphens/>
      <w:spacing w:after="72" w:line="220" w:lineRule="exact"/>
    </w:pPr>
    <w:rPr>
      <w:rFonts w:ascii="ITC Giovanni Std Book" w:eastAsia="ITC Giovanni Std Book" w:hAnsi="ITC Giovanni Std Book" w:cs="ITC Giovanni Std Book"/>
      <w:color w:val="262526"/>
      <w:sz w:val="18"/>
      <w:lang w:bidi="en-US"/>
    </w:rPr>
  </w:style>
  <w:style w:type="paragraph" w:customStyle="1" w:styleId="Notes-Heading">
    <w:name w:val="Notes-Heading"/>
    <w:basedOn w:val="Notes"/>
    <w:qFormat/>
    <w:rsid w:val="00F64C2E"/>
    <w:pPr>
      <w:spacing w:before="72" w:after="53"/>
    </w:pPr>
    <w:rPr>
      <w:rFonts w:ascii="ITC Giovanni Std Bold" w:eastAsia="ITC Giovanni Std Bold" w:hAnsi="ITC Giovanni Std Bold" w:cs="ITC Giovanni Std Bold"/>
    </w:rPr>
  </w:style>
  <w:style w:type="character" w:styleId="Hyperlink">
    <w:name w:val="Hyperlink"/>
    <w:basedOn w:val="DefaultParagraphFont"/>
    <w:uiPriority w:val="99"/>
    <w:unhideWhenUsed/>
    <w:rsid w:val="007433A8"/>
    <w:rPr>
      <w:color w:val="0563C1" w:themeColor="hyperlink"/>
      <w:u w:val="single"/>
    </w:rPr>
  </w:style>
  <w:style w:type="character" w:styleId="UnresolvedMention">
    <w:name w:val="Unresolved Mention"/>
    <w:basedOn w:val="DefaultParagraphFont"/>
    <w:uiPriority w:val="99"/>
    <w:semiHidden/>
    <w:unhideWhenUsed/>
    <w:rsid w:val="007433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1259631">
      <w:bodyDiv w:val="1"/>
      <w:marLeft w:val="0"/>
      <w:marRight w:val="0"/>
      <w:marTop w:val="0"/>
      <w:marBottom w:val="0"/>
      <w:divBdr>
        <w:top w:val="none" w:sz="0" w:space="0" w:color="auto"/>
        <w:left w:val="none" w:sz="0" w:space="0" w:color="auto"/>
        <w:bottom w:val="none" w:sz="0" w:space="0" w:color="auto"/>
        <w:right w:val="none" w:sz="0" w:space="0" w:color="auto"/>
      </w:divBdr>
      <w:divsChild>
        <w:div w:id="392700846">
          <w:marLeft w:val="0"/>
          <w:marRight w:val="0"/>
          <w:marTop w:val="140"/>
          <w:marBottom w:val="0"/>
          <w:divBdr>
            <w:top w:val="none" w:sz="0" w:space="0" w:color="auto"/>
            <w:left w:val="none" w:sz="0" w:space="0" w:color="auto"/>
            <w:bottom w:val="none" w:sz="0" w:space="0" w:color="auto"/>
            <w:right w:val="none" w:sz="0" w:space="0" w:color="auto"/>
          </w:divBdr>
        </w:div>
        <w:div w:id="1861313131">
          <w:marLeft w:val="0"/>
          <w:marRight w:val="0"/>
          <w:marTop w:val="140"/>
          <w:marBottom w:val="200"/>
          <w:divBdr>
            <w:top w:val="none" w:sz="0" w:space="0" w:color="auto"/>
            <w:left w:val="none" w:sz="0" w:space="0" w:color="auto"/>
            <w:bottom w:val="none" w:sz="0" w:space="0" w:color="auto"/>
            <w:right w:val="none" w:sz="0" w:space="0" w:color="auto"/>
          </w:divBdr>
        </w:div>
      </w:divsChild>
    </w:div>
  </w:divs>
  <w:pixelsPerInch w:val="72"/>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806278-283F-4A3B-AC28-470567CEF6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Pages>
  <Words>462</Words>
  <Characters>2639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PF-Annual</vt:lpstr>
    </vt:vector>
  </TitlesOfParts>
  <Company>Dixon MRD &amp; Co.</Company>
  <LinksUpToDate>false</LinksUpToDate>
  <CharactersWithSpaces>3095</CharactersWithSpaces>
  <SharedDoc>false</SharedDoc>
  <HLinks>
    <vt:vector size="36" baseType="variant">
      <vt:variant>
        <vt:i4>3866670</vt:i4>
      </vt:variant>
      <vt:variant>
        <vt:i4>33</vt:i4>
      </vt:variant>
      <vt:variant>
        <vt:i4>0</vt:i4>
      </vt:variant>
      <vt:variant>
        <vt:i4>5</vt:i4>
      </vt:variant>
      <vt:variant>
        <vt:lpwstr>http://www.perrittcap.com/</vt:lpwstr>
      </vt:variant>
      <vt:variant>
        <vt:lpwstr/>
      </vt:variant>
      <vt:variant>
        <vt:i4>5439604</vt:i4>
      </vt:variant>
      <vt:variant>
        <vt:i4>30</vt:i4>
      </vt:variant>
      <vt:variant>
        <vt:i4>0</vt:i4>
      </vt:variant>
      <vt:variant>
        <vt:i4>5</vt:i4>
      </vt:variant>
      <vt:variant>
        <vt:lpwstr>mailto:info@PerrittCap.com</vt:lpwstr>
      </vt:variant>
      <vt:variant>
        <vt:lpwstr/>
      </vt:variant>
      <vt:variant>
        <vt:i4>3080318</vt:i4>
      </vt:variant>
      <vt:variant>
        <vt:i4>24</vt:i4>
      </vt:variant>
      <vt:variant>
        <vt:i4>0</vt:i4>
      </vt:variant>
      <vt:variant>
        <vt:i4>5</vt:i4>
      </vt:variant>
      <vt:variant>
        <vt:lpwstr>http://www.icsdelivery.com/</vt:lpwstr>
      </vt:variant>
      <vt:variant>
        <vt:lpwstr/>
      </vt:variant>
      <vt:variant>
        <vt:i4>2752628</vt:i4>
      </vt:variant>
      <vt:variant>
        <vt:i4>21</vt:i4>
      </vt:variant>
      <vt:variant>
        <vt:i4>0</vt:i4>
      </vt:variant>
      <vt:variant>
        <vt:i4>5</vt:i4>
      </vt:variant>
      <vt:variant>
        <vt:lpwstr>http://www.sec.gov/</vt:lpwstr>
      </vt:variant>
      <vt:variant>
        <vt:lpwstr/>
      </vt:variant>
      <vt:variant>
        <vt:i4>2752628</vt:i4>
      </vt:variant>
      <vt:variant>
        <vt:i4>18</vt:i4>
      </vt:variant>
      <vt:variant>
        <vt:i4>0</vt:i4>
      </vt:variant>
      <vt:variant>
        <vt:i4>5</vt:i4>
      </vt:variant>
      <vt:variant>
        <vt:lpwstr>http://www.sec.gov/</vt:lpwstr>
      </vt:variant>
      <vt:variant>
        <vt:lpwstr/>
      </vt:variant>
      <vt:variant>
        <vt:i4>2752628</vt:i4>
      </vt:variant>
      <vt:variant>
        <vt:i4>15</vt:i4>
      </vt:variant>
      <vt:variant>
        <vt:i4>0</vt:i4>
      </vt:variant>
      <vt:variant>
        <vt:i4>5</vt:i4>
      </vt:variant>
      <vt:variant>
        <vt:lpwstr>http://www.sec.gov/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PF-Annual</dc:title>
  <dc:subject/>
  <dc:creator>Bria Rohlinger</dc:creator>
  <cp:keywords/>
  <cp:lastModifiedBy>xbrl six</cp:lastModifiedBy>
  <cp:revision>8</cp:revision>
  <dcterms:created xsi:type="dcterms:W3CDTF">2025-12-05T20:11:00Z</dcterms:created>
  <dcterms:modified xsi:type="dcterms:W3CDTF">2025-12-22T22:26:00Z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2020-12-18T00:00:00Z</vt:filetime>
  </property>
  <property fmtid="{D5CDD505-2E9C-101B-9397-08002B2CF9AE}" pid="3" name="Creator">
    <vt:lpwstr>QuarkXPress(R) 11.2r6</vt:lpwstr>
  </property>
  <property fmtid="{D5CDD505-2E9C-101B-9397-08002B2CF9AE}" pid="4" name="LastSaved">
    <vt:filetime>2021-05-11T00:00:00Z</vt:filetime>
  </property>
  <property fmtid="{D5CDD505-2E9C-101B-9397-08002B2CF9AE}" pid="5" name="MSIP_Label_320df1db-9955-4087-a541-42c2f5a9332e_Enabled">
    <vt:lpwstr>true</vt:lpwstr>
  </property>
  <property fmtid="{D5CDD505-2E9C-101B-9397-08002B2CF9AE}" pid="6" name="MSIP_Label_320df1db-9955-4087-a541-42c2f5a9332e_SetDate">
    <vt:lpwstr>2022-05-25T19:32:30Z</vt:lpwstr>
  </property>
  <property fmtid="{D5CDD505-2E9C-101B-9397-08002B2CF9AE}" pid="7" name="MSIP_Label_320df1db-9955-4087-a541-42c2f5a9332e_Method">
    <vt:lpwstr>Standard</vt:lpwstr>
  </property>
  <property fmtid="{D5CDD505-2E9C-101B-9397-08002B2CF9AE}" pid="8" name="MSIP_Label_320df1db-9955-4087-a541-42c2f5a9332e_Name">
    <vt:lpwstr>Confidential Information</vt:lpwstr>
  </property>
  <property fmtid="{D5CDD505-2E9C-101B-9397-08002B2CF9AE}" pid="9" name="MSIP_Label_320df1db-9955-4087-a541-42c2f5a9332e_SiteId">
    <vt:lpwstr>eef95730-77bf-4663-a55d-1ddff9335b5b</vt:lpwstr>
  </property>
  <property fmtid="{D5CDD505-2E9C-101B-9397-08002B2CF9AE}" pid="10" name="MSIP_Label_320df1db-9955-4087-a541-42c2f5a9332e_ActionId">
    <vt:lpwstr>01f3970c-57dc-4603-868b-18dc4bfddab1</vt:lpwstr>
  </property>
  <property fmtid="{D5CDD505-2E9C-101B-9397-08002B2CF9AE}" pid="11" name="MSIP_Label_320df1db-9955-4087-a541-42c2f5a9332e_ContentBits">
    <vt:lpwstr>0</vt:lpwstr>
  </property>
</Properties>
</file>