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b/>
          <w:color w:val="0F172A"/>
          <w:sz w:val="52"/>
        </w:rPr>
        <w:t>ENTROPY</w:t>
      </w:r>
    </w:p>
    <w:p>
      <w:pPr>
        <w:spacing w:before="0" w:after="80"/>
      </w:pPr>
      <w:r>
        <w:rPr>
          <w:rFonts w:ascii="Calibri" w:hAnsi="Calibri"/>
          <w:b/>
          <w:color w:val="059669"/>
          <w:sz w:val="26"/>
        </w:rPr>
        <w:t>Architectural Security-Debt Analyzer for AI-Assisted Codebases</w:t>
      </w:r>
    </w:p>
    <w:p>
      <w:pPr>
        <w:spacing w:before="0" w:after="280"/>
      </w:pPr>
      <w:r>
        <w:rPr>
          <w:rFonts w:ascii="Calibri" w:hAnsi="Calibri"/>
          <w:i/>
          <w:color w:val="64748B"/>
          <w:sz w:val="20"/>
        </w:rPr>
        <w:t>Comprehensive Technical Architecture, Mathematical Model &amp; Layer-by-Layer Rationale</w:t>
      </w:r>
    </w:p>
    <w:p>
      <w:pPr>
        <w:spacing w:after="200"/>
      </w:pPr>
      <w:r>
        <w:rPr>
          <w:color w:val="CBD5E1"/>
        </w:rPr>
        <w:t>――――――――――――――――――――――――――――――――――――――――――――――――――――――――――</w:t>
      </w:r>
    </w:p>
    <w:p>
      <w:pPr>
        <w:pStyle w:val="Heading1"/>
        <w:spacing w:before="240" w:after="80"/>
      </w:pPr>
      <w:r>
        <w:rPr>
          <w:color w:val="0F172A"/>
        </w:rPr>
        <w:t>1. Executive Summary &amp; Core Threat Model</w:t>
      </w:r>
    </w:p>
    <w:p>
      <w:pPr>
        <w:spacing w:after="120" w:line="276" w:lineRule="auto"/>
      </w:pPr>
      <w:r>
        <w:t xml:space="preserve">As engineering teams increasingly leverage generative AI coding assistants (Copilot, Claude, Cursor, Gemini), software development velocity has accelerated dramatically. However, AI models optimize for local completion rather than global architectural coherence. This dynamic produces a distinct category of hazard: </w:t>
      </w:r>
      <w:r>
        <w:rPr>
          <w:b/>
          <w:color w:val="059669"/>
        </w:rPr>
        <w:t>Architectural Security Debt.</w:t>
      </w:r>
    </w:p>
    <w:tbl>
      <w:tblPr>
        <w:tblW w:type="auto" w:w="0"/>
        <w:jc w:val="center"/>
        <w:tblLayout w:type="fixed"/>
        <w:tblLook w:firstColumn="1" w:firstRow="1" w:lastColumn="0" w:lastRow="0" w:noHBand="0" w:noVBand="1" w:val="04A0"/>
      </w:tblPr>
      <w:tblGrid>
        <w:gridCol w:w="10080"/>
      </w:tblGrid>
      <w:tr>
        <w:tc>
          <w:tcPr>
            <w:tcW w:type="dxa" w:w="10080"/>
            <w:shd w:fill="ECFDF5"/>
            <w:tcMar>
              <w:top w:w="100" w:type="dxa"/>
              <w:bottom w:w="100" w:type="dxa"/>
              <w:left w:w="160" w:type="dxa"/>
              <w:right w:w="140" w:type="dxa"/>
            </w:tcMar>
            <w:tcBorders>
              <w:top w:val="none"/>
              <w:left w:val="single" w:sz="24" w:space="0" w:color="059669"/>
              <w:bottom w:val="none"/>
              <w:right w:val="none"/>
            </w:tcBorders>
          </w:tcPr>
          <w:p>
            <w:pPr>
              <w:spacing w:before="40" w:after="40" w:line="276" w:lineRule="auto"/>
            </w:pPr>
            <w:r>
              <w:rPr>
                <w:rFonts w:ascii="Calibri" w:hAnsi="Calibri"/>
                <w:b/>
                <w:color w:val="059669"/>
                <w:sz w:val="20"/>
              </w:rPr>
              <w:t xml:space="preserve">■ CORE THREAT MODEL: </w:t>
            </w:r>
            <w:r>
              <w:rPr>
                <w:rFonts w:ascii="Calibri" w:hAnsi="Calibri"/>
                <w:i/>
                <w:color w:val="1F2937"/>
                <w:sz w:val="19"/>
              </w:rPr>
              <w:t>Traditional SAST/DAST scanners look for known CVEs or immediate exploit payloads in code today (such as SQL injections). Entropy focuses on observable architectural patterns that may not be an immediate vulnerability today, but accumulate compound maintenance, security, and failure risk over time.</w:t>
            </w:r>
          </w:p>
        </w:tc>
      </w:tr>
    </w:tbl>
    <w:p>
      <w:pPr>
        <w:spacing w:after="80"/>
      </w:pPr>
    </w:p>
    <w:tbl>
      <w:tblPr>
        <w:tblW w:type="auto" w:w="0"/>
        <w:jc w:val="center"/>
        <w:tblLook w:firstColumn="1" w:firstRow="1" w:lastColumn="0" w:lastRow="0" w:noHBand="0" w:noVBand="1" w:val="04A0"/>
      </w:tblPr>
      <w:tblGrid>
        <w:gridCol w:w="5040"/>
        <w:gridCol w:w="5040"/>
      </w:tblGrid>
      <w:tr>
        <w:trPr>
          <w:cantSplit/>
          <w:tblHeader/>
        </w:trPr>
        <w:tc>
          <w:tcPr>
            <w:tcW w:type="dxa" w:w="4896"/>
            <w:tcMar>
              <w:top w:w="60" w:type="dxa"/>
              <w:bottom w:w="60" w:type="dxa"/>
              <w:left w:w="90" w:type="dxa"/>
              <w:right w:w="90" w:type="dxa"/>
            </w:tcMar>
            <w:vAlign w:val="center"/>
            <w:tcBorders>
              <w:top w:val="single" w:sz="4" w:space="0" w:color="CBD5E1"/>
              <w:left w:val="none"/>
              <w:bottom w:val="single" w:sz="10" w:space="0" w:color="059669"/>
              <w:right w:val="none"/>
            </w:tcBorders>
            <w:shd w:fill="0F172A"/>
          </w:tcPr>
          <w:p>
            <w:pPr>
              <w:spacing w:before="40" w:after="40" w:line="252" w:lineRule="auto"/>
            </w:pPr>
            <w:r>
              <w:rPr>
                <w:rFonts w:ascii="Calibri" w:hAnsi="Calibri"/>
                <w:b/>
                <w:color w:val="FFFFFF"/>
                <w:sz w:val="18"/>
              </w:rPr>
              <w:t>Traditional SAST / DAST Focus</w:t>
            </w:r>
          </w:p>
        </w:tc>
        <w:tc>
          <w:tcPr>
            <w:tcW w:type="dxa" w:w="5184"/>
            <w:tcMar>
              <w:top w:w="60" w:type="dxa"/>
              <w:bottom w:w="60" w:type="dxa"/>
              <w:left w:w="90" w:type="dxa"/>
              <w:right w:w="90" w:type="dxa"/>
            </w:tcMar>
            <w:vAlign w:val="center"/>
            <w:tcBorders>
              <w:top w:val="single" w:sz="4" w:space="0" w:color="CBD5E1"/>
              <w:left w:val="none"/>
              <w:bottom w:val="single" w:sz="10" w:space="0" w:color="059669"/>
              <w:right w:val="none"/>
            </w:tcBorders>
            <w:shd w:fill="0F172A"/>
          </w:tcPr>
          <w:p>
            <w:pPr>
              <w:spacing w:before="40" w:after="40" w:line="252" w:lineRule="auto"/>
            </w:pPr>
            <w:r>
              <w:rPr>
                <w:rFonts w:ascii="Calibri" w:hAnsi="Calibri"/>
                <w:b/>
                <w:color w:val="FFFFFF"/>
                <w:sz w:val="18"/>
              </w:rPr>
              <w:t>Entropy Architectural Focus</w:t>
            </w:r>
          </w:p>
        </w:tc>
      </w:tr>
      <w:tr>
        <w:trPr>
          <w:cantSplit/>
        </w:trPr>
        <w:tc>
          <w:tcPr>
            <w:tcW w:type="dxa" w:w="4896"/>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SQL injection strings, raw exploit payloads</w:t>
            </w:r>
          </w:p>
        </w:tc>
        <w:tc>
          <w:tcPr>
            <w:tcW w:type="dxa" w:w="5184"/>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Overly broad exception handlers swallowing auth/crypto errors</w:t>
            </w:r>
          </w:p>
        </w:tc>
      </w:tr>
      <w:tr>
        <w:trPr>
          <w:cantSplit/>
        </w:trPr>
        <w:tc>
          <w:tcPr>
            <w:tcW w:type="dxa" w:w="4896"/>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Known CVE library dependencies</w:t>
            </w:r>
          </w:p>
        </w:tc>
        <w:tc>
          <w:tcPr>
            <w:tcW w:type="dxa" w:w="5184"/>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Missing authentication/authorization checks across endpoints</w:t>
            </w:r>
          </w:p>
        </w:tc>
      </w:tr>
      <w:tr>
        <w:trPr>
          <w:cantSplit/>
        </w:trPr>
        <w:tc>
          <w:tcPr>
            <w:tcW w:type="dxa" w:w="4896"/>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Buffer overflows &amp; memory corruption</w:t>
            </w:r>
          </w:p>
        </w:tc>
        <w:tc>
          <w:tcPr>
            <w:tcW w:type="dxa" w:w="5184"/>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Fragmented, ad-hoc validation logic across service layers</w:t>
            </w:r>
          </w:p>
        </w:tc>
      </w:tr>
      <w:tr>
        <w:trPr>
          <w:cantSplit/>
        </w:trPr>
        <w:tc>
          <w:tcPr>
            <w:tcW w:type="dxa" w:w="4896"/>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Hardcoded plain-text passwords (regex matching)</w:t>
            </w:r>
          </w:p>
        </w:tc>
        <w:tc>
          <w:tcPr>
            <w:tcW w:type="dxa" w:w="5184"/>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High Shannon entropy string literals (&gt;3.2) &amp; unredacted logging</w:t>
            </w:r>
          </w:p>
        </w:tc>
      </w:tr>
      <w:tr>
        <w:trPr>
          <w:cantSplit/>
        </w:trPr>
        <w:tc>
          <w:tcPr>
            <w:tcW w:type="dxa" w:w="4896"/>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Immediate exploitability today (point-in-time snapshot)</w:t>
            </w:r>
          </w:p>
        </w:tc>
        <w:tc>
          <w:tcPr>
            <w:tcW w:type="dxa" w:w="5184"/>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Cumulative structural debt &amp; maintainability degradation over time</w:t>
            </w:r>
          </w:p>
        </w:tc>
      </w:tr>
    </w:tbl>
    <w:p>
      <w:pPr>
        <w:pStyle w:val="Heading1"/>
        <w:spacing w:before="320" w:after="80"/>
      </w:pPr>
      <w:r>
        <w:rPr>
          <w:color w:val="0F172A"/>
        </w:rPr>
        <w:t>2. The Non-Attribution Covenant (Anti-Hallucination)</w:t>
      </w:r>
    </w:p>
    <w:p>
      <w:pPr>
        <w:spacing w:after="120" w:line="276" w:lineRule="auto"/>
      </w:pPr>
      <w:r>
        <w:t>Early security ventures attempted to market 'AI Code Detectors' that output claims like 'This repository is 68% AI-authored.' Entropy fundamentally rejects this practice for three scientific and engineering reasons:</w:t>
      </w:r>
    </w:p>
    <w:p>
      <w:pPr>
        <w:pStyle w:val="ListBullet"/>
        <w:spacing w:after="40" w:line="264" w:lineRule="auto"/>
      </w:pPr>
      <w:r>
        <w:rPr>
          <w:b/>
          <w:color w:val="0F172A"/>
        </w:rPr>
        <w:t xml:space="preserve">Statistical Unreliability: </w:t>
      </w:r>
      <w:r>
        <w:rPr>
          <w:color w:val="334155"/>
        </w:rPr>
        <w:t>LLM watermarking and statistical stylometry classifiers produce prohibitive false-positive rates on standard boilerplate, library wrappers, and frameworks.</w:t>
      </w:r>
    </w:p>
    <w:p>
      <w:pPr>
        <w:pStyle w:val="ListBullet"/>
        <w:spacing w:after="40" w:line="264" w:lineRule="auto"/>
      </w:pPr>
      <w:r>
        <w:rPr>
          <w:b/>
          <w:color w:val="0F172A"/>
        </w:rPr>
        <w:t xml:space="preserve">Defect Liability: </w:t>
      </w:r>
      <w:r>
        <w:rPr>
          <w:color w:val="334155"/>
        </w:rPr>
        <w:t>Attributing defects to author identity (human vs. machine) alienates engineering teams. Code review must analyze the verifiable syntactic properties of the software, not guess authorship.</w:t>
      </w:r>
    </w:p>
    <w:p>
      <w:pPr>
        <w:pStyle w:val="ListBullet"/>
        <w:spacing w:after="40" w:line="264" w:lineRule="auto"/>
      </w:pPr>
      <w:r>
        <w:rPr>
          <w:b/>
          <w:color w:val="0F172A"/>
        </w:rPr>
        <w:t xml:space="preserve">Product Integrity: </w:t>
      </w:r>
      <w:r>
        <w:rPr>
          <w:color w:val="334155"/>
        </w:rPr>
        <w:t>Entropy's Engineering Constitution strictly forbids calculating 'AI probability' or 'authorship percentage'. Every finding traces to concrete, line-numbered AST structures.</w:t>
      </w:r>
    </w:p>
    <w:tbl>
      <w:tblPr>
        <w:tblW w:type="auto" w:w="0"/>
        <w:jc w:val="center"/>
        <w:tblLayout w:type="fixed"/>
        <w:tblLook w:firstColumn="1" w:firstRow="1" w:lastColumn="0" w:lastRow="0" w:noHBand="0" w:noVBand="1" w:val="04A0"/>
      </w:tblPr>
      <w:tblGrid>
        <w:gridCol w:w="10080"/>
      </w:tblGrid>
      <w:tr>
        <w:tc>
          <w:tcPr>
            <w:tcW w:type="dxa" w:w="10080"/>
            <w:shd w:fill="F0F9FF"/>
            <w:tcMar>
              <w:top w:w="100" w:type="dxa"/>
              <w:bottom w:w="100" w:type="dxa"/>
              <w:left w:w="160" w:type="dxa"/>
              <w:right w:w="140" w:type="dxa"/>
            </w:tcMar>
            <w:tcBorders>
              <w:top w:val="none"/>
              <w:left w:val="single" w:sz="24" w:space="0" w:color="0284C7"/>
              <w:bottom w:val="none"/>
              <w:right w:val="none"/>
            </w:tcBorders>
          </w:tcPr>
          <w:p>
            <w:pPr>
              <w:spacing w:before="40" w:after="40" w:line="276" w:lineRule="auto"/>
            </w:pPr>
            <w:r>
              <w:rPr>
                <w:rFonts w:ascii="Calibri" w:hAnsi="Calibri"/>
                <w:b/>
                <w:color w:val="0284C7"/>
                <w:sz w:val="20"/>
              </w:rPr>
              <w:t xml:space="preserve">■ ARTICLE II CONSTITUTIONAL MANDATE: </w:t>
            </w:r>
            <w:r>
              <w:rPr>
                <w:rFonts w:ascii="Calibri" w:hAnsi="Calibri"/>
                <w:i/>
                <w:color w:val="1F2937"/>
                <w:sz w:val="19"/>
              </w:rPr>
              <w:t>"The Entropy Score is an indicator of architectural and security debt detected by Entropy's static-analysis rules. It is not a vulnerability probability and does not measure AI authorship."</w:t>
            </w:r>
          </w:p>
        </w:tc>
      </w:tr>
    </w:tbl>
    <w:p>
      <w:pPr>
        <w:pStyle w:val="Heading1"/>
        <w:spacing w:before="320" w:after="80"/>
      </w:pPr>
      <w:r>
        <w:rPr>
          <w:color w:val="0F172A"/>
        </w:rPr>
        <w:t>3. The 8-Layer Architectural Pipeline</w:t>
      </w:r>
    </w:p>
    <w:p>
      <w:pPr>
        <w:spacing w:after="120" w:line="276" w:lineRule="auto"/>
      </w:pPr>
      <w:r>
        <w:t>Entropy enforces strict architectural decoupling across 8 distinct pipeline stages. Static analysis rules never live inside API route handlers, and the frontend never computes scores.</w:t>
      </w:r>
    </w:p>
    <w:p>
      <w:pPr>
        <w:spacing w:before="80" w:after="40" w:line="269" w:lineRule="auto"/>
      </w:pPr>
      <w:r>
        <w:rPr>
          <w:b/>
          <w:color w:val="0F172A"/>
        </w:rPr>
        <w:t xml:space="preserve">■ Layer 1: Repository Ingestion &amp; Discovery: </w:t>
      </w:r>
      <w:r>
        <w:rPr>
          <w:color w:val="334155"/>
        </w:rPr>
        <w:t>Walks filesystem, respects .gitignore hierarchies, extracts git branch/commit SHA via subprocess. Enforces Zero Code Execution (target code is treated strictly as passive text, never imported into the Python runtime).</w:t>
      </w:r>
    </w:p>
    <w:p>
      <w:pPr>
        <w:spacing w:before="80" w:after="40" w:line="269" w:lineRule="auto"/>
      </w:pPr>
      <w:r>
        <w:rPr>
          <w:b/>
          <w:color w:val="0F172A"/>
        </w:rPr>
        <w:t xml:space="preserve">■ Layer 2: Multi-Language AST Parsing: </w:t>
      </w:r>
      <w:r>
        <w:rPr>
          <w:color w:val="334155"/>
        </w:rPr>
        <w:t>Transforms raw code into Abstract Syntax Trees. Python uses native ast.NodeVisitor; JS/TS uses a recursive visitor covering Express, Fastify, Next.js, Hono, and NestJS. Syntax errors fail gracefully without crashing scans.</w:t>
      </w:r>
    </w:p>
    <w:p>
      <w:pPr>
        <w:spacing w:before="80" w:after="40" w:line="269" w:lineRule="auto"/>
      </w:pPr>
      <w:r>
        <w:rPr>
          <w:b/>
          <w:color w:val="0F172A"/>
        </w:rPr>
        <w:t xml:space="preserve">■ Layer 3: Static Analysis Engine (7 Categories): </w:t>
      </w:r>
      <w:r>
        <w:rPr>
          <w:color w:val="334155"/>
        </w:rPr>
        <w:t>Modular analyzers evaluate verifiable structural properties across Error Handling, AuthN, AuthZ, Validation, Secrets, Architecture, and Duplication.</w:t>
      </w:r>
    </w:p>
    <w:p>
      <w:pPr>
        <w:spacing w:before="80" w:after="40" w:line="269" w:lineRule="auto"/>
      </w:pPr>
      <w:r>
        <w:rPr>
          <w:b/>
          <w:color w:val="0F172A"/>
        </w:rPr>
        <w:t xml:space="preserve">■ Layer 4: Finding Generation &amp; Stable Fingerprinting: </w:t>
      </w:r>
      <w:r>
        <w:rPr>
          <w:color w:val="334155"/>
        </w:rPr>
        <w:t>Constructs structured Finding objects with verbatim code snippets. Generates line-drift invariant SHA-256 fingerprints: hash(rule_id || relative_path || symbol || ast_tokens) to preserve finding identity across git edits.</w:t>
      </w:r>
    </w:p>
    <w:p>
      <w:pPr>
        <w:spacing w:before="80" w:after="40" w:line="269" w:lineRule="auto"/>
      </w:pPr>
      <w:r>
        <w:rPr>
          <w:b/>
          <w:color w:val="0F172A"/>
        </w:rPr>
        <w:t xml:space="preserve">■ Layer 5: Mathematical Scoring Engine: </w:t>
      </w:r>
      <w:r>
        <w:rPr>
          <w:color w:val="334155"/>
        </w:rPr>
        <w:t>Calculates the deterministic 0–100 Entropy Debt Score. Incorporates rule-level logarithmic diminishing returns, KLOC density normalization, exponential asymptotic saturation, and anti-dilution severity floors.</w:t>
      </w:r>
    </w:p>
    <w:p>
      <w:pPr>
        <w:spacing w:before="80" w:after="40" w:line="269" w:lineRule="auto"/>
      </w:pPr>
      <w:r>
        <w:rPr>
          <w:b/>
          <w:color w:val="0F172A"/>
        </w:rPr>
        <w:t xml:space="preserve">■ Layer 6: Policy Engine &amp; Delta Baselines: </w:t>
      </w:r>
      <w:r>
        <w:rPr>
          <w:color w:val="334155"/>
        </w:rPr>
        <w:t>Compares current commit against baseline scans to determine delta debt (Δ = Current - Base). Evaluates pass/fail CI policies and generates OASIS SARIF 2.1.0 reports for GitHub Security tabs.</w:t>
      </w:r>
    </w:p>
    <w:p>
      <w:pPr>
        <w:spacing w:before="80" w:after="40" w:line="269" w:lineRule="auto"/>
      </w:pPr>
      <w:r>
        <w:rPr>
          <w:b/>
          <w:color w:val="0F172A"/>
        </w:rPr>
        <w:t xml:space="preserve">■ Layer 7: Grounded AI Explanations: </w:t>
      </w:r>
      <w:r>
        <w:rPr>
          <w:color w:val="334155"/>
        </w:rPr>
        <w:t>Integrates Google Gemini to synthesize architectural impact explanations and remediation diffs. Operates strictly read-only after scrubbing source code via a PII/secret redaction pipeline.</w:t>
      </w:r>
    </w:p>
    <w:p>
      <w:pPr>
        <w:spacing w:before="80" w:after="40" w:line="269" w:lineRule="auto"/>
      </w:pPr>
      <w:r>
        <w:rPr>
          <w:b/>
          <w:color w:val="0F172A"/>
        </w:rPr>
        <w:t xml:space="preserve">■ Layer 8: Presentation Tier (API &amp; UI): </w:t>
      </w:r>
      <w:r>
        <w:rPr>
          <w:color w:val="334155"/>
        </w:rPr>
        <w:t>FastAPI exposes versioned REST endpoints (/api/v1). Next.js 14 + Tailwind dashboard renders live metrics. Follows Invariant 5: The frontend is strictly a visualization layer and NEVER calculates debt scores.</w:t>
      </w:r>
    </w:p>
    <w:p>
      <w:pPr>
        <w:pStyle w:val="Heading1"/>
        <w:spacing w:before="320" w:after="80"/>
      </w:pPr>
      <w:r>
        <w:rPr>
          <w:color w:val="0F172A"/>
        </w:rPr>
        <w:t>4. The 7 Static Analysis Engines</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2304"/>
            <w:tcMar>
              <w:top w:w="60" w:type="dxa"/>
              <w:bottom w:w="60" w:type="dxa"/>
              <w:left w:w="90" w:type="dxa"/>
              <w:right w:w="90" w:type="dxa"/>
            </w:tcMar>
            <w:vAlign w:val="center"/>
            <w:tcBorders>
              <w:top w:val="single" w:sz="4" w:space="0" w:color="CBD5E1"/>
              <w:left w:val="none"/>
              <w:bottom w:val="single" w:sz="10" w:space="0" w:color="059669"/>
              <w:right w:val="none"/>
            </w:tcBorders>
            <w:shd w:fill="0F172A"/>
          </w:tcPr>
          <w:p>
            <w:pPr>
              <w:spacing w:before="40" w:after="40" w:line="252" w:lineRule="auto"/>
            </w:pPr>
            <w:r>
              <w:rPr>
                <w:rFonts w:ascii="Calibri" w:hAnsi="Calibri"/>
                <w:b/>
                <w:color w:val="FFFFFF"/>
                <w:sz w:val="18"/>
              </w:rPr>
              <w:t>Category</w:t>
            </w:r>
          </w:p>
        </w:tc>
        <w:tc>
          <w:tcPr>
            <w:tcW w:type="dxa" w:w="864"/>
            <w:tcMar>
              <w:top w:w="60" w:type="dxa"/>
              <w:bottom w:w="60" w:type="dxa"/>
              <w:left w:w="90" w:type="dxa"/>
              <w:right w:w="90" w:type="dxa"/>
            </w:tcMar>
            <w:vAlign w:val="center"/>
            <w:tcBorders>
              <w:top w:val="single" w:sz="4" w:space="0" w:color="CBD5E1"/>
              <w:left w:val="none"/>
              <w:bottom w:val="single" w:sz="10" w:space="0" w:color="059669"/>
              <w:right w:val="none"/>
            </w:tcBorders>
            <w:shd w:fill="0F172A"/>
          </w:tcPr>
          <w:p>
            <w:pPr>
              <w:spacing w:before="40" w:after="40" w:line="252" w:lineRule="auto"/>
            </w:pPr>
            <w:r>
              <w:rPr>
                <w:rFonts w:ascii="Calibri" w:hAnsi="Calibri"/>
                <w:b/>
                <w:color w:val="FFFFFF"/>
                <w:sz w:val="18"/>
              </w:rPr>
              <w:t>Weight</w:t>
            </w:r>
          </w:p>
        </w:tc>
        <w:tc>
          <w:tcPr>
            <w:tcW w:type="dxa" w:w="2880"/>
            <w:tcMar>
              <w:top w:w="60" w:type="dxa"/>
              <w:bottom w:w="60" w:type="dxa"/>
              <w:left w:w="90" w:type="dxa"/>
              <w:right w:w="90" w:type="dxa"/>
            </w:tcMar>
            <w:vAlign w:val="center"/>
            <w:tcBorders>
              <w:top w:val="single" w:sz="4" w:space="0" w:color="CBD5E1"/>
              <w:left w:val="none"/>
              <w:bottom w:val="single" w:sz="10" w:space="0" w:color="059669"/>
              <w:right w:val="none"/>
            </w:tcBorders>
            <w:shd w:fill="0F172A"/>
          </w:tcPr>
          <w:p>
            <w:pPr>
              <w:spacing w:before="40" w:after="40" w:line="252" w:lineRule="auto"/>
            </w:pPr>
            <w:r>
              <w:rPr>
                <w:rFonts w:ascii="Calibri" w:hAnsi="Calibri"/>
                <w:b/>
                <w:color w:val="FFFFFF"/>
                <w:sz w:val="18"/>
              </w:rPr>
              <w:t>Supported Frameworks</w:t>
            </w:r>
          </w:p>
        </w:tc>
        <w:tc>
          <w:tcPr>
            <w:tcW w:type="dxa" w:w="4032"/>
            <w:tcMar>
              <w:top w:w="60" w:type="dxa"/>
              <w:bottom w:w="60" w:type="dxa"/>
              <w:left w:w="90" w:type="dxa"/>
              <w:right w:w="90" w:type="dxa"/>
            </w:tcMar>
            <w:vAlign w:val="center"/>
            <w:tcBorders>
              <w:top w:val="single" w:sz="4" w:space="0" w:color="CBD5E1"/>
              <w:left w:val="none"/>
              <w:bottom w:val="single" w:sz="10" w:space="0" w:color="059669"/>
              <w:right w:val="none"/>
            </w:tcBorders>
            <w:shd w:fill="0F172A"/>
          </w:tcPr>
          <w:p>
            <w:pPr>
              <w:spacing w:before="40" w:after="40" w:line="252" w:lineRule="auto"/>
            </w:pPr>
            <w:r>
              <w:rPr>
                <w:rFonts w:ascii="Calibri" w:hAnsi="Calibri"/>
                <w:b/>
                <w:color w:val="FFFFFF"/>
                <w:sz w:val="18"/>
              </w:rPr>
              <w:t>Core Architectural Detection Mechanics</w:t>
            </w:r>
          </w:p>
        </w:tc>
      </w:tr>
      <w:tr>
        <w:trPr>
          <w:cantSplit/>
        </w:trPr>
        <w:tc>
          <w:tcPr>
            <w:tcW w:type="dxa" w:w="2304"/>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Authentication Consistency</w:t>
            </w:r>
          </w:p>
        </w:tc>
        <w:tc>
          <w:tcPr>
            <w:tcW w:type="dxa" w:w="864"/>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0.20</w:t>
            </w:r>
          </w:p>
        </w:tc>
        <w:tc>
          <w:tcPr>
            <w:tcW w:type="dxa" w:w="2880"/>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FastAPI, Flask, Django, Express, Fastify, Next.js, Hono, NestJS</w:t>
            </w:r>
          </w:p>
        </w:tc>
        <w:tc>
          <w:tcPr>
            <w:tcW w:type="dxa" w:w="4032"/>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Extracts routes; identifies missing route guards; traces Express middleware registration ordering; discards no-op pass-through middleware.</w:t>
            </w:r>
          </w:p>
        </w:tc>
      </w:tr>
      <w:tr>
        <w:trPr>
          <w:cantSplit/>
        </w:trPr>
        <w:tc>
          <w:tcPr>
            <w:tcW w:type="dxa" w:w="2304"/>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Authorization Consistency</w:t>
            </w:r>
          </w:p>
        </w:tc>
        <w:tc>
          <w:tcPr>
            <w:tcW w:type="dxa" w:w="864"/>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0.20</w:t>
            </w:r>
          </w:p>
        </w:tc>
        <w:tc>
          <w:tcPr>
            <w:tcW w:type="dxa" w:w="2880"/>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FastAPI, Flask, Django, Express, Fastify, Next.js, Hono, NestJS</w:t>
            </w:r>
          </w:p>
        </w:tc>
        <w:tc>
          <w:tcPr>
            <w:tcW w:type="dxa" w:w="4032"/>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Detects authenticated endpoints lacking role/scope checks (RBAC) on state-mutating sensitive routes (POST/DELETE admin).</w:t>
            </w:r>
          </w:p>
        </w:tc>
      </w:tr>
      <w:tr>
        <w:trPr>
          <w:cantSplit/>
        </w:trPr>
        <w:tc>
          <w:tcPr>
            <w:tcW w:type="dxa" w:w="2304"/>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Error Handling Debt</w:t>
            </w:r>
          </w:p>
        </w:tc>
        <w:tc>
          <w:tcPr>
            <w:tcW w:type="dxa" w:w="864"/>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0.15</w:t>
            </w:r>
          </w:p>
        </w:tc>
        <w:tc>
          <w:tcPr>
            <w:tcW w:type="dxa" w:w="2880"/>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Python, JavaScript, TypeScript</w:t>
            </w:r>
          </w:p>
        </w:tc>
        <w:tc>
          <w:tcPr>
            <w:tcW w:type="dxa" w:w="4032"/>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Identifies bare except:, broad except Exception: swallowing errors with pass or return None/{}, and unhandled Promise rejections.</w:t>
            </w:r>
          </w:p>
        </w:tc>
      </w:tr>
      <w:tr>
        <w:trPr>
          <w:cantSplit/>
        </w:trPr>
        <w:tc>
          <w:tcPr>
            <w:tcW w:type="dxa" w:w="2304"/>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Input Validation Debt</w:t>
            </w:r>
          </w:p>
        </w:tc>
        <w:tc>
          <w:tcPr>
            <w:tcW w:type="dxa" w:w="864"/>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0.15</w:t>
            </w:r>
          </w:p>
        </w:tc>
        <w:tc>
          <w:tcPr>
            <w:tcW w:type="dxa" w:w="2880"/>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Pydantic, Zod, Joi, SQLAlchemy, raw SQL</w:t>
            </w:r>
          </w:p>
        </w:tc>
        <w:tc>
          <w:tcPr>
            <w:tcW w:type="dxa" w:w="4032"/>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Taint sink analysis: flags unvalidated query/body inputs reaching cursor.execute(f'...') or raw template literals.</w:t>
            </w:r>
          </w:p>
        </w:tc>
      </w:tr>
      <w:tr>
        <w:trPr>
          <w:cantSplit/>
        </w:trPr>
        <w:tc>
          <w:tcPr>
            <w:tcW w:type="dxa" w:w="2304"/>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Logging &amp; Secrets</w:t>
            </w:r>
          </w:p>
        </w:tc>
        <w:tc>
          <w:tcPr>
            <w:tcW w:type="dxa" w:w="864"/>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0.15</w:t>
            </w:r>
          </w:p>
        </w:tc>
        <w:tc>
          <w:tcPr>
            <w:tcW w:type="dxa" w:w="2880"/>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Python, JavaScript, TypeScript</w:t>
            </w:r>
          </w:p>
        </w:tc>
        <w:tc>
          <w:tcPr>
            <w:tcW w:type="dxa" w:w="4032"/>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Computes Shannon Entropy (H &gt; 3.2 threshold for high-randomness string literals); regex secret signatures; unredacted logging of PII.</w:t>
            </w:r>
          </w:p>
        </w:tc>
      </w:tr>
      <w:tr>
        <w:trPr>
          <w:cantSplit/>
        </w:trPr>
        <w:tc>
          <w:tcPr>
            <w:tcW w:type="dxa" w:w="2304"/>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Architectural Consistency</w:t>
            </w:r>
          </w:p>
        </w:tc>
        <w:tc>
          <w:tcPr>
            <w:tcW w:type="dxa" w:w="864"/>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0.10</w:t>
            </w:r>
          </w:p>
        </w:tc>
        <w:tc>
          <w:tcPr>
            <w:tcW w:type="dxa" w:w="2880"/>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Python, JavaScript, TypeScript</w:t>
            </w:r>
          </w:p>
        </w:tc>
        <w:tc>
          <w:tcPr>
            <w:tcW w:type="dxa" w:w="4032"/>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Graph-theoretic cycle detection (Tarjan's algorithm) for circular imports; filters safe if TYPE_CHECKING: guards.</w:t>
            </w:r>
          </w:p>
        </w:tc>
      </w:tr>
      <w:tr>
        <w:trPr>
          <w:cantSplit/>
        </w:trPr>
        <w:tc>
          <w:tcPr>
            <w:tcW w:type="dxa" w:w="2304"/>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Code Duplication</w:t>
            </w:r>
          </w:p>
        </w:tc>
        <w:tc>
          <w:tcPr>
            <w:tcW w:type="dxa" w:w="864"/>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0.05</w:t>
            </w:r>
          </w:p>
        </w:tc>
        <w:tc>
          <w:tcPr>
            <w:tcW w:type="dxa" w:w="2880"/>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Python, JavaScript, TypeScript</w:t>
            </w:r>
          </w:p>
        </w:tc>
        <w:tc>
          <w:tcPr>
            <w:tcW w:type="dxa" w:w="4032"/>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AST subtree hashing (stripping variable names and comments) to detect copy-pasted blocks across service boundaries.</w:t>
            </w:r>
          </w:p>
        </w:tc>
      </w:tr>
    </w:tbl>
    <w:p>
      <w:pPr>
        <w:pStyle w:val="Heading1"/>
        <w:spacing w:before="320" w:after="80"/>
      </w:pPr>
      <w:r>
        <w:rPr>
          <w:color w:val="0F172A"/>
        </w:rPr>
        <w:t>5. Mathematical Scoring Engine Derivation</w:t>
      </w:r>
    </w:p>
    <w:p>
      <w:pPr>
        <w:spacing w:after="120" w:line="276" w:lineRule="auto"/>
      </w:pPr>
      <w:r>
        <w:t>A naive defect counter fails on real software: 5 swallowed exceptions in a 200-line script is severe, while in a 500,000-line monorepo it represents excellent discipline. Entropy's mathematical model guarantees scale invariance, monotonicity, and anti-dilution.</w:t>
      </w:r>
    </w:p>
    <w:p>
      <w:pPr>
        <w:spacing w:before="120" w:after="40"/>
      </w:pPr>
      <w:r>
        <w:rPr>
          <w:b/>
          <w:color w:val="059669"/>
        </w:rPr>
        <w:t>■ Step 1: Rule-Level Logarithmic Diminishing Returns</w:t>
      </w:r>
    </w:p>
    <w:tbl>
      <w:tblPr>
        <w:tblW w:type="auto" w:w="0"/>
        <w:jc w:val="center"/>
        <w:tblLayout w:type="fixed"/>
        <w:tblLook w:firstColumn="1" w:firstRow="1" w:lastColumn="0" w:lastRow="0" w:noHBand="0" w:noVBand="1" w:val="04A0"/>
      </w:tblPr>
      <w:tblGrid>
        <w:gridCol w:w="10080"/>
      </w:tblGrid>
      <w:tr>
        <w:tc>
          <w:tcPr>
            <w:tcW w:type="dxa" w:w="10080"/>
            <w:shd w:fill="0F172A"/>
            <w:tcMar>
              <w:top w:w="80" w:type="dxa"/>
              <w:bottom w:w="80" w:type="dxa"/>
              <w:left w:w="140" w:type="dxa"/>
              <w:right w:w="140" w:type="dxa"/>
            </w:tcMar>
            <w:tcBorders>
              <w:top w:val="single" w:sz="6" w:space="0" w:color="334155"/>
              <w:left w:val="single" w:sz="18" w:space="0" w:color="10B981"/>
              <w:bottom w:val="single" w:sz="6" w:space="0" w:color="334155"/>
              <w:right w:val="single" w:sz="6" w:space="0" w:color="334155"/>
            </w:tcBorders>
          </w:tcPr>
          <w:p>
            <w:pPr>
              <w:spacing w:before="40" w:after="40" w:line="264" w:lineRule="auto"/>
            </w:pPr>
            <w:r>
              <w:rPr>
                <w:rFonts w:ascii="Consolas" w:hAnsi="Consolas"/>
                <w:color w:val="38BDF8"/>
                <w:sz w:val="17"/>
              </w:rPr>
              <w:t>Points(f) = W_severity(f) × M_confidence(f)</w:t>
              <w:br/>
              <w:t>Weights: CRITICAL = 10.0, HIGH = 7.0, MEDIUM = 4.0, LOW = 1.0, INFO = 0.0</w:t>
              <w:br/>
              <w:t>Multipliers: HIGH = 1.0, MEDIUM = 0.8, LOW = 0.5</w:t>
              <w:br/>
              <w:t>To prevent one noisy rule from flooding the score, findings exceeding N = 20 scale logarithmically:</w:t>
              <w:br/>
              <w:t>Penalty(r) = Σ Points(f_i) [for i=1..20] + AvgPoints(r) × 5.0 × ln(1 + (k - 20) / 1.0)</w:t>
              <w:br/>
              <w:t>Guarantees 4,000 duplicate instances cannot exceed ~3.1x the penalty of 20 instances.</w:t>
            </w:r>
          </w:p>
        </w:tc>
      </w:tr>
    </w:tbl>
    <w:p>
      <w:pPr>
        <w:spacing w:before="120" w:after="40"/>
      </w:pPr>
      <w:r>
        <w:rPr>
          <w:b/>
          <w:color w:val="059669"/>
        </w:rPr>
        <w:t>■ Step 2: Effective Codebase Scale &amp; KLOC Floor</w:t>
      </w:r>
    </w:p>
    <w:tbl>
      <w:tblPr>
        <w:tblW w:type="auto" w:w="0"/>
        <w:jc w:val="center"/>
        <w:tblLayout w:type="fixed"/>
        <w:tblLook w:firstColumn="1" w:firstRow="1" w:lastColumn="0" w:lastRow="0" w:noHBand="0" w:noVBand="1" w:val="04A0"/>
      </w:tblPr>
      <w:tblGrid>
        <w:gridCol w:w="10080"/>
      </w:tblGrid>
      <w:tr>
        <w:tc>
          <w:tcPr>
            <w:tcW w:type="dxa" w:w="10080"/>
            <w:shd w:fill="0F172A"/>
            <w:tcMar>
              <w:top w:w="80" w:type="dxa"/>
              <w:bottom w:w="80" w:type="dxa"/>
              <w:left w:w="140" w:type="dxa"/>
              <w:right w:w="140" w:type="dxa"/>
            </w:tcMar>
            <w:tcBorders>
              <w:top w:val="single" w:sz="6" w:space="0" w:color="334155"/>
              <w:left w:val="single" w:sz="18" w:space="0" w:color="10B981"/>
              <w:bottom w:val="single" w:sz="6" w:space="0" w:color="334155"/>
              <w:right w:val="single" w:sz="6" w:space="0" w:color="334155"/>
            </w:tcBorders>
          </w:tcPr>
          <w:p>
            <w:pPr>
              <w:spacing w:before="40" w:after="40" w:line="264" w:lineRule="auto"/>
            </w:pPr>
            <w:r>
              <w:rPr>
                <w:rFonts w:ascii="Consolas" w:hAnsi="Consolas"/>
                <w:color w:val="38BDF8"/>
                <w:sz w:val="17"/>
              </w:rPr>
              <w:t>Effective LOC = max(Total_LOC, 200)</w:t>
              <w:br/>
              <w:t>KLOC = Effective LOC / 1000.0</w:t>
              <w:br/>
              <w:t>Weighted Debt Density_c = Raw Penalty_c / KLOC</w:t>
              <w:br/>
              <w:t>Guarantees scale invariance: 1 defect per 100 LOC yields the same density across 500 lines or 500,000 lines.</w:t>
            </w:r>
          </w:p>
        </w:tc>
      </w:tr>
    </w:tbl>
    <w:p>
      <w:pPr>
        <w:spacing w:before="120" w:after="40"/>
      </w:pPr>
      <w:r>
        <w:rPr>
          <w:b/>
          <w:color w:val="059669"/>
        </w:rPr>
        <w:t>■ Step 3: Asymptotic Exponential Saturation (0–100)</w:t>
      </w:r>
    </w:p>
    <w:tbl>
      <w:tblPr>
        <w:tblW w:type="auto" w:w="0"/>
        <w:jc w:val="center"/>
        <w:tblLayout w:type="fixed"/>
        <w:tblLook w:firstColumn="1" w:firstRow="1" w:lastColumn="0" w:lastRow="0" w:noHBand="0" w:noVBand="1" w:val="04A0"/>
      </w:tblPr>
      <w:tblGrid>
        <w:gridCol w:w="10080"/>
      </w:tblGrid>
      <w:tr>
        <w:tc>
          <w:tcPr>
            <w:tcW w:type="dxa" w:w="10080"/>
            <w:shd w:fill="0F172A"/>
            <w:tcMar>
              <w:top w:w="80" w:type="dxa"/>
              <w:bottom w:w="80" w:type="dxa"/>
              <w:left w:w="140" w:type="dxa"/>
              <w:right w:w="140" w:type="dxa"/>
            </w:tcMar>
            <w:tcBorders>
              <w:top w:val="single" w:sz="6" w:space="0" w:color="334155"/>
              <w:left w:val="single" w:sz="18" w:space="0" w:color="10B981"/>
              <w:bottom w:val="single" w:sz="6" w:space="0" w:color="334155"/>
              <w:right w:val="single" w:sz="6" w:space="0" w:color="334155"/>
            </w:tcBorders>
          </w:tcPr>
          <w:p>
            <w:pPr>
              <w:spacing w:before="40" w:after="40" w:line="264" w:lineRule="auto"/>
            </w:pPr>
            <w:r>
              <w:rPr>
                <w:rFonts w:ascii="Consolas" w:hAnsi="Consolas"/>
                <w:color w:val="38BDF8"/>
                <w:sz w:val="17"/>
              </w:rPr>
              <w:t>Category Score_c = 100.0 × (1.0 - exp(- Weighted Debt Density_c / 40.0))</w:t>
              <w:br/>
              <w:t>Uses a natural saturation constant K = 40.0. Scores are mathematically bounded in [0, 100] with smooth asymptotic saturation.</w:t>
            </w:r>
          </w:p>
        </w:tc>
      </w:tr>
    </w:tbl>
    <w:p>
      <w:pPr>
        <w:spacing w:before="120" w:after="40"/>
      </w:pPr>
      <w:r>
        <w:rPr>
          <w:b/>
          <w:color w:val="059669"/>
        </w:rPr>
        <w:t>■ Step 4: Anti-Dilution Severity Floors</w:t>
      </w:r>
    </w:p>
    <w:tbl>
      <w:tblPr>
        <w:tblW w:type="auto" w:w="0"/>
        <w:jc w:val="center"/>
        <w:tblLayout w:type="fixed"/>
        <w:tblLook w:firstColumn="1" w:firstRow="1" w:lastColumn="0" w:lastRow="0" w:noHBand="0" w:noVBand="1" w:val="04A0"/>
      </w:tblPr>
      <w:tblGrid>
        <w:gridCol w:w="10080"/>
      </w:tblGrid>
      <w:tr>
        <w:tc>
          <w:tcPr>
            <w:tcW w:type="dxa" w:w="10080"/>
            <w:shd w:fill="0F172A"/>
            <w:tcMar>
              <w:top w:w="80" w:type="dxa"/>
              <w:bottom w:w="80" w:type="dxa"/>
              <w:left w:w="140" w:type="dxa"/>
              <w:right w:w="140" w:type="dxa"/>
            </w:tcMar>
            <w:tcBorders>
              <w:top w:val="single" w:sz="6" w:space="0" w:color="334155"/>
              <w:left w:val="single" w:sz="18" w:space="0" w:color="10B981"/>
              <w:bottom w:val="single" w:sz="6" w:space="0" w:color="334155"/>
              <w:right w:val="single" w:sz="6" w:space="0" w:color="334155"/>
            </w:tcBorders>
          </w:tcPr>
          <w:p>
            <w:pPr>
              <w:spacing w:before="40" w:after="40" w:line="264" w:lineRule="auto"/>
            </w:pPr>
            <w:r>
              <w:rPr>
                <w:rFonts w:ascii="Consolas" w:hAnsi="Consolas"/>
                <w:color w:val="38BDF8"/>
                <w:sz w:val="17"/>
              </w:rPr>
              <w:t>The fatal flaw of pure density: in a 1,000,000 LOC codebase, an unauthenticated admin route or raw AWS root secret would yield a density of 0.001 (score ~0).</w:t>
              <w:br/>
              <w:t>Entropy enforces a non-negotiable Severity Floor:</w:t>
              <w:br/>
              <w:t>• 1 HIGH finding (HIGH confidence) ==&gt; Minimum Score = 41 (MODERATE)</w:t>
              <w:br/>
              <w:t>• 1 CRITICAL finding (HIGH confidence) ==&gt; Minimum Score = 61 (HIGH)</w:t>
              <w:br/>
              <w:t>• ≥ 2 CRITICAL findings ==&gt; Minimum Score = 81 (VERY HIGH)</w:t>
              <w:br/>
              <w:t>Final Score = max(Score_density, Severity Floor)</w:t>
            </w:r>
          </w:p>
        </w:tc>
      </w:tr>
    </w:tbl>
    <w:p>
      <w:pPr>
        <w:spacing w:before="120" w:after="40"/>
      </w:pPr>
      <w:r>
        <w:rPr>
          <w:b/>
          <w:color w:val="059669"/>
        </w:rPr>
        <w:t>■ Step 5: Dynamic Weight Normalization</w:t>
      </w:r>
    </w:p>
    <w:tbl>
      <w:tblPr>
        <w:tblW w:type="auto" w:w="0"/>
        <w:jc w:val="center"/>
        <w:tblLayout w:type="fixed"/>
        <w:tblLook w:firstColumn="1" w:firstRow="1" w:lastColumn="0" w:lastRow="0" w:noHBand="0" w:noVBand="1" w:val="04A0"/>
      </w:tblPr>
      <w:tblGrid>
        <w:gridCol w:w="10080"/>
      </w:tblGrid>
      <w:tr>
        <w:tc>
          <w:tcPr>
            <w:tcW w:type="dxa" w:w="10080"/>
            <w:shd w:fill="0F172A"/>
            <w:tcMar>
              <w:top w:w="80" w:type="dxa"/>
              <w:bottom w:w="80" w:type="dxa"/>
              <w:left w:w="140" w:type="dxa"/>
              <w:right w:w="140" w:type="dxa"/>
            </w:tcMar>
            <w:tcBorders>
              <w:top w:val="single" w:sz="6" w:space="0" w:color="334155"/>
              <w:left w:val="single" w:sz="18" w:space="0" w:color="10B981"/>
              <w:bottom w:val="single" w:sz="6" w:space="0" w:color="334155"/>
              <w:right w:val="single" w:sz="6" w:space="0" w:color="334155"/>
            </w:tcBorders>
          </w:tcPr>
          <w:p>
            <w:pPr>
              <w:spacing w:before="40" w:after="40" w:line="264" w:lineRule="auto"/>
            </w:pPr>
            <w:r>
              <w:rPr>
                <w:rFonts w:ascii="Consolas" w:hAnsi="Consolas"/>
                <w:color w:val="38BDF8"/>
                <w:sz w:val="17"/>
              </w:rPr>
              <w:t>If a repository has no web frameworks (e.g. pure CLI tool), AuthN and AuthZ are marked NOT_ANALYZED.</w:t>
              <w:br/>
              <w:t>Entropy NEVER assigns fake 0.0 scores. Active category weights (A) are normalized dynamically:</w:t>
              <w:br/>
              <w:t>w_c(rel) = W_c / Σ W_a [for a in A]</w:t>
              <w:br/>
              <w:t>Entropy Score = round(Σ w_c(rel) × Category Score_c)</w:t>
            </w:r>
          </w:p>
        </w:tc>
      </w:tr>
    </w:tbl>
    <w:p>
      <w:pPr>
        <w:pStyle w:val="Heading1"/>
        <w:spacing w:before="320" w:after="80"/>
      </w:pPr>
      <w:r>
        <w:rPr>
          <w:color w:val="0F172A"/>
        </w:rPr>
        <w:t>6. Technology Stack Rationale</w:t>
      </w:r>
    </w:p>
    <w:tbl>
      <w:tblPr>
        <w:tblW w:type="auto" w:w="0"/>
        <w:jc w:val="center"/>
        <w:tblLook w:firstColumn="1" w:firstRow="1" w:lastColumn="0" w:lastRow="0" w:noHBand="0" w:noVBand="1" w:val="04A0"/>
      </w:tblPr>
      <w:tblGrid>
        <w:gridCol w:w="3360"/>
        <w:gridCol w:w="3360"/>
        <w:gridCol w:w="3360"/>
      </w:tblGrid>
      <w:tr>
        <w:trPr>
          <w:cantSplit/>
          <w:tblHeader/>
        </w:trPr>
        <w:tc>
          <w:tcPr>
            <w:tcW w:type="dxa" w:w="2160"/>
            <w:tcMar>
              <w:top w:w="60" w:type="dxa"/>
              <w:bottom w:w="60" w:type="dxa"/>
              <w:left w:w="90" w:type="dxa"/>
              <w:right w:w="90" w:type="dxa"/>
            </w:tcMar>
            <w:vAlign w:val="center"/>
            <w:tcBorders>
              <w:top w:val="single" w:sz="4" w:space="0" w:color="CBD5E1"/>
              <w:left w:val="none"/>
              <w:bottom w:val="single" w:sz="10" w:space="0" w:color="059669"/>
              <w:right w:val="none"/>
            </w:tcBorders>
            <w:shd w:fill="0F172A"/>
          </w:tcPr>
          <w:p>
            <w:pPr>
              <w:spacing w:before="40" w:after="40" w:line="252" w:lineRule="auto"/>
            </w:pPr>
            <w:r>
              <w:rPr>
                <w:rFonts w:ascii="Calibri" w:hAnsi="Calibri"/>
                <w:b/>
                <w:color w:val="FFFFFF"/>
                <w:sz w:val="18"/>
              </w:rPr>
              <w:t>Layer</w:t>
            </w:r>
          </w:p>
        </w:tc>
        <w:tc>
          <w:tcPr>
            <w:tcW w:type="dxa" w:w="2592"/>
            <w:tcMar>
              <w:top w:w="60" w:type="dxa"/>
              <w:bottom w:w="60" w:type="dxa"/>
              <w:left w:w="90" w:type="dxa"/>
              <w:right w:w="90" w:type="dxa"/>
            </w:tcMar>
            <w:vAlign w:val="center"/>
            <w:tcBorders>
              <w:top w:val="single" w:sz="4" w:space="0" w:color="CBD5E1"/>
              <w:left w:val="none"/>
              <w:bottom w:val="single" w:sz="10" w:space="0" w:color="059669"/>
              <w:right w:val="none"/>
            </w:tcBorders>
            <w:shd w:fill="0F172A"/>
          </w:tcPr>
          <w:p>
            <w:pPr>
              <w:spacing w:before="40" w:after="40" w:line="252" w:lineRule="auto"/>
            </w:pPr>
            <w:r>
              <w:rPr>
                <w:rFonts w:ascii="Calibri" w:hAnsi="Calibri"/>
                <w:b/>
                <w:color w:val="FFFFFF"/>
                <w:sz w:val="18"/>
              </w:rPr>
              <w:t>Technology</w:t>
            </w:r>
          </w:p>
        </w:tc>
        <w:tc>
          <w:tcPr>
            <w:tcW w:type="dxa" w:w="5328"/>
            <w:tcMar>
              <w:top w:w="60" w:type="dxa"/>
              <w:bottom w:w="60" w:type="dxa"/>
              <w:left w:w="90" w:type="dxa"/>
              <w:right w:w="90" w:type="dxa"/>
            </w:tcMar>
            <w:vAlign w:val="center"/>
            <w:tcBorders>
              <w:top w:val="single" w:sz="4" w:space="0" w:color="CBD5E1"/>
              <w:left w:val="none"/>
              <w:bottom w:val="single" w:sz="10" w:space="0" w:color="059669"/>
              <w:right w:val="none"/>
            </w:tcBorders>
            <w:shd w:fill="0F172A"/>
          </w:tcPr>
          <w:p>
            <w:pPr>
              <w:spacing w:before="40" w:after="40" w:line="252" w:lineRule="auto"/>
            </w:pPr>
            <w:r>
              <w:rPr>
                <w:rFonts w:ascii="Calibri" w:hAnsi="Calibri"/>
                <w:b/>
                <w:color w:val="FFFFFF"/>
                <w:sz w:val="18"/>
              </w:rPr>
              <w:t>Engineering Rationale &amp; Selection Criteria</w:t>
            </w:r>
          </w:p>
        </w:tc>
      </w:tr>
      <w:tr>
        <w:trPr>
          <w:cantSplit/>
        </w:trPr>
        <w:tc>
          <w:tcPr>
            <w:tcW w:type="dxa" w:w="2160"/>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Backend Core</w:t>
            </w:r>
          </w:p>
        </w:tc>
        <w:tc>
          <w:tcPr>
            <w:tcW w:type="dxa" w:w="2592"/>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Python 3.11+</w:t>
            </w:r>
          </w:p>
        </w:tc>
        <w:tc>
          <w:tcPr>
            <w:tcW w:type="dxa" w:w="5328"/>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High-performance typing, native standard library ast module, zero external parser dependencies for core Python parsing.</w:t>
            </w:r>
          </w:p>
        </w:tc>
      </w:tr>
      <w:tr>
        <w:trPr>
          <w:cantSplit/>
        </w:trPr>
        <w:tc>
          <w:tcPr>
            <w:tcW w:type="dxa" w:w="2160"/>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Web API</w:t>
            </w:r>
          </w:p>
        </w:tc>
        <w:tc>
          <w:tcPr>
            <w:tcW w:type="dxa" w:w="2592"/>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FastAPI</w:t>
            </w:r>
          </w:p>
        </w:tc>
        <w:tc>
          <w:tcPr>
            <w:tcW w:type="dxa" w:w="5328"/>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High-throughput asynchronous ASGI engine with native OpenAPI/Swagger generation and dependency-injection security architecture.</w:t>
            </w:r>
          </w:p>
        </w:tc>
      </w:tr>
      <w:tr>
        <w:trPr>
          <w:cantSplit/>
        </w:trPr>
        <w:tc>
          <w:tcPr>
            <w:tcW w:type="dxa" w:w="2160"/>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Serialization</w:t>
            </w:r>
          </w:p>
        </w:tc>
        <w:tc>
          <w:tcPr>
            <w:tcW w:type="dxa" w:w="2592"/>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Pydantic v2</w:t>
            </w:r>
          </w:p>
        </w:tc>
        <w:tc>
          <w:tcPr>
            <w:tcW w:type="dxa" w:w="5328"/>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Rust-based validation core (pydantic-core) delivering sub-millisecond serialization across thousands of finding objects.</w:t>
            </w:r>
          </w:p>
        </w:tc>
      </w:tr>
      <w:tr>
        <w:trPr>
          <w:cantSplit/>
        </w:trPr>
        <w:tc>
          <w:tcPr>
            <w:tcW w:type="dxa" w:w="2160"/>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Frontend</w:t>
            </w:r>
          </w:p>
        </w:tc>
        <w:tc>
          <w:tcPr>
            <w:tcW w:type="dxa" w:w="2592"/>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Next.js 14 / React</w:t>
            </w:r>
          </w:p>
        </w:tc>
        <w:tc>
          <w:tcPr>
            <w:tcW w:type="dxa" w:w="5328"/>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App Router with Server/Client boundary separation, streaming state for long-running repository AST scans.</w:t>
            </w:r>
          </w:p>
        </w:tc>
      </w:tr>
      <w:tr>
        <w:trPr>
          <w:cantSplit/>
        </w:trPr>
        <w:tc>
          <w:tcPr>
            <w:tcW w:type="dxa" w:w="2160"/>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Styling</w:t>
            </w:r>
          </w:p>
        </w:tc>
        <w:tc>
          <w:tcPr>
            <w:tcW w:type="dxa" w:w="2592"/>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Tailwind CSS</w:t>
            </w:r>
          </w:p>
        </w:tc>
        <w:tc>
          <w:tcPr>
            <w:tcW w:type="dxa" w:w="5328"/>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Zero-runtime utility CSS implementing Entropy's obsidian/emerald developer aesthetic without stylesheet bloat.</w:t>
            </w:r>
          </w:p>
        </w:tc>
      </w:tr>
      <w:tr>
        <w:trPr>
          <w:cantSplit/>
        </w:trPr>
        <w:tc>
          <w:tcPr>
            <w:tcW w:type="dxa" w:w="2160"/>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CI/CD Output</w:t>
            </w:r>
          </w:p>
        </w:tc>
        <w:tc>
          <w:tcPr>
            <w:tcW w:type="dxa" w:w="2592"/>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OASIS SARIF 2.1.0</w:t>
            </w:r>
          </w:p>
        </w:tc>
        <w:tc>
          <w:tcPr>
            <w:tcW w:type="dxa" w:w="5328"/>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Universal standard for static analysis interoperability, rendering natively inside GitHub Code Scanning tabs.</w:t>
            </w:r>
          </w:p>
        </w:tc>
      </w:tr>
      <w:tr>
        <w:trPr>
          <w:cantSplit/>
        </w:trPr>
        <w:tc>
          <w:tcPr>
            <w:tcW w:type="dxa" w:w="2160"/>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Advisory AI</w:t>
            </w:r>
          </w:p>
        </w:tc>
        <w:tc>
          <w:tcPr>
            <w:tcW w:type="dxa" w:w="2592"/>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Google Gemini</w:t>
            </w:r>
          </w:p>
        </w:tc>
        <w:tc>
          <w:tcPr>
            <w:tcW w:type="dxa" w:w="5328"/>
            <w:tcMar>
              <w:top w:w="60" w:type="dxa"/>
              <w:bottom w:w="60" w:type="dxa"/>
              <w:left w:w="90" w:type="dxa"/>
              <w:right w:w="90" w:type="dxa"/>
            </w:tcMar>
            <w:vAlign w:val="center"/>
            <w:tcBorders>
              <w:top w:val="single" w:sz="4" w:space="0" w:color="CBD5E1"/>
              <w:left w:val="none"/>
              <w:bottom w:val="single" w:sz="4" w:space="0" w:color="E2E8F0"/>
              <w:right w:val="none"/>
            </w:tcBorders>
            <w:shd w:fill="FFFFFF"/>
          </w:tcPr>
          <w:p>
            <w:pPr>
              <w:spacing w:before="40" w:after="40" w:line="252" w:lineRule="auto"/>
            </w:pPr>
            <w:r>
              <w:rPr>
                <w:rFonts w:ascii="Calibri" w:hAnsi="Calibri"/>
                <w:color w:val="334155"/>
                <w:sz w:val="17"/>
              </w:rPr>
              <w:t>Large context window for whole-file architectural comprehension and generating grounded remediation diffs.</w:t>
            </w:r>
          </w:p>
        </w:tc>
      </w:tr>
      <w:tr>
        <w:trPr>
          <w:cantSplit/>
        </w:trPr>
        <w:tc>
          <w:tcPr>
            <w:tcW w:type="dxa" w:w="2160"/>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Video Engine</w:t>
            </w:r>
          </w:p>
        </w:tc>
        <w:tc>
          <w:tcPr>
            <w:tcW w:type="dxa" w:w="2592"/>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Hyperframes &amp; FFmpeg</w:t>
            </w:r>
          </w:p>
        </w:tc>
        <w:tc>
          <w:tcPr>
            <w:tcW w:type="dxa" w:w="5328"/>
            <w:tcMar>
              <w:top w:w="60" w:type="dxa"/>
              <w:bottom w:w="60" w:type="dxa"/>
              <w:left w:w="90" w:type="dxa"/>
              <w:right w:w="90" w:type="dxa"/>
            </w:tcMar>
            <w:vAlign w:val="center"/>
            <w:tcBorders>
              <w:top w:val="single" w:sz="4" w:space="0" w:color="CBD5E1"/>
              <w:left w:val="none"/>
              <w:bottom w:val="single" w:sz="4" w:space="0" w:color="E2E8F0"/>
              <w:right w:val="none"/>
            </w:tcBorders>
            <w:shd w:fill="F8FAFC"/>
          </w:tcPr>
          <w:p>
            <w:pPr>
              <w:spacing w:before="40" w:after="40" w:line="252" w:lineRule="auto"/>
            </w:pPr>
            <w:r>
              <w:rPr>
                <w:rFonts w:ascii="Calibri" w:hAnsi="Calibri"/>
                <w:color w:val="334155"/>
                <w:sz w:val="17"/>
              </w:rPr>
              <w:t>Deterministic headless browser video composition (30fps) with local H.264 muxing and frame-0 poster baking.</w:t>
            </w:r>
          </w:p>
        </w:tc>
      </w:tr>
    </w:tbl>
    <w:p>
      <w:pPr>
        <w:pStyle w:val="Heading1"/>
        <w:spacing w:before="320" w:after="80"/>
      </w:pPr>
      <w:r>
        <w:rPr>
          <w:color w:val="0F172A"/>
        </w:rPr>
        <w:t>7. The 10 Inviolable Engineering Rules</w:t>
      </w:r>
    </w:p>
    <w:p>
      <w:pPr>
        <w:spacing w:before="60" w:after="40" w:line="264" w:lineRule="auto"/>
      </w:pPr>
      <w:r>
        <w:rPr>
          <w:b/>
          <w:color w:val="059669"/>
        </w:rPr>
        <w:t xml:space="preserve">1. </w:t>
      </w:r>
      <w:r>
        <w:rPr>
          <w:color w:val="1F2937"/>
        </w:rPr>
        <w:t>No Mock Security Findings: Every finding must originate from real AST syntax in scanned source files.</w:t>
      </w:r>
    </w:p>
    <w:p>
      <w:pPr>
        <w:spacing w:before="60" w:after="40" w:line="264" w:lineRule="auto"/>
      </w:pPr>
      <w:r>
        <w:rPr>
          <w:b/>
          <w:color w:val="059669"/>
        </w:rPr>
        <w:t xml:space="preserve">2. </w:t>
      </w:r>
      <w:r>
        <w:rPr>
          <w:color w:val="1F2937"/>
        </w:rPr>
        <w:t>No Fake Scan Results: Never return canned responses. An empty codebase produces zero findings.</w:t>
      </w:r>
    </w:p>
    <w:p>
      <w:pPr>
        <w:spacing w:before="60" w:after="40" w:line="264" w:lineRule="auto"/>
      </w:pPr>
      <w:r>
        <w:rPr>
          <w:b/>
          <w:color w:val="059669"/>
        </w:rPr>
        <w:t xml:space="preserve">3. </w:t>
      </w:r>
      <w:r>
        <w:rPr>
          <w:color w:val="1F2937"/>
        </w:rPr>
        <w:t>No Hardcoded Dashboard Metrics: Every number, percentage, and badge must be computed by the backend engine.</w:t>
      </w:r>
    </w:p>
    <w:p>
      <w:pPr>
        <w:spacing w:before="60" w:after="40" w:line="264" w:lineRule="auto"/>
      </w:pPr>
      <w:r>
        <w:rPr>
          <w:b/>
          <w:color w:val="059669"/>
        </w:rPr>
        <w:t xml:space="preserve">4. </w:t>
      </w:r>
      <w:r>
        <w:rPr>
          <w:color w:val="1F2937"/>
        </w:rPr>
        <w:t>No Pretending an Analyzer Exists: If an analyzer is not implemented, its status is transparently marked NOT_ANALYZED.</w:t>
      </w:r>
    </w:p>
    <w:p>
      <w:pPr>
        <w:spacing w:before="60" w:after="40" w:line="264" w:lineRule="auto"/>
      </w:pPr>
      <w:r>
        <w:rPr>
          <w:b/>
          <w:color w:val="059669"/>
        </w:rPr>
        <w:t xml:space="preserve">5. </w:t>
      </w:r>
      <w:r>
        <w:rPr>
          <w:color w:val="1F2937"/>
        </w:rPr>
        <w:t>Backend is the Source of Truth: The frontend is strictly a presentation tier and never computes or alters debt scores.</w:t>
      </w:r>
    </w:p>
    <w:p>
      <w:pPr>
        <w:spacing w:before="60" w:after="40" w:line="264" w:lineRule="auto"/>
      </w:pPr>
      <w:r>
        <w:rPr>
          <w:b/>
          <w:color w:val="059669"/>
        </w:rPr>
        <w:t xml:space="preserve">6. </w:t>
      </w:r>
      <w:r>
        <w:rPr>
          <w:color w:val="1F2937"/>
        </w:rPr>
        <w:t>Every Score Must Be Explainable: The engine generates a step-by-step mathematical audit trail detailing raw penalties and weights.</w:t>
      </w:r>
    </w:p>
    <w:p>
      <w:pPr>
        <w:spacing w:before="60" w:after="40" w:line="264" w:lineRule="auto"/>
      </w:pPr>
      <w:r>
        <w:rPr>
          <w:b/>
          <w:color w:val="059669"/>
        </w:rPr>
        <w:t xml:space="preserve">7. </w:t>
      </w:r>
      <w:r>
        <w:rPr>
          <w:color w:val="1F2937"/>
        </w:rPr>
        <w:t>Prefer Deterministic Static Analysis Over LLM Guesses: Static syntax inspection produces findings; LLMs do not invent them.</w:t>
      </w:r>
    </w:p>
    <w:p>
      <w:pPr>
        <w:spacing w:before="60" w:after="40" w:line="264" w:lineRule="auto"/>
      </w:pPr>
      <w:r>
        <w:rPr>
          <w:b/>
          <w:color w:val="059669"/>
        </w:rPr>
        <w:t xml:space="preserve">8. </w:t>
      </w:r>
      <w:r>
        <w:rPr>
          <w:color w:val="1F2937"/>
        </w:rPr>
        <w:t>AI Explains Findings, Not Invents Them: AI synthesizes rationale and refactor suggestions strictly grounded in AST findings.</w:t>
      </w:r>
    </w:p>
    <w:p>
      <w:pPr>
        <w:spacing w:before="60" w:after="40" w:line="264" w:lineRule="auto"/>
      </w:pPr>
      <w:r>
        <w:rPr>
          <w:b/>
          <w:color w:val="059669"/>
        </w:rPr>
        <w:t xml:space="preserve">9. </w:t>
      </w:r>
      <w:r>
        <w:rPr>
          <w:color w:val="1F2937"/>
        </w:rPr>
        <w:t>Fail Gracefully on Parse Errors: When a file contains syntax errors, record a non-fatal warning and continue scanning.</w:t>
      </w:r>
    </w:p>
    <w:p>
      <w:pPr>
        <w:spacing w:before="60" w:after="40" w:line="264" w:lineRule="auto"/>
      </w:pPr>
      <w:r>
        <w:rPr>
          <w:b/>
          <w:color w:val="059669"/>
        </w:rPr>
        <w:t xml:space="preserve">10. </w:t>
      </w:r>
      <w:r>
        <w:rPr>
          <w:color w:val="1F2937"/>
        </w:rPr>
        <w:t>Preserve Exact Source Locations: Every finding must capture exact file paths, line ranges, and surrounding verbatim code snippets.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6"/>
      </w:rPr>
      <w:t>Entropy Architectural Security Debt Platform • Authoritative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6"/>
      </w:rPr>
      <w:t>ENTROPY • System Architecture &amp; Technical Deep Dive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