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INTEREST RATE SWAP CONFIRMATION</w:t>
      </w:r>
    </w:p>
    <w:p>
      <w:r>
        <w:rPr>
          <w:b/>
          <w:sz w:val="20"/>
        </w:rPr>
        <w:t xml:space="preserve">Date: </w:t>
      </w:r>
      <w:r>
        <w:rPr>
          <w:sz w:val="20"/>
        </w:rPr>
        <w:t>January 10, 2026</w:t>
      </w:r>
    </w:p>
    <w:p>
      <w:r>
        <w:rPr>
          <w:b/>
          <w:sz w:val="20"/>
        </w:rPr>
        <w:t xml:space="preserve">Parties: </w:t>
      </w:r>
      <w:r>
        <w:rPr>
          <w:sz w:val="20"/>
        </w:rPr>
        <w:t>Citibank N.A. London Branch (Party A) and ABC Capital LLC (Party B)</w:t>
      </w:r>
    </w:p>
    <w:p>
      <w:r>
        <w:rPr>
          <w:b/>
          <w:sz w:val="20"/>
        </w:rPr>
        <w:t xml:space="preserve">Trade Type: </w:t>
      </w:r>
      <w:r>
        <w:rPr>
          <w:sz w:val="20"/>
        </w:rPr>
        <w:t>Interest Rate Swap</w:t>
      </w:r>
    </w:p>
    <w:p>
      <w:r>
        <w:rPr>
          <w:b/>
          <w:sz w:val="20"/>
        </w:rPr>
        <w:t xml:space="preserve">Product: </w:t>
      </w:r>
      <w:r>
        <w:rPr>
          <w:sz w:val="20"/>
        </w:rPr>
        <w:t>IRS</w:t>
      </w:r>
    </w:p>
    <w:p>
      <w:r>
        <w:rPr>
          <w:b/>
          <w:sz w:val="20"/>
        </w:rPr>
        <w:t xml:space="preserve">Counterparty: </w:t>
      </w:r>
      <w:r>
        <w:rPr>
          <w:sz w:val="20"/>
        </w:rPr>
        <w:t>Citibank</w:t>
      </w:r>
    </w:p>
    <w:p>
      <w:r>
        <w:rPr>
          <w:b/>
          <w:sz w:val="20"/>
        </w:rPr>
        <w:t xml:space="preserve">Jurisdiction: </w:t>
      </w:r>
      <w:r>
        <w:rPr>
          <w:sz w:val="20"/>
        </w:rPr>
        <w:t>US</w:t>
      </w:r>
    </w:p>
    <w:p>
      <w:r>
        <w:rPr>
          <w:b/>
          <w:sz w:val="20"/>
        </w:rPr>
        <w:t xml:space="preserve">Governing Law: </w:t>
      </w:r>
      <w:r>
        <w:rPr>
          <w:sz w:val="20"/>
        </w:rPr>
        <w:t>New York</w:t>
      </w:r>
    </w:p>
    <w:p>
      <w:r>
        <w:rPr>
          <w:b/>
          <w:sz w:val="20"/>
        </w:rPr>
        <w:t xml:space="preserve">ISDA Agreement: </w:t>
      </w:r>
      <w:r>
        <w:rPr>
          <w:sz w:val="20"/>
        </w:rPr>
        <w:t>2002 ISDA Master Agreement</w:t>
      </w:r>
    </w:p>
    <w:p>
      <w:pPr>
        <w:pStyle w:val="Heading2"/>
      </w:pPr>
      <w:r>
        <w:t>Economic Terms</w:t>
      </w:r>
    </w:p>
    <w:p>
      <w:r>
        <w:rPr>
          <w:b/>
          <w:sz w:val="20"/>
        </w:rPr>
        <w:t xml:space="preserve">Notional Amount: </w:t>
      </w:r>
      <w:r>
        <w:rPr>
          <w:sz w:val="20"/>
        </w:rPr>
        <w:t>50,00,000</w:t>
      </w:r>
    </w:p>
    <w:p>
      <w:r>
        <w:rPr>
          <w:b/>
          <w:sz w:val="20"/>
        </w:rPr>
        <w:t xml:space="preserve">Fixed Rate: </w:t>
      </w:r>
      <w:r>
        <w:rPr>
          <w:sz w:val="20"/>
        </w:rPr>
        <w:t>4.25</w:t>
      </w:r>
    </w:p>
    <w:p>
      <w:r>
        <w:rPr>
          <w:b/>
          <w:sz w:val="20"/>
        </w:rPr>
        <w:t xml:space="preserve">Floating Rate: </w:t>
      </w:r>
      <w:r>
        <w:rPr>
          <w:sz w:val="20"/>
        </w:rPr>
        <w:t>SOFR + [SPREAD]bps</w:t>
      </w:r>
    </w:p>
    <w:p>
      <w:r>
        <w:rPr>
          <w:b/>
          <w:sz w:val="20"/>
        </w:rPr>
        <w:t xml:space="preserve">Payment Frequency: </w:t>
      </w:r>
      <w:r>
        <w:rPr>
          <w:sz w:val="20"/>
        </w:rPr>
        <w:t>Annual</w:t>
      </w:r>
    </w:p>
    <w:p>
      <w:r>
        <w:rPr>
          <w:b/>
          <w:sz w:val="20"/>
        </w:rPr>
        <w:t xml:space="preserve">Effective Date: </w:t>
      </w:r>
      <w:r>
        <w:rPr>
          <w:sz w:val="20"/>
        </w:rPr>
        <w:t>March 24, 2026</w:t>
      </w:r>
    </w:p>
    <w:p>
      <w:r>
        <w:rPr>
          <w:b/>
          <w:sz w:val="20"/>
        </w:rPr>
        <w:t xml:space="preserve">Maturity Date: </w:t>
      </w:r>
      <w:r>
        <w:rPr>
          <w:sz w:val="20"/>
        </w:rPr>
        <w:t>January 20, 2029</w:t>
      </w:r>
    </w:p>
    <w:p>
      <w:r>
        <w:rPr>
          <w:b/>
          <w:sz w:val="20"/>
        </w:rPr>
        <w:t xml:space="preserve">Day Count: </w:t>
      </w:r>
      <w:r>
        <w:rPr>
          <w:sz w:val="20"/>
        </w:rPr>
        <w:t>Actual/360</w:t>
      </w:r>
    </w:p>
    <w:p>
      <w:pPr>
        <w:pStyle w:val="Heading2"/>
      </w:pPr>
      <w:r>
        <w:t>Confirmation Terms</w:t>
      </w:r>
    </w:p>
    <w:p>
      <w:r>
        <w:rPr>
          <w:sz w:val="20"/>
        </w:rPr>
        <w:t>This Confirmation supplements and forms part of the 2002 ISDA Master Agreement. The Transaction is a Sterling Interest Rate Swap referencing SONIA as the overnight risk-free rate published by the Bank of England. Compounded SONIA in arrears applies for the floating leg calculation. The lookback period is 5 business days. Payment netting applies on the same payment dates. The transaction is centrally cleared via LCH SwapClear. Initial and variation margin requirements apply per LCH rulebook. MiFID II transaction reporting obligations apply to both parties.</w:t>
      </w:r>
    </w:p>
    <w:p>
      <w:pPr>
        <w:pStyle w:val="Heading2"/>
      </w:pPr>
      <w:r>
        <w:t>Document Metadata</w:t>
      </w:r>
    </w:p>
    <w:p>
      <w:r>
        <w:rPr>
          <w:b/>
          <w:sz w:val="20"/>
        </w:rPr>
        <w:t xml:space="preserve">Version: </w:t>
      </w:r>
      <w:r>
        <w:rPr>
          <w:sz w:val="20"/>
        </w:rPr>
        <w:t>2.0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