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0F7173"/>
          <w:sz w:val="28"/>
          <w:szCs w:val="28"/>
        </w:rPr>
        <w:t xml:space="preserve">Your College Name</w:t>
      </w:r>
    </w:p>
    <w:p>
      <w:pPr>
        <w:spacing w:after="200"/>
      </w:pPr>
    </w:p>
    <w:p>
      <w:pPr>
        <w:pBdr>
          <w:bottom w:val="single" w:color="0F7173" w:sz="12" w:space="1"/>
        </w:pBdr>
        <w:jc w:val="center"/>
      </w:pPr>
      <w:r>
        <w:rPr>
          <w:sz w:val="4"/>
          <w:szCs w:val="4"/>
        </w:rPr>
        <w:t xml:space="preserve"> </w:t>
      </w:r>
    </w:p>
    <w:p>
      <w:pPr>
        <w:spacing w:after="400"/>
      </w:pPr>
    </w:p>
    <w:p>
      <w:pPr>
        <w:spacing w:after="120"/>
        <w:jc w:val="center"/>
      </w:pPr>
      <w:r>
        <w:rPr>
          <w:rFonts w:ascii="Arial" w:cs="Arial" w:eastAsia="Arial" w:hAnsi="Arial"/>
          <w:b/>
          <w:bCs/>
          <w:caps/>
          <w:color w:val="8095A8"/>
          <w:sz w:val="18"/>
          <w:szCs w:val="18"/>
        </w:rPr>
        <w:t xml:space="preserve">ARCHITECTURE DOCUMENT</w:t>
      </w:r>
    </w:p>
    <w:p>
      <w:pPr>
        <w:spacing w:after="300"/>
        <w:jc w:val="center"/>
      </w:pPr>
      <w:r>
        <w:rPr>
          <w:rFonts w:ascii="Arial" w:cs="Arial" w:eastAsia="Arial" w:hAnsi="Arial"/>
          <w:b/>
          <w:bCs/>
          <w:color w:val="0D1B2A"/>
          <w:sz w:val="40"/>
          <w:szCs w:val="40"/>
        </w:rPr>
        <w:t xml:space="preserve">AI/ML-Driven Trade Confirmation Automation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AI/ML-Driven Trade Confirmation Automation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Team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Jatayu</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College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College Name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Programme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Virtusa Jatayu Internship 2024–25</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 of Submission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March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Final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for Submission</w:t>
            </w:r>
          </w:p>
        </w:tc>
      </w:tr>
    </w:tbl>
    <w:p>
      <w:pPr>
        <w:spacing w:after="600"/>
      </w:pPr>
    </w:p>
    <w:p>
      <w:pPr>
        <w:jc w:val="center"/>
      </w:pPr>
      <w:r>
        <w:rPr>
          <w:rFonts w:ascii="Arial" w:cs="Arial" w:eastAsia="Arial" w:hAnsi="Arial"/>
          <w:color w:val="8095A8"/>
          <w:sz w:val="18"/>
          <w:szCs w:val="18"/>
        </w:rPr>
        <w:t xml:space="preserve">Virtusa Jatayu · Confidential</w:t>
      </w:r>
    </w:p>
    <w:p>
      <w:r>
        <w:br/>
      </w:r>
    </w:p>
    <w:p>
      <w:pPr>
        <w:pStyle w:val="Heading1"/>
        <w:spacing w:before="360" w:after="180"/>
      </w:pPr>
      <w:r>
        <w:rPr>
          <w:rFonts w:ascii="Arial" w:cs="Arial" w:eastAsia="Arial" w:hAnsi="Arial"/>
          <w:b/>
          <w:bCs/>
          <w:color w:val="0D1B2A"/>
          <w:sz w:val="32"/>
          <w:szCs w:val="32"/>
        </w:rPr>
        <w:t xml:space="preserve">Table of Contents</w:t>
      </w:r>
    </w:p>
    <w:p>
      <w:pPr>
        <w:pBdr>
          <w:bottom w:val="single" w:color="0F717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  Executive Summary</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3</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2.  Project Overview</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4</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3.  System Architecture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3.1  High-Level Architecture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3.2  Frontend Architecture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6</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3.3  Backend Architecture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6</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3.4  AI/ML Model Pipeline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4.  Technology Stack</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8</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5.  Functional Modules</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5.1  Dashboard</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5.2  Iteration 1 — Template Reuse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5.3  Iteration 2 — Difference Highlighting</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10</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5.4  Iteration 3 — AI Generation</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10</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5.5  Pipeline Visualizer</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11</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5.6  Analytics</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11</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    5.7  Settings</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11</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6.  How to Use Each Page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12</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7.  Additional Enhancements</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14</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8.  Data Flow Diagram</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15</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9.  Security &amp; Compliance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16</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10. Accuracy Targets &amp; Metrics</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17</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11. Deployment Architecture</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18</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12. Risks &amp; Mitigations</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19</w:t>
            </w:r>
          </w:p>
        </w:tc>
      </w:tr>
      <w:tr>
        <w:tc>
          <w:tcPr>
            <w:tcW w:type="dxa" w:w="75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13. Conclusion</w:t>
            </w:r>
          </w:p>
        </w:tc>
        <w:tc>
          <w:tcPr>
            <w:tcW w:type="dxa" w:w="186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sz w:val="22"/>
                <w:szCs w:val="22"/>
              </w:rPr>
              <w:t xml:space="preserve">20</w:t>
            </w:r>
          </w:p>
        </w:tc>
      </w:tr>
    </w:tbl>
    <w:p>
      <w:r>
        <w:br/>
      </w:r>
    </w:p>
    <w:p>
      <w:pPr>
        <w:pStyle w:val="Heading1"/>
        <w:spacing w:before="360" w:after="180"/>
      </w:pPr>
      <w:r>
        <w:rPr>
          <w:rFonts w:ascii="Arial" w:cs="Arial" w:eastAsia="Arial" w:hAnsi="Arial"/>
          <w:b/>
          <w:bCs/>
          <w:color w:val="0D1B2A"/>
          <w:sz w:val="32"/>
          <w:szCs w:val="32"/>
        </w:rPr>
        <w:t xml:space="preserve">1. Executive Summary</w:t>
      </w:r>
    </w:p>
    <w:p>
      <w:pPr>
        <w:pBdr>
          <w:bottom w:val="single" w:color="0F7173" w:sz="6" w:space="1"/>
        </w:pBdr>
        <w:spacing w:after="200"/>
      </w:pPr>
    </w:p>
    <w:p>
      <w:pPr>
        <w:spacing w:before="80" w:after="140"/>
      </w:pPr>
      <w:r>
        <w:rPr>
          <w:rFonts w:ascii="Arial" w:cs="Arial" w:eastAsia="Arial" w:hAnsi="Arial"/>
          <w:sz w:val="22"/>
          <w:szCs w:val="22"/>
        </w:rPr>
        <w:t xml:space="preserve">This document describes the architecture, design decisions, functional modules, and operational guidelines for the AI/ML-Driven Trade Confirmation Automation platform — developed as a Proof of Concept (POC) by Team Jatayu under the Virtusa Jatayu Internship Programme 2024–25.</w:t>
      </w:r>
    </w:p>
    <w:p>
      <w:pPr>
        <w:spacing w:before="80" w:after="140"/>
      </w:pPr>
      <w:r>
        <w:rPr>
          <w:rFonts w:ascii="Arial" w:cs="Arial" w:eastAsia="Arial" w:hAnsi="Arial"/>
          <w:sz w:val="22"/>
          <w:szCs w:val="22"/>
        </w:rPr>
        <w:t xml:space="preserve">The platform addresses a critical pain point in financial services operations: the manual, time-intensive, and error-prone process of drafting trade confirmation documents. By applying state-of-the-art natural language processing and large language models across three progressive iterations, the system reduces manual drafting effort by 60–80% while maintaining 100% regulatory compliance through deterministic validation.</w:t>
      </w:r>
    </w:p>
    <w:p>
      <w:pPr>
        <w:pStyle w:val="Heading3"/>
        <w:spacing w:before="200" w:after="100"/>
      </w:pPr>
      <w:r>
        <w:rPr>
          <w:rFonts w:ascii="Arial" w:cs="Arial" w:eastAsia="Arial" w:hAnsi="Arial"/>
          <w:b/>
          <w:bCs/>
          <w:color w:val="1A2E45"/>
          <w:sz w:val="22"/>
          <w:szCs w:val="22"/>
        </w:rPr>
        <w:t xml:space="preserve">Key Outcomes</w:t>
      </w:r>
    </w:p>
    <w:p>
      <w:pPr>
        <w:pStyle w:val="ListParagraph"/>
        <w:numPr>
          <w:ilvl w:val="0"/>
          <w:numId w:val="2"/>
        </w:numPr>
        <w:spacing w:before="60" w:after="60"/>
      </w:pPr>
      <w:r>
        <w:rPr>
          <w:rFonts w:ascii="Arial" w:cs="Arial" w:eastAsia="Arial" w:hAnsi="Arial"/>
          <w:sz w:val="22"/>
          <w:szCs w:val="22"/>
        </w:rPr>
        <w:t xml:space="preserve">Autofill Accuracy ≥ 95% on structured trade fields</w:t>
      </w:r>
    </w:p>
    <w:p>
      <w:pPr>
        <w:pStyle w:val="ListParagraph"/>
        <w:numPr>
          <w:ilvl w:val="0"/>
          <w:numId w:val="2"/>
        </w:numPr>
        <w:spacing w:before="60" w:after="60"/>
      </w:pPr>
      <w:r>
        <w:rPr>
          <w:rFonts w:ascii="Arial" w:cs="Arial" w:eastAsia="Arial" w:hAnsi="Arial"/>
          <w:sz w:val="22"/>
          <w:szCs w:val="22"/>
        </w:rPr>
        <w:t xml:space="preserve">Precision ≥ 0.80 on template retrieval</w:t>
      </w:r>
    </w:p>
    <w:p>
      <w:pPr>
        <w:pStyle w:val="ListParagraph"/>
        <w:numPr>
          <w:ilvl w:val="0"/>
          <w:numId w:val="2"/>
        </w:numPr>
        <w:spacing w:before="60" w:after="60"/>
      </w:pPr>
      <w:r>
        <w:rPr>
          <w:rFonts w:ascii="Arial" w:cs="Arial" w:eastAsia="Arial" w:hAnsi="Arial"/>
          <w:sz w:val="22"/>
          <w:szCs w:val="22"/>
        </w:rPr>
        <w:t xml:space="preserve">Clause Alignment F1 ≥ 0.85 across 6 clause sections</w:t>
      </w:r>
    </w:p>
    <w:p>
      <w:pPr>
        <w:pStyle w:val="ListParagraph"/>
        <w:numPr>
          <w:ilvl w:val="0"/>
          <w:numId w:val="2"/>
        </w:numPr>
        <w:spacing w:before="60" w:after="60"/>
      </w:pPr>
      <w:r>
        <w:rPr>
          <w:rFonts w:ascii="Arial" w:cs="Arial" w:eastAsia="Arial" w:hAnsi="Arial"/>
          <w:sz w:val="22"/>
          <w:szCs w:val="22"/>
        </w:rPr>
        <w:t xml:space="preserve">7-stage pipeline from trade event to approved confirmation in under 2.2 seconds</w:t>
      </w:r>
    </w:p>
    <w:p>
      <w:pPr>
        <w:pStyle w:val="ListParagraph"/>
        <w:numPr>
          <w:ilvl w:val="0"/>
          <w:numId w:val="2"/>
        </w:numPr>
        <w:spacing w:before="60" w:after="60"/>
      </w:pPr>
      <w:r>
        <w:rPr>
          <w:rFonts w:ascii="Arial" w:cs="Arial" w:eastAsia="Arial" w:hAnsi="Arial"/>
          <w:sz w:val="22"/>
          <w:szCs w:val="22"/>
        </w:rPr>
        <w:t xml:space="preserve">Human-in-the-loop design: AI drafts, human approves — no fully autonomous dispatch</w:t>
      </w:r>
    </w:p>
    <w:p>
      <w:pPr>
        <w:spacing w:after="200"/>
      </w:pPr>
    </w:p>
    <w:p>
      <w:r>
        <w:br/>
      </w:r>
    </w:p>
    <w:p>
      <w:pPr>
        <w:pStyle w:val="Heading1"/>
        <w:spacing w:before="360" w:after="180"/>
      </w:pPr>
      <w:r>
        <w:rPr>
          <w:rFonts w:ascii="Arial" w:cs="Arial" w:eastAsia="Arial" w:hAnsi="Arial"/>
          <w:b/>
          <w:bCs/>
          <w:color w:val="0D1B2A"/>
          <w:sz w:val="32"/>
          <w:szCs w:val="32"/>
        </w:rPr>
        <w:t xml:space="preserve">2. Project Overview</w:t>
      </w:r>
    </w:p>
    <w:p>
      <w:pPr>
        <w:pBdr>
          <w:bottom w:val="single" w:color="0F717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AI/ML-Driven Trade Confirmation Automation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Problem 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Services — Trade Operations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POC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Web Application with AI/ML Backend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Vite 5 + Framer Motion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Flask REST API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 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SBERT, DeBERTa-v3-NLI, GPT-4o, LegalBERT, FinBERT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Vector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 (ANN search for embeddings)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Compliance Standard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ISDA 2002, ISDA 2014, ICMA Global Master Repo</w:t>
            </w:r>
          </w:p>
        </w:tc>
      </w:tr>
    </w:tbl>
    <w:p>
      <w:pPr>
        <w:spacing w:after="200"/>
      </w:pPr>
    </w:p>
    <w:p>
      <w:pPr>
        <w:pStyle w:val="Heading3"/>
        <w:spacing w:before="200" w:after="100"/>
      </w:pPr>
      <w:r>
        <w:rPr>
          <w:rFonts w:ascii="Arial" w:cs="Arial" w:eastAsia="Arial" w:hAnsi="Arial"/>
          <w:b/>
          <w:bCs/>
          <w:color w:val="1A2E45"/>
          <w:sz w:val="22"/>
          <w:szCs w:val="22"/>
        </w:rPr>
        <w:t xml:space="preserve">Problem Statement</w:t>
      </w:r>
    </w:p>
    <w:p>
      <w:pPr>
        <w:spacing w:before="80" w:after="140"/>
      </w:pPr>
      <w:r>
        <w:rPr>
          <w:rFonts w:ascii="Arial" w:cs="Arial" w:eastAsia="Arial" w:hAnsi="Arial"/>
          <w:sz w:val="22"/>
          <w:szCs w:val="22"/>
        </w:rPr>
        <w:t xml:space="preserve">Trade Operations teams in financial institutions manually draft confirmation documents for every trade (Interest Rate Swaps, Credit Default Swaps, FX Forwards, Equity Swaps, etc.). This process:</w:t>
      </w:r>
    </w:p>
    <w:p>
      <w:pPr>
        <w:pStyle w:val="ListParagraph"/>
        <w:numPr>
          <w:ilvl w:val="0"/>
          <w:numId w:val="2"/>
        </w:numPr>
        <w:spacing w:before="60" w:after="60"/>
      </w:pPr>
      <w:r>
        <w:rPr>
          <w:rFonts w:ascii="Arial" w:cs="Arial" w:eastAsia="Arial" w:hAnsi="Arial"/>
          <w:sz w:val="22"/>
          <w:szCs w:val="22"/>
        </w:rPr>
        <w:t xml:space="preserve">Takes 2–6 hours per confirmation depending on complexity</w:t>
      </w:r>
    </w:p>
    <w:p>
      <w:pPr>
        <w:pStyle w:val="ListParagraph"/>
        <w:numPr>
          <w:ilvl w:val="0"/>
          <w:numId w:val="2"/>
        </w:numPr>
        <w:spacing w:before="60" w:after="60"/>
      </w:pPr>
      <w:r>
        <w:rPr>
          <w:rFonts w:ascii="Arial" w:cs="Arial" w:eastAsia="Arial" w:hAnsi="Arial"/>
          <w:sz w:val="22"/>
          <w:szCs w:val="22"/>
        </w:rPr>
        <w:t xml:space="preserve">Produces inconsistent wording leading to legal disputes</w:t>
      </w:r>
    </w:p>
    <w:p>
      <w:pPr>
        <w:pStyle w:val="ListParagraph"/>
        <w:numPr>
          <w:ilvl w:val="0"/>
          <w:numId w:val="2"/>
        </w:numPr>
        <w:spacing w:before="60" w:after="60"/>
      </w:pPr>
      <w:r>
        <w:rPr>
          <w:rFonts w:ascii="Arial" w:cs="Arial" w:eastAsia="Arial" w:hAnsi="Arial"/>
          <w:sz w:val="22"/>
          <w:szCs w:val="22"/>
        </w:rPr>
        <w:t xml:space="preserve">Cannot scale with increasing trade volumes without proportional headcount</w:t>
      </w:r>
    </w:p>
    <w:p>
      <w:pPr>
        <w:pStyle w:val="ListParagraph"/>
        <w:numPr>
          <w:ilvl w:val="0"/>
          <w:numId w:val="2"/>
        </w:numPr>
        <w:spacing w:before="60" w:after="60"/>
      </w:pPr>
      <w:r>
        <w:rPr>
          <w:rFonts w:ascii="Arial" w:cs="Arial" w:eastAsia="Arial" w:hAnsi="Arial"/>
          <w:sz w:val="22"/>
          <w:szCs w:val="22"/>
        </w:rPr>
        <w:t xml:space="preserve">Introduces regulatory compliance risk through non-standard clause language</w:t>
      </w:r>
    </w:p>
    <w:p>
      <w:pPr>
        <w:spacing w:after="200"/>
      </w:pPr>
    </w:p>
    <w:p>
      <w:pPr>
        <w:pStyle w:val="Heading3"/>
        <w:spacing w:before="200" w:after="100"/>
      </w:pPr>
      <w:r>
        <w:rPr>
          <w:rFonts w:ascii="Arial" w:cs="Arial" w:eastAsia="Arial" w:hAnsi="Arial"/>
          <w:b/>
          <w:bCs/>
          <w:color w:val="1A2E45"/>
          <w:sz w:val="22"/>
          <w:szCs w:val="22"/>
        </w:rPr>
        <w:t xml:space="preserve">Solution Approach</w:t>
      </w:r>
    </w:p>
    <w:p>
      <w:pPr>
        <w:spacing w:before="80" w:after="140"/>
      </w:pPr>
      <w:r>
        <w:rPr>
          <w:rFonts w:ascii="Arial" w:cs="Arial" w:eastAsia="Arial" w:hAnsi="Arial"/>
          <w:sz w:val="22"/>
          <w:szCs w:val="22"/>
        </w:rPr>
        <w:t xml:space="preserve">A three-phase iterative AI automation approach progressively automates the confirmation lifecycle:</w:t>
      </w:r>
    </w:p>
    <w:p>
      <w:pPr>
        <w:pStyle w:val="ListParagraph"/>
        <w:numPr>
          <w:ilvl w:val="0"/>
          <w:numId w:val="3"/>
        </w:numPr>
        <w:spacing w:before="60" w:after="60"/>
      </w:pPr>
      <w:r>
        <w:rPr>
          <w:rFonts w:ascii="Arial" w:cs="Arial" w:eastAsia="Arial" w:hAnsi="Arial"/>
          <w:sz w:val="22"/>
          <w:szCs w:val="22"/>
        </w:rPr>
        <w:t xml:space="preserve">Template Reuse (Iteration 1): Semantic search retrieves the most similar historical confirmation template, eliminating blank-slate drafting.</w:t>
      </w:r>
    </w:p>
    <w:p>
      <w:pPr>
        <w:pStyle w:val="ListParagraph"/>
        <w:numPr>
          <w:ilvl w:val="0"/>
          <w:numId w:val="3"/>
        </w:numPr>
        <w:spacing w:before="60" w:after="60"/>
      </w:pPr>
      <w:r>
        <w:rPr>
          <w:rFonts w:ascii="Arial" w:cs="Arial" w:eastAsia="Arial" w:hAnsi="Arial"/>
          <w:sz w:val="22"/>
          <w:szCs w:val="22"/>
        </w:rPr>
        <w:t xml:space="preserve">Difference Highlighting (Iteration 2): NLI models detect and risk-tag every discrepancy between incoming trade terms and the retrieved template.</w:t>
      </w:r>
    </w:p>
    <w:p>
      <w:pPr>
        <w:pStyle w:val="ListParagraph"/>
        <w:numPr>
          <w:ilvl w:val="0"/>
          <w:numId w:val="3"/>
        </w:numPr>
        <w:spacing w:before="60" w:after="60"/>
      </w:pPr>
      <w:r>
        <w:rPr>
          <w:rFonts w:ascii="Arial" w:cs="Arial" w:eastAsia="Arial" w:hAnsi="Arial"/>
          <w:sz w:val="22"/>
          <w:szCs w:val="22"/>
        </w:rPr>
        <w:t xml:space="preserve">Pre-Populated Generation (Iteration 3): GPT-4o + LegalBERT generate all clause sections from an approved regulatory clause library, with deterministic validation preventing hallucination.</w:t>
      </w:r>
    </w:p>
    <w:p>
      <w:pPr>
        <w:spacing w:after="200"/>
      </w:pPr>
    </w:p>
    <w:p>
      <w:r>
        <w:br/>
      </w:r>
    </w:p>
    <w:p>
      <w:pPr>
        <w:pStyle w:val="Heading1"/>
        <w:spacing w:before="360" w:after="180"/>
      </w:pPr>
      <w:r>
        <w:rPr>
          <w:rFonts w:ascii="Arial" w:cs="Arial" w:eastAsia="Arial" w:hAnsi="Arial"/>
          <w:b/>
          <w:bCs/>
          <w:color w:val="0D1B2A"/>
          <w:sz w:val="32"/>
          <w:szCs w:val="32"/>
        </w:rPr>
        <w:t xml:space="preserve">3. System Architecture</w:t>
      </w:r>
    </w:p>
    <w:p>
      <w:pPr>
        <w:pBdr>
          <w:bottom w:val="single" w:color="0F7173" w:sz="6" w:space="1"/>
        </w:pBdr>
        <w:spacing w:after="200"/>
      </w:pPr>
    </w:p>
    <w:p>
      <w:pPr>
        <w:pStyle w:val="Heading2"/>
        <w:spacing w:before="280" w:after="140"/>
      </w:pPr>
      <w:r>
        <w:rPr>
          <w:rFonts w:ascii="Arial" w:cs="Arial" w:eastAsia="Arial" w:hAnsi="Arial"/>
          <w:b/>
          <w:bCs/>
          <w:color w:val="0F7173"/>
          <w:sz w:val="26"/>
          <w:szCs w:val="26"/>
        </w:rPr>
        <w:t xml:space="preserve">3.1 High-Level Architecture</w:t>
      </w:r>
    </w:p>
    <w:p>
      <w:pPr>
        <w:spacing w:before="80" w:after="140"/>
      </w:pPr>
      <w:r>
        <w:rPr>
          <w:rFonts w:ascii="Arial" w:cs="Arial" w:eastAsia="Arial" w:hAnsi="Arial"/>
          <w:sz w:val="22"/>
          <w:szCs w:val="22"/>
        </w:rPr>
        <w:t xml:space="preserve">The system follows a three-tier architecture: Presentation Layer (React frontend), Application Layer (Flask REST API), and Intelligence Layer (AI/ML model pipeline). All communication is via JSON REST APIs over HTTP.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0F717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PRESENTATION LAYER</w:t>
            </w:r>
          </w:p>
        </w:tc>
        <w:tc>
          <w:tcPr>
            <w:tcW w:type="dxa" w:w="4360"/>
            <w:tcBorders>
              <w:top w:val="single" w:color="CCCCCC" w:sz="1"/>
              <w:left w:val="single" w:color="CCCCCC" w:sz="1"/>
              <w:bottom w:val="single" w:color="CCCCCC" w:sz="1"/>
              <w:right w:val="single" w:color="CCCCCC" w:sz="1"/>
            </w:tcBorders>
            <w:shd w:fill="EBF2F7" w:val="clear"/>
            <w:tcMar>
              <w:top w:type="dxa" w:w="100"/>
              <w:left w:type="dxa" w:w="120"/>
              <w:bottom w:type="dxa" w:w="100"/>
              <w:right w:type="dxa" w:w="120"/>
            </w:tcMar>
          </w:tcPr>
          <w:p>
            <w:r>
              <w:rPr>
                <w:rFonts w:ascii="Arial" w:cs="Arial" w:eastAsia="Arial" w:hAnsi="Arial"/>
                <w:b/>
                <w:bCs/>
                <w:sz w:val="20"/>
                <w:szCs w:val="20"/>
              </w:rPr>
              <w:t xml:space="preserve">React 18 + Vite 5</w:t>
            </w:r>
          </w:p>
          <w:p>
            <w:r>
              <w:rPr>
                <w:rFonts w:ascii="Arial" w:cs="Arial" w:eastAsia="Arial" w:hAnsi="Arial"/>
                <w:color w:val="8095A8"/>
                <w:sz w:val="18"/>
                <w:szCs w:val="18"/>
              </w:rPr>
              <w:t xml:space="preserve">Framer Motion · Recharts · React Router · Axios</w:t>
            </w:r>
          </w:p>
          <w:p>
            <w:r>
              <w:rPr>
                <w:rFonts w:ascii="Arial" w:cs="Arial" w:eastAsia="Arial" w:hAnsi="Arial"/>
                <w:sz w:val="18"/>
                <w:szCs w:val="18"/>
              </w:rPr>
              <w:t xml:space="preserve">7 pages: Dashboard, Template Reuse, Diff Highlight, Auto Generate, Pipeline, Analytics, Settings</w:t>
            </w:r>
          </w:p>
        </w:tc>
        <w:tc>
          <w:tcPr>
            <w:tcW w:type="dxa" w:w="2500"/>
            <w:tcBorders>
              <w:top w:val="single" w:color="CCCCCC" w:sz="1"/>
              <w:left w:val="single" w:color="CCCCCC" w:sz="1"/>
              <w:bottom w:val="single" w:color="CCCCCC" w:sz="1"/>
              <w:right w:val="single" w:color="CCCCCC" w:sz="1"/>
            </w:tcBorders>
            <w:shd w:fill="EBF2F7" w:val="clear"/>
            <w:tcMar>
              <w:top w:type="dxa" w:w="100"/>
              <w:left w:type="dxa" w:w="120"/>
              <w:bottom w:type="dxa" w:w="100"/>
              <w:right w:type="dxa" w:w="120"/>
            </w:tcMar>
          </w:tcPr>
          <w:p>
            <w:r>
              <w:rPr>
                <w:rFonts w:ascii="Arial" w:cs="Arial" w:eastAsia="Arial" w:hAnsi="Arial"/>
                <w:color w:val="0F7173"/>
                <w:sz w:val="18"/>
                <w:szCs w:val="18"/>
              </w:rPr>
              <w:t xml:space="preserve">http://localhost:3000</w:t>
            </w:r>
          </w:p>
        </w:tc>
      </w:tr>
      <w:tr>
        <w:tc>
          <w:tcPr>
            <w:tcW w:type="dxa" w:w="2500"/>
            <w:tcBorders>
              <w:top w:val="single" w:color="CCCCCC" w:sz="1"/>
              <w:left w:val="single" w:color="CCCCCC" w:sz="1"/>
              <w:bottom w:val="single" w:color="CCCCCC" w:sz="1"/>
              <w:right w:val="single" w:color="CCCCCC" w:sz="1"/>
            </w:tcBorders>
            <w:shd w:fill="1A2E4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 LAYER</w:t>
            </w:r>
          </w:p>
        </w:tc>
        <w:tc>
          <w:tcPr>
            <w:tcW w:type="dxa" w:w="4360"/>
            <w:tcBorders>
              <w:top w:val="single" w:color="CCCCCC" w:sz="1"/>
              <w:left w:val="single" w:color="CCCCCC" w:sz="1"/>
              <w:bottom w:val="single" w:color="CCCCCC" w:sz="1"/>
              <w:right w:val="single" w:color="CCCCCC" w:sz="1"/>
            </w:tcBorders>
            <w:shd w:fill="EBF2F7" w:val="clear"/>
            <w:tcMar>
              <w:top w:type="dxa" w:w="100"/>
              <w:left w:type="dxa" w:w="120"/>
              <w:bottom w:type="dxa" w:w="100"/>
              <w:right w:type="dxa" w:w="120"/>
            </w:tcMar>
          </w:tcPr>
          <w:p>
            <w:r>
              <w:rPr>
                <w:rFonts w:ascii="Arial" w:cs="Arial" w:eastAsia="Arial" w:hAnsi="Arial"/>
                <w:b/>
                <w:bCs/>
                <w:sz w:val="20"/>
                <w:szCs w:val="20"/>
              </w:rPr>
              <w:t xml:space="preserve">Python Flask REST API</w:t>
            </w:r>
          </w:p>
          <w:p>
            <w:r>
              <w:rPr>
                <w:rFonts w:ascii="Arial" w:cs="Arial" w:eastAsia="Arial" w:hAnsi="Arial"/>
                <w:color w:val="8095A8"/>
                <w:sz w:val="18"/>
                <w:szCs w:val="18"/>
              </w:rPr>
              <w:t xml:space="preserve">9 endpoints · CORS middleware · JSON responses · Mock ML pipeline</w:t>
            </w:r>
          </w:p>
        </w:tc>
        <w:tc>
          <w:tcPr>
            <w:tcW w:type="dxa" w:w="2500"/>
            <w:tcBorders>
              <w:top w:val="single" w:color="CCCCCC" w:sz="1"/>
              <w:left w:val="single" w:color="CCCCCC" w:sz="1"/>
              <w:bottom w:val="single" w:color="CCCCCC" w:sz="1"/>
              <w:right w:val="single" w:color="CCCCCC" w:sz="1"/>
            </w:tcBorders>
            <w:shd w:fill="EBF2F7" w:val="clear"/>
            <w:tcMar>
              <w:top w:type="dxa" w:w="100"/>
              <w:left w:type="dxa" w:w="120"/>
              <w:bottom w:type="dxa" w:w="100"/>
              <w:right w:type="dxa" w:w="120"/>
            </w:tcMar>
          </w:tcPr>
          <w:p>
            <w:r>
              <w:rPr>
                <w:rFonts w:ascii="Arial" w:cs="Arial" w:eastAsia="Arial" w:hAnsi="Arial"/>
                <w:color w:val="0F7173"/>
                <w:sz w:val="18"/>
                <w:szCs w:val="18"/>
              </w:rPr>
              <w:t xml:space="preserve">http://localhost:5000</w:t>
            </w:r>
          </w:p>
        </w:tc>
      </w:tr>
      <w:tr>
        <w:tc>
          <w:tcPr>
            <w:tcW w:type="dxa" w:w="2500"/>
            <w:tcBorders>
              <w:top w:val="single" w:color="CCCCCC" w:sz="1"/>
              <w:left w:val="single" w:color="CCCCCC" w:sz="1"/>
              <w:bottom w:val="single" w:color="CCCCCC" w:sz="1"/>
              <w:right w:val="single" w:color="CCCCCC" w:sz="1"/>
            </w:tcBorders>
            <w:shd w:fill="6B5EA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INTELLIGENCE LAYER</w:t>
            </w:r>
          </w:p>
        </w:tc>
        <w:tc>
          <w:tcPr>
            <w:tcW w:type="dxa" w:w="4360"/>
            <w:tcBorders>
              <w:top w:val="single" w:color="CCCCCC" w:sz="1"/>
              <w:left w:val="single" w:color="CCCCCC" w:sz="1"/>
              <w:bottom w:val="single" w:color="CCCCCC" w:sz="1"/>
              <w:right w:val="single" w:color="CCCCCC" w:sz="1"/>
            </w:tcBorders>
            <w:shd w:fill="EBF2F7" w:val="clear"/>
            <w:tcMar>
              <w:top w:type="dxa" w:w="100"/>
              <w:left w:type="dxa" w:w="120"/>
              <w:bottom w:type="dxa" w:w="100"/>
              <w:right w:type="dxa" w:w="120"/>
            </w:tcMar>
          </w:tcPr>
          <w:p>
            <w:r>
              <w:rPr>
                <w:rFonts w:ascii="Arial" w:cs="Arial" w:eastAsia="Arial" w:hAnsi="Arial"/>
                <w:b/>
                <w:bCs/>
                <w:sz w:val="20"/>
                <w:szCs w:val="20"/>
              </w:rPr>
              <w:t xml:space="preserve">SBERT · DeBERTa-v3-NLI · GPT-4o · LegalBERT · FinBERT</w:t>
            </w:r>
          </w:p>
          <w:p>
            <w:r>
              <w:rPr>
                <w:rFonts w:ascii="Arial" w:cs="Arial" w:eastAsia="Arial" w:hAnsi="Arial"/>
                <w:color w:val="8095A8"/>
                <w:sz w:val="18"/>
                <w:szCs w:val="18"/>
              </w:rPr>
              <w:t xml:space="preserve">Pinecone Vector DB · Kafka · Rule Engine · MLflow</w:t>
            </w:r>
          </w:p>
        </w:tc>
        <w:tc>
          <w:tcPr>
            <w:tcW w:type="dxa" w:w="2500"/>
            <w:tcBorders>
              <w:top w:val="single" w:color="CCCCCC" w:sz="1"/>
              <w:left w:val="single" w:color="CCCCCC" w:sz="1"/>
              <w:bottom w:val="single" w:color="CCCCCC" w:sz="1"/>
              <w:right w:val="single" w:color="CCCCCC" w:sz="1"/>
            </w:tcBorders>
            <w:shd w:fill="EBF2F7" w:val="clear"/>
            <w:tcMar>
              <w:top w:type="dxa" w:w="100"/>
              <w:left w:type="dxa" w:w="120"/>
              <w:bottom w:type="dxa" w:w="100"/>
              <w:right w:type="dxa" w:w="120"/>
            </w:tcMar>
          </w:tcPr>
          <w:p>
            <w:r>
              <w:rPr>
                <w:rFonts w:ascii="Arial" w:cs="Arial" w:eastAsia="Arial" w:hAnsi="Arial"/>
                <w:color w:val="0F7173"/>
                <w:sz w:val="18"/>
                <w:szCs w:val="18"/>
              </w:rPr>
              <w:t xml:space="preserve">AI/ML Cloud / On-prem</w:t>
            </w:r>
          </w:p>
        </w:tc>
      </w:tr>
    </w:tbl>
    <w:p>
      <w:pPr>
        <w:spacing w:after="200"/>
      </w:pPr>
    </w:p>
    <w:p>
      <w:pPr>
        <w:pStyle w:val="Heading2"/>
        <w:spacing w:before="280" w:after="140"/>
      </w:pPr>
      <w:r>
        <w:rPr>
          <w:rFonts w:ascii="Arial" w:cs="Arial" w:eastAsia="Arial" w:hAnsi="Arial"/>
          <w:b/>
          <w:bCs/>
          <w:color w:val="0F7173"/>
          <w:sz w:val="26"/>
          <w:szCs w:val="26"/>
        </w:rPr>
        <w:t xml:space="preserve">3.2 Frontend Architecture</w:t>
      </w:r>
    </w:p>
    <w:p>
      <w:pPr>
        <w:spacing w:before="80" w:after="140"/>
      </w:pPr>
      <w:r>
        <w:rPr>
          <w:rFonts w:ascii="Arial" w:cs="Arial" w:eastAsia="Arial" w:hAnsi="Arial"/>
          <w:sz w:val="22"/>
          <w:szCs w:val="22"/>
        </w:rPr>
        <w:t xml:space="preserve">The React application uses a Single Page Application (SPA) pattern with client-side routing via React Router DOM v6. All pages share a persistent Layout component (sidebar + header). Page transitions use Framer Motion's AnimatePresence with opacity/translateY animations.</w:t>
      </w:r>
    </w:p>
    <w:p>
      <w:pPr>
        <w:pStyle w:val="ListParagraph"/>
        <w:numPr>
          <w:ilvl w:val="0"/>
          <w:numId w:val="2"/>
        </w:numPr>
        <w:spacing w:before="60" w:after="60"/>
      </w:pPr>
      <w:r>
        <w:rPr>
          <w:rFonts w:ascii="Arial" w:cs="Arial" w:eastAsia="Arial" w:hAnsi="Arial"/>
          <w:sz w:val="22"/>
          <w:szCs w:val="22"/>
        </w:rPr>
        <w:t xml:space="preserve">src/App.jsx — Root router with 7 route definitions</w:t>
      </w:r>
    </w:p>
    <w:p>
      <w:pPr>
        <w:pStyle w:val="ListParagraph"/>
        <w:numPr>
          <w:ilvl w:val="0"/>
          <w:numId w:val="2"/>
        </w:numPr>
        <w:spacing w:before="60" w:after="60"/>
      </w:pPr>
      <w:r>
        <w:rPr>
          <w:rFonts w:ascii="Arial" w:cs="Arial" w:eastAsia="Arial" w:hAnsi="Arial"/>
          <w:sz w:val="22"/>
          <w:szCs w:val="22"/>
        </w:rPr>
        <w:t xml:space="preserve">src/components/Layout.jsx — Animated sidebar navigation, live clock, system status</w:t>
      </w:r>
    </w:p>
    <w:p>
      <w:pPr>
        <w:pStyle w:val="ListParagraph"/>
        <w:numPr>
          <w:ilvl w:val="0"/>
          <w:numId w:val="2"/>
        </w:numPr>
        <w:spacing w:before="60" w:after="60"/>
      </w:pPr>
      <w:r>
        <w:rPr>
          <w:rFonts w:ascii="Arial" w:cs="Arial" w:eastAsia="Arial" w:hAnsi="Arial"/>
          <w:sz w:val="22"/>
          <w:szCs w:val="22"/>
        </w:rPr>
        <w:t xml:space="preserve">src/pages/ — 7 independent page components</w:t>
      </w:r>
    </w:p>
    <w:p>
      <w:pPr>
        <w:pStyle w:val="ListParagraph"/>
        <w:numPr>
          <w:ilvl w:val="0"/>
          <w:numId w:val="2"/>
        </w:numPr>
        <w:spacing w:before="60" w:after="60"/>
      </w:pPr>
      <w:r>
        <w:rPr>
          <w:rFonts w:ascii="Arial" w:cs="Arial" w:eastAsia="Arial" w:hAnsi="Arial"/>
          <w:sz w:val="22"/>
          <w:szCs w:val="22"/>
        </w:rPr>
        <w:t xml:space="preserve">src/services/api.js — Axios API service layer with 10 exported functions</w:t>
      </w:r>
    </w:p>
    <w:p>
      <w:pPr>
        <w:pStyle w:val="ListParagraph"/>
        <w:numPr>
          <w:ilvl w:val="0"/>
          <w:numId w:val="2"/>
        </w:numPr>
        <w:spacing w:before="60" w:after="60"/>
      </w:pPr>
      <w:r>
        <w:rPr>
          <w:rFonts w:ascii="Arial" w:cs="Arial" w:eastAsia="Arial" w:hAnsi="Arial"/>
          <w:sz w:val="22"/>
          <w:szCs w:val="22"/>
        </w:rPr>
        <w:t xml:space="preserve">src/styles/global.css — Design system: CSS variables, typography, component classes</w:t>
      </w:r>
    </w:p>
    <w:p>
      <w:pPr>
        <w:spacing w:after="200"/>
      </w:pPr>
    </w:p>
    <w:p>
      <w:pPr>
        <w:pStyle w:val="Heading2"/>
        <w:spacing w:before="280" w:after="140"/>
      </w:pPr>
      <w:r>
        <w:rPr>
          <w:rFonts w:ascii="Arial" w:cs="Arial" w:eastAsia="Arial" w:hAnsi="Arial"/>
          <w:b/>
          <w:bCs/>
          <w:color w:val="0F7173"/>
          <w:sz w:val="26"/>
          <w:szCs w:val="26"/>
        </w:rPr>
        <w:t xml:space="preserve">3.3 Backend Architecture</w:t>
      </w:r>
    </w:p>
    <w:p>
      <w:pPr>
        <w:spacing w:before="80" w:after="140"/>
      </w:pPr>
      <w:r>
        <w:rPr>
          <w:rFonts w:ascii="Arial" w:cs="Arial" w:eastAsia="Arial" w:hAnsi="Arial"/>
          <w:sz w:val="22"/>
          <w:szCs w:val="22"/>
        </w:rPr>
        <w:t xml:space="preserve">The Flask backend serves as a stateless REST API. All data is stored in-memory as Python lists (mock data layer). In production, this would connect to PostgreSQL (templates), Pinecone (vectors), and Redis (cache).</w:t>
      </w:r>
    </w:p>
    <w:p>
      <w:pPr>
        <w:pStyle w:val="ListParagraph"/>
        <w:numPr>
          <w:ilvl w:val="0"/>
          <w:numId w:val="2"/>
        </w:numPr>
        <w:spacing w:before="60" w:after="60"/>
      </w:pPr>
      <w:r>
        <w:rPr>
          <w:rFonts w:ascii="Arial" w:cs="Arial" w:eastAsia="Arial" w:hAnsi="Arial"/>
          <w:sz w:val="22"/>
          <w:szCs w:val="22"/>
        </w:rPr>
        <w:t xml:space="preserve">GET  /api/health — System health check</w:t>
      </w:r>
    </w:p>
    <w:p>
      <w:pPr>
        <w:pStyle w:val="ListParagraph"/>
        <w:numPr>
          <w:ilvl w:val="0"/>
          <w:numId w:val="2"/>
        </w:numPr>
        <w:spacing w:before="60" w:after="60"/>
      </w:pPr>
      <w:r>
        <w:rPr>
          <w:rFonts w:ascii="Arial" w:cs="Arial" w:eastAsia="Arial" w:hAnsi="Arial"/>
          <w:sz w:val="22"/>
          <w:szCs w:val="22"/>
        </w:rPr>
        <w:t xml:space="preserve">GET  /api/metrics — Live KPI data with slight random variance</w:t>
      </w:r>
    </w:p>
    <w:p>
      <w:pPr>
        <w:pStyle w:val="ListParagraph"/>
        <w:numPr>
          <w:ilvl w:val="0"/>
          <w:numId w:val="2"/>
        </w:numPr>
        <w:spacing w:before="60" w:after="60"/>
      </w:pPr>
      <w:r>
        <w:rPr>
          <w:rFonts w:ascii="Arial" w:cs="Arial" w:eastAsia="Arial" w:hAnsi="Arial"/>
          <w:sz w:val="22"/>
          <w:szCs w:val="22"/>
        </w:rPr>
        <w:t xml:space="preserve">GET  /api/templates — All templates in repository</w:t>
      </w:r>
    </w:p>
    <w:p>
      <w:pPr>
        <w:pStyle w:val="ListParagraph"/>
        <w:numPr>
          <w:ilvl w:val="0"/>
          <w:numId w:val="2"/>
        </w:numPr>
        <w:spacing w:before="60" w:after="60"/>
      </w:pPr>
      <w:r>
        <w:rPr>
          <w:rFonts w:ascii="Arial" w:cs="Arial" w:eastAsia="Arial" w:hAnsi="Arial"/>
          <w:sz w:val="22"/>
          <w:szCs w:val="22"/>
        </w:rPr>
        <w:t xml:space="preserve">POST /api/templates/search — Semantic search with query scoring</w:t>
      </w:r>
    </w:p>
    <w:p>
      <w:pPr>
        <w:pStyle w:val="ListParagraph"/>
        <w:numPr>
          <w:ilvl w:val="0"/>
          <w:numId w:val="2"/>
        </w:numPr>
        <w:spacing w:before="60" w:after="60"/>
      </w:pPr>
      <w:r>
        <w:rPr>
          <w:rFonts w:ascii="Arial" w:cs="Arial" w:eastAsia="Arial" w:hAnsi="Arial"/>
          <w:sz w:val="22"/>
          <w:szCs w:val="22"/>
        </w:rPr>
        <w:t xml:space="preserve">GET  /api/templates/&lt;id&gt; — Single template detail</w:t>
      </w:r>
    </w:p>
    <w:p>
      <w:pPr>
        <w:pStyle w:val="ListParagraph"/>
        <w:numPr>
          <w:ilvl w:val="0"/>
          <w:numId w:val="2"/>
        </w:numPr>
        <w:spacing w:before="60" w:after="60"/>
      </w:pPr>
      <w:r>
        <w:rPr>
          <w:rFonts w:ascii="Arial" w:cs="Arial" w:eastAsia="Arial" w:hAnsi="Arial"/>
          <w:sz w:val="22"/>
          <w:szCs w:val="22"/>
        </w:rPr>
        <w:t xml:space="preserve">POST /api/diff/analyze — Difference analysis with risk tagging</w:t>
      </w:r>
    </w:p>
    <w:p>
      <w:pPr>
        <w:pStyle w:val="ListParagraph"/>
        <w:numPr>
          <w:ilvl w:val="0"/>
          <w:numId w:val="2"/>
        </w:numPr>
        <w:spacing w:before="60" w:after="60"/>
      </w:pPr>
      <w:r>
        <w:rPr>
          <w:rFonts w:ascii="Arial" w:cs="Arial" w:eastAsia="Arial" w:hAnsi="Arial"/>
          <w:sz w:val="22"/>
          <w:szCs w:val="22"/>
        </w:rPr>
        <w:t xml:space="preserve">POST /api/generate/confirmation — AI clause generation</w:t>
      </w:r>
    </w:p>
    <w:p>
      <w:pPr>
        <w:pStyle w:val="ListParagraph"/>
        <w:numPr>
          <w:ilvl w:val="0"/>
          <w:numId w:val="2"/>
        </w:numPr>
        <w:spacing w:before="60" w:after="60"/>
      </w:pPr>
      <w:r>
        <w:rPr>
          <w:rFonts w:ascii="Arial" w:cs="Arial" w:eastAsia="Arial" w:hAnsi="Arial"/>
          <w:sz w:val="22"/>
          <w:szCs w:val="22"/>
        </w:rPr>
        <w:t xml:space="preserve">GET  /api/confirmations/recent — Recent confirmation history</w:t>
      </w:r>
    </w:p>
    <w:p>
      <w:pPr>
        <w:pStyle w:val="ListParagraph"/>
        <w:numPr>
          <w:ilvl w:val="0"/>
          <w:numId w:val="2"/>
        </w:numPr>
        <w:spacing w:before="60" w:after="60"/>
      </w:pPr>
      <w:r>
        <w:rPr>
          <w:rFonts w:ascii="Arial" w:cs="Arial" w:eastAsia="Arial" w:hAnsi="Arial"/>
          <w:sz w:val="22"/>
          <w:szCs w:val="22"/>
        </w:rPr>
        <w:t xml:space="preserve">GET  /api/pipeline/status — 7-stage pipeline status</w:t>
      </w:r>
    </w:p>
    <w:p>
      <w:pPr>
        <w:spacing w:after="200"/>
      </w:pPr>
    </w:p>
    <w:p>
      <w:pPr>
        <w:pStyle w:val="Heading2"/>
        <w:spacing w:before="280" w:after="140"/>
      </w:pPr>
      <w:r>
        <w:rPr>
          <w:rFonts w:ascii="Arial" w:cs="Arial" w:eastAsia="Arial" w:hAnsi="Arial"/>
          <w:b/>
          <w:bCs/>
          <w:color w:val="0F7173"/>
          <w:sz w:val="26"/>
          <w:szCs w:val="26"/>
        </w:rPr>
        <w:t xml:space="preserve">3.4 AI/ML Model Pipeline</w:t>
      </w:r>
    </w:p>
    <w:p>
      <w:pPr>
        <w:spacing w:before="80" w:after="140"/>
      </w:pPr>
      <w:r>
        <w:rPr>
          <w:rFonts w:ascii="Arial" w:cs="Arial" w:eastAsia="Arial" w:hAnsi="Arial"/>
          <w:sz w:val="22"/>
          <w:szCs w:val="22"/>
        </w:rPr>
        <w:t xml:space="preserve">The complete AI pipeline processes each trade confirmation through six automated stages before a human review step:</w:t>
      </w:r>
    </w:p>
    <w:p>
      <w:pPr>
        <w:pStyle w:val="ListParagraph"/>
        <w:numPr>
          <w:ilvl w:val="0"/>
          <w:numId w:val="3"/>
        </w:numPr>
        <w:spacing w:before="60" w:after="60"/>
      </w:pPr>
      <w:r>
        <w:rPr>
          <w:rFonts w:ascii="Arial" w:cs="Arial" w:eastAsia="Arial" w:hAnsi="Arial"/>
          <w:sz w:val="22"/>
          <w:szCs w:val="22"/>
        </w:rPr>
        <w:t xml:space="preserve">Trade Data Ingestion (145ms) — Kafka stream receives structured trade event, validates schema, normalises field types.</w:t>
      </w:r>
    </w:p>
    <w:p>
      <w:pPr>
        <w:pStyle w:val="ListParagraph"/>
        <w:numPr>
          <w:ilvl w:val="0"/>
          <w:numId w:val="3"/>
        </w:numPr>
        <w:spacing w:before="60" w:after="60"/>
      </w:pPr>
      <w:r>
        <w:rPr>
          <w:rFonts w:ascii="Arial" w:cs="Arial" w:eastAsia="Arial" w:hAnsi="Arial"/>
          <w:sz w:val="22"/>
          <w:szCs w:val="22"/>
        </w:rPr>
        <w:t xml:space="preserve">Embedding Generation (312ms) — SBERT all-mpnet-base-v2 converts trade parameters to a 768-dimensional dense vector representation.</w:t>
      </w:r>
    </w:p>
    <w:p>
      <w:pPr>
        <w:pStyle w:val="ListParagraph"/>
        <w:numPr>
          <w:ilvl w:val="0"/>
          <w:numId w:val="3"/>
        </w:numPr>
        <w:spacing w:before="60" w:after="60"/>
      </w:pPr>
      <w:r>
        <w:rPr>
          <w:rFonts w:ascii="Arial" w:cs="Arial" w:eastAsia="Arial" w:hAnsi="Arial"/>
          <w:sz w:val="22"/>
          <w:szCs w:val="22"/>
        </w:rPr>
        <w:t xml:space="preserve">Template Retrieval (89ms) — Pinecone Approximate Nearest Neighbor search returns Top-K templates ranked by cosine similarity score.</w:t>
      </w:r>
    </w:p>
    <w:p>
      <w:pPr>
        <w:pStyle w:val="ListParagraph"/>
        <w:numPr>
          <w:ilvl w:val="0"/>
          <w:numId w:val="3"/>
        </w:numPr>
        <w:spacing w:before="60" w:after="60"/>
      </w:pPr>
      <w:r>
        <w:rPr>
          <w:rFonts w:ascii="Arial" w:cs="Arial" w:eastAsia="Arial" w:hAnsi="Arial"/>
          <w:sz w:val="22"/>
          <w:szCs w:val="22"/>
        </w:rPr>
        <w:t xml:space="preserve">Difference Analysis (543ms) — RapidFuzz detects numeric/text field changes; DeBERTa-v3-NLI detects semantic meaning differences in legal clauses.</w:t>
      </w:r>
    </w:p>
    <w:p>
      <w:pPr>
        <w:pStyle w:val="ListParagraph"/>
        <w:numPr>
          <w:ilvl w:val="0"/>
          <w:numId w:val="3"/>
        </w:numPr>
        <w:spacing w:before="60" w:after="60"/>
      </w:pPr>
      <w:r>
        <w:rPr>
          <w:rFonts w:ascii="Arial" w:cs="Arial" w:eastAsia="Arial" w:hAnsi="Arial"/>
          <w:sz w:val="22"/>
          <w:szCs w:val="22"/>
        </w:rPr>
        <w:t xml:space="preserve">Clause Generation (821ms) — GPT-4o selects and generates clause text restricted to the ISDA/ICMA approved clause library. LegalBERT classifies and validates clause type.</w:t>
      </w:r>
    </w:p>
    <w:p>
      <w:pPr>
        <w:pStyle w:val="ListParagraph"/>
        <w:numPr>
          <w:ilvl w:val="0"/>
          <w:numId w:val="3"/>
        </w:numPr>
        <w:spacing w:before="60" w:after="60"/>
      </w:pPr>
      <w:r>
        <w:rPr>
          <w:rFonts w:ascii="Arial" w:cs="Arial" w:eastAsia="Arial" w:hAnsi="Arial"/>
          <w:sz w:val="22"/>
          <w:szCs w:val="22"/>
        </w:rPr>
        <w:t xml:space="preserve">Compliance Validation (234ms) — Deterministic rule engine validates every output clause against regulatory library. No hallucination possible.</w:t>
      </w:r>
    </w:p>
    <w:p>
      <w:pPr>
        <w:pStyle w:val="ListParagraph"/>
        <w:numPr>
          <w:ilvl w:val="0"/>
          <w:numId w:val="3"/>
        </w:numPr>
        <w:spacing w:before="60" w:after="60"/>
      </w:pPr>
      <w:r>
        <w:rPr>
          <w:rFonts w:ascii="Arial" w:cs="Arial" w:eastAsia="Arial" w:hAnsi="Arial"/>
          <w:sz w:val="22"/>
          <w:szCs w:val="22"/>
        </w:rPr>
        <w:t xml:space="preserve">Human Review (Variable) — Operations reviewer approves, edits, or rejects. Mandatory — cannot be bypassed.</w:t>
      </w:r>
    </w:p>
    <w:p>
      <w:pPr>
        <w:spacing w:after="200"/>
      </w:pPr>
    </w:p>
    <w:p>
      <w:r>
        <w:br/>
      </w:r>
    </w:p>
    <w:p>
      <w:pPr>
        <w:pStyle w:val="Heading1"/>
        <w:spacing w:before="360" w:after="180"/>
      </w:pPr>
      <w:r>
        <w:rPr>
          <w:rFonts w:ascii="Arial" w:cs="Arial" w:eastAsia="Arial" w:hAnsi="Arial"/>
          <w:b/>
          <w:bCs/>
          <w:color w:val="0D1B2A"/>
          <w:sz w:val="32"/>
          <w:szCs w:val="32"/>
        </w:rPr>
        <w:t xml:space="preserve">4. Technology Stack</w:t>
      </w:r>
    </w:p>
    <w:p>
      <w:pPr>
        <w:pBdr>
          <w:bottom w:val="single" w:color="0F717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Frontend</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React 18 + Vite 5</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SPA framework with fast HMR development server</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Animations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Framer Motion 10</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Page transitions, sidebar, pipeline, counter animations</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Charts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Recharts 2.9</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Area, Bar, Line, Pie, Radar chart components</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Routing</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React Router DOM 6</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Client-side routing with nested layout pattern</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HTTP Client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Axios 1.6</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REST API calls with timeout and error handling</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Backend</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Python Flask 3.0</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Lightweight REST API server with CORS support</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Embedding</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SBERT all-mpnet-base-v2</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768-dim semantic embeddings for template search</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NLI Model</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DeBERTa-v3-NLI</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Semantic clause difference detection</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LLM</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GPT-4o + LegalBERT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Clause generation from approved library</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Financial NLP</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FinBERT (fine-tuned)</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Financial term extraction and validation</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Diff Engine</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RapidFuzz + spaCy NER</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Text/numeric field comparison and entity extraction</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Vector DB</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Pinecone</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ANN search over template embeddings</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Message Queue</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Apache Kafka</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Trade event streaming from upstream systems</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ML Ops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MLflow</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Model versioning, experiment tracking, registry</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Monitoring</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Prometheus + Grafana</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Model drift detection, latency monitoring</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Containerisation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Docker + Kubernetes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Service deployment and auto-scaling</w:t>
            </w:r>
          </w:p>
        </w:tc>
      </w:tr>
    </w:tbl>
    <w:p>
      <w:pPr>
        <w:spacing w:after="200"/>
      </w:pPr>
    </w:p>
    <w:p>
      <w:r>
        <w:br/>
      </w:r>
    </w:p>
    <w:p>
      <w:pPr>
        <w:pStyle w:val="Heading1"/>
        <w:spacing w:before="360" w:after="180"/>
      </w:pPr>
      <w:r>
        <w:rPr>
          <w:rFonts w:ascii="Arial" w:cs="Arial" w:eastAsia="Arial" w:hAnsi="Arial"/>
          <w:b/>
          <w:bCs/>
          <w:color w:val="0D1B2A"/>
          <w:sz w:val="32"/>
          <w:szCs w:val="32"/>
        </w:rPr>
        <w:t xml:space="preserve">5. Functional Modules</w:t>
      </w:r>
    </w:p>
    <w:p>
      <w:pPr>
        <w:pBdr>
          <w:bottom w:val="single" w:color="0F7173" w:sz="6" w:space="1"/>
        </w:pBdr>
        <w:spacing w:after="200"/>
      </w:pPr>
    </w:p>
    <w:p>
      <w:pPr>
        <w:pStyle w:val="Heading2"/>
        <w:spacing w:before="280" w:after="140"/>
      </w:pPr>
      <w:r>
        <w:rPr>
          <w:rFonts w:ascii="Arial" w:cs="Arial" w:eastAsia="Arial" w:hAnsi="Arial"/>
          <w:b/>
          <w:bCs/>
          <w:color w:val="0F7173"/>
          <w:sz w:val="26"/>
          <w:szCs w:val="26"/>
        </w:rPr>
        <w:t xml:space="preserve">5.1 Dashboard</w:t>
      </w:r>
    </w:p>
    <w:p>
      <w:pPr>
        <w:spacing w:before="80" w:after="140"/>
      </w:pPr>
      <w:r>
        <w:rPr>
          <w:rFonts w:ascii="Arial" w:cs="Arial" w:eastAsia="Arial" w:hAnsi="Arial"/>
          <w:sz w:val="22"/>
          <w:szCs w:val="22"/>
        </w:rPr>
        <w:t xml:space="preserve">The Dashboard serves as the command centre for trade operations managers. It provides real-time visibility into the automation platform's performance and status.</w:t>
      </w:r>
    </w:p>
    <w:p>
      <w:pPr>
        <w:pStyle w:val="ListParagraph"/>
        <w:numPr>
          <w:ilvl w:val="0"/>
          <w:numId w:val="2"/>
        </w:numPr>
        <w:spacing w:before="60" w:after="60"/>
      </w:pPr>
      <w:r>
        <w:rPr>
          <w:rFonts w:ascii="Arial" w:cs="Arial" w:eastAsia="Arial" w:hAnsi="Arial"/>
          <w:sz w:val="22"/>
          <w:szCs w:val="22"/>
        </w:rPr>
        <w:t xml:space="preserve">4 animated KPI cards using requestAnimationFrame count-up: Confirmations Today (218), Autofill Accuracy (96%), Time Saved in Hours (147h), High Risk Diff Flags (7)</w:t>
      </w:r>
    </w:p>
    <w:p>
      <w:pPr>
        <w:pStyle w:val="ListParagraph"/>
        <w:numPr>
          <w:ilvl w:val="0"/>
          <w:numId w:val="2"/>
        </w:numPr>
        <w:spacing w:before="60" w:after="60"/>
      </w:pPr>
      <w:r>
        <w:rPr>
          <w:rFonts w:ascii="Arial" w:cs="Arial" w:eastAsia="Arial" w:hAnsi="Arial"/>
          <w:sz w:val="22"/>
          <w:szCs w:val="22"/>
        </w:rPr>
        <w:t xml:space="preserve">Automation Progress area chart — shows crossover of manual (480→80) vs automated (40→530) over 7 months</w:t>
      </w:r>
    </w:p>
    <w:p>
      <w:pPr>
        <w:pStyle w:val="ListParagraph"/>
        <w:numPr>
          <w:ilvl w:val="0"/>
          <w:numId w:val="2"/>
        </w:numPr>
        <w:spacing w:before="60" w:after="60"/>
      </w:pPr>
      <w:r>
        <w:rPr>
          <w:rFonts w:ascii="Arial" w:cs="Arial" w:eastAsia="Arial" w:hAnsi="Arial"/>
          <w:sz w:val="22"/>
          <w:szCs w:val="22"/>
        </w:rPr>
        <w:t xml:space="preserve">Trade Volume bar chart — breakdown by product type: IRS, CDS, FX Forward, Equity Swap, Bond, Repo</w:t>
      </w:r>
    </w:p>
    <w:p>
      <w:pPr>
        <w:pStyle w:val="ListParagraph"/>
        <w:numPr>
          <w:ilvl w:val="0"/>
          <w:numId w:val="2"/>
        </w:numPr>
        <w:spacing w:before="60" w:after="60"/>
      </w:pPr>
      <w:r>
        <w:rPr>
          <w:rFonts w:ascii="Arial" w:cs="Arial" w:eastAsia="Arial" w:hAnsi="Arial"/>
          <w:sz w:val="22"/>
          <w:szCs w:val="22"/>
        </w:rPr>
        <w:t xml:space="preserve">Iteration status progress bars — IT1 (88%), IT2 (76%), IT3 (52%) — all animate from zero on mount</w:t>
      </w:r>
    </w:p>
    <w:p>
      <w:pPr>
        <w:pStyle w:val="ListParagraph"/>
        <w:numPr>
          <w:ilvl w:val="0"/>
          <w:numId w:val="2"/>
        </w:numPr>
        <w:spacing w:before="60" w:after="60"/>
      </w:pPr>
      <w:r>
        <w:rPr>
          <w:rFonts w:ascii="Arial" w:cs="Arial" w:eastAsia="Arial" w:hAnsi="Arial"/>
          <w:sz w:val="22"/>
          <w:szCs w:val="22"/>
        </w:rPr>
        <w:t xml:space="preserve">Recent Confirmations table — latest 5 trades with counterparty, type, risk badge, and timestamp</w:t>
      </w:r>
    </w:p>
    <w:p>
      <w:pPr>
        <w:pStyle w:val="ListParagraph"/>
        <w:numPr>
          <w:ilvl w:val="0"/>
          <w:numId w:val="2"/>
        </w:numPr>
        <w:spacing w:before="60" w:after="60"/>
      </w:pPr>
      <w:r>
        <w:rPr>
          <w:rFonts w:ascii="Arial" w:cs="Arial" w:eastAsia="Arial" w:hAnsi="Arial"/>
          <w:sz w:val="22"/>
          <w:szCs w:val="22"/>
        </w:rPr>
        <w:t xml:space="preserve">Dynamic time-aware greeting — Good Morning/Afternoon/Evening/Night based on browser time</w:t>
      </w:r>
    </w:p>
    <w:p>
      <w:pPr>
        <w:spacing w:after="200"/>
      </w:pPr>
    </w:p>
    <w:p>
      <w:pPr>
        <w:pStyle w:val="Heading2"/>
        <w:spacing w:before="280" w:after="140"/>
      </w:pPr>
      <w:r>
        <w:rPr>
          <w:rFonts w:ascii="Arial" w:cs="Arial" w:eastAsia="Arial" w:hAnsi="Arial"/>
          <w:b/>
          <w:bCs/>
          <w:color w:val="0F7173"/>
          <w:sz w:val="26"/>
          <w:szCs w:val="26"/>
        </w:rPr>
        <w:t xml:space="preserve">5.2 Iteration 1 — Template Reuse</w:t>
      </w:r>
    </w:p>
    <w:p>
      <w:pPr>
        <w:spacing w:before="80" w:after="140"/>
      </w:pPr>
      <w:r>
        <w:rPr>
          <w:rFonts w:ascii="Arial" w:cs="Arial" w:eastAsia="Arial" w:hAnsi="Arial"/>
          <w:sz w:val="22"/>
          <w:szCs w:val="22"/>
        </w:rPr>
        <w:t xml:space="preserve">The Template Reuse page implements the first AI iteration: semantic template discovery using dense vector embeddings and approximate nearest-neighbor search.</w:t>
      </w:r>
    </w:p>
    <w:p>
      <w:pPr>
        <w:pStyle w:val="ListParagraph"/>
        <w:numPr>
          <w:ilvl w:val="0"/>
          <w:numId w:val="2"/>
        </w:numPr>
        <w:spacing w:before="60" w:after="60"/>
      </w:pPr>
      <w:r>
        <w:rPr>
          <w:rFonts w:ascii="Arial" w:cs="Arial" w:eastAsia="Arial" w:hAnsi="Arial"/>
          <w:sz w:val="22"/>
          <w:szCs w:val="22"/>
        </w:rPr>
        <w:t xml:space="preserve">Search bar with animated loading state showing embedding computation</w:t>
      </w:r>
    </w:p>
    <w:p>
      <w:pPr>
        <w:pStyle w:val="ListParagraph"/>
        <w:numPr>
          <w:ilvl w:val="0"/>
          <w:numId w:val="2"/>
        </w:numPr>
        <w:spacing w:before="60" w:after="60"/>
      </w:pPr>
      <w:r>
        <w:rPr>
          <w:rFonts w:ascii="Arial" w:cs="Arial" w:eastAsia="Arial" w:hAnsi="Arial"/>
          <w:sz w:val="22"/>
          <w:szCs w:val="22"/>
        </w:rPr>
        <w:t xml:space="preserve">Filter dropdowns for Trade Type and Jurisdiction to narrow results</w:t>
      </w:r>
    </w:p>
    <w:p>
      <w:pPr>
        <w:pStyle w:val="ListParagraph"/>
        <w:numPr>
          <w:ilvl w:val="0"/>
          <w:numId w:val="2"/>
        </w:numPr>
        <w:spacing w:before="60" w:after="60"/>
      </w:pPr>
      <w:r>
        <w:rPr>
          <w:rFonts w:ascii="Arial" w:cs="Arial" w:eastAsia="Arial" w:hAnsi="Arial"/>
          <w:sz w:val="22"/>
          <w:szCs w:val="22"/>
        </w:rPr>
        <w:t xml:space="preserve">Quick-fill example queries for rapid testing</w:t>
      </w:r>
    </w:p>
    <w:p>
      <w:pPr>
        <w:pStyle w:val="ListParagraph"/>
        <w:numPr>
          <w:ilvl w:val="0"/>
          <w:numId w:val="2"/>
        </w:numPr>
        <w:spacing w:before="60" w:after="60"/>
      </w:pPr>
      <w:r>
        <w:rPr>
          <w:rFonts w:ascii="Arial" w:cs="Arial" w:eastAsia="Arial" w:hAnsi="Arial"/>
          <w:sz w:val="22"/>
          <w:szCs w:val="22"/>
        </w:rPr>
        <w:t xml:space="preserve">Result cards with animated SVG similarity score rings (green ≥90%, amber ≥70%, red &lt;70%)</w:t>
      </w:r>
    </w:p>
    <w:p>
      <w:pPr>
        <w:pStyle w:val="ListParagraph"/>
        <w:numPr>
          <w:ilvl w:val="0"/>
          <w:numId w:val="2"/>
        </w:numPr>
        <w:spacing w:before="60" w:after="60"/>
      </w:pPr>
      <w:r>
        <w:rPr>
          <w:rFonts w:ascii="Arial" w:cs="Arial" w:eastAsia="Arial" w:hAnsi="Arial"/>
          <w:sz w:val="22"/>
          <w:szCs w:val="22"/>
        </w:rPr>
        <w:t xml:space="preserve">Selected template expands to show all field values in a responsive grid</w:t>
      </w:r>
    </w:p>
    <w:p>
      <w:pPr>
        <w:pStyle w:val="ListParagraph"/>
        <w:numPr>
          <w:ilvl w:val="0"/>
          <w:numId w:val="2"/>
        </w:numPr>
        <w:spacing w:before="60" w:after="60"/>
      </w:pPr>
      <w:r>
        <w:rPr>
          <w:rFonts w:ascii="Arial" w:cs="Arial" w:eastAsia="Arial" w:hAnsi="Arial"/>
          <w:sz w:val="22"/>
          <w:szCs w:val="22"/>
        </w:rPr>
        <w:t xml:space="preserve">API: POST /api/templates/search with query, trade_type, jurisdiction parameters</w:t>
      </w:r>
    </w:p>
    <w:p>
      <w:pPr>
        <w:spacing w:after="200"/>
      </w:pPr>
    </w:p>
    <w:p>
      <w:pPr>
        <w:pStyle w:val="Heading2"/>
        <w:spacing w:before="280" w:after="140"/>
      </w:pPr>
      <w:r>
        <w:rPr>
          <w:rFonts w:ascii="Arial" w:cs="Arial" w:eastAsia="Arial" w:hAnsi="Arial"/>
          <w:b/>
          <w:bCs/>
          <w:color w:val="0F7173"/>
          <w:sz w:val="26"/>
          <w:szCs w:val="26"/>
        </w:rPr>
        <w:t xml:space="preserve">5.3 Iteration 2 — Difference Highlighting</w:t>
      </w:r>
    </w:p>
    <w:p>
      <w:pPr>
        <w:spacing w:before="80" w:after="140"/>
      </w:pPr>
      <w:r>
        <w:rPr>
          <w:rFonts w:ascii="Arial" w:cs="Arial" w:eastAsia="Arial" w:hAnsi="Arial"/>
          <w:sz w:val="22"/>
          <w:szCs w:val="22"/>
        </w:rPr>
        <w:t xml:space="preserve">The Difference Highlighting page implements the second AI iteration: risk-tagged comparison of trade terms against the selected template.</w:t>
      </w:r>
    </w:p>
    <w:p>
      <w:pPr>
        <w:pStyle w:val="ListParagraph"/>
        <w:numPr>
          <w:ilvl w:val="0"/>
          <w:numId w:val="2"/>
        </w:numPr>
        <w:spacing w:before="60" w:after="60"/>
      </w:pPr>
      <w:r>
        <w:rPr>
          <w:rFonts w:ascii="Arial" w:cs="Arial" w:eastAsia="Arial" w:hAnsi="Arial"/>
          <w:sz w:val="22"/>
          <w:szCs w:val="22"/>
        </w:rPr>
        <w:t xml:space="preserve">Risk summary cards (click to filter): HIGH=3, MEDIUM=2, LOW=2 — pulsing animation on high-risk</w:t>
      </w:r>
    </w:p>
    <w:p>
      <w:pPr>
        <w:pStyle w:val="ListParagraph"/>
        <w:numPr>
          <w:ilvl w:val="0"/>
          <w:numId w:val="2"/>
        </w:numPr>
        <w:spacing w:before="60" w:after="60"/>
      </w:pPr>
      <w:r>
        <w:rPr>
          <w:rFonts w:ascii="Arial" w:cs="Arial" w:eastAsia="Arial" w:hAnsi="Arial"/>
          <w:sz w:val="22"/>
          <w:szCs w:val="22"/>
        </w:rPr>
        <w:t xml:space="preserve">Filter tabs: ALL / HIGH / MEDIUM / LOW with count indicators</w:t>
      </w:r>
    </w:p>
    <w:p>
      <w:pPr>
        <w:pStyle w:val="ListParagraph"/>
        <w:numPr>
          <w:ilvl w:val="0"/>
          <w:numId w:val="2"/>
        </w:numPr>
        <w:spacing w:before="60" w:after="60"/>
      </w:pPr>
      <w:r>
        <w:rPr>
          <w:rFonts w:ascii="Arial" w:cs="Arial" w:eastAsia="Arial" w:hAnsi="Arial"/>
          <w:sz w:val="22"/>
          <w:szCs w:val="22"/>
        </w:rPr>
        <w:t xml:space="preserve">Expandable diff rows showing: field name, template value (green), trade value (risk-color), explanation</w:t>
      </w:r>
    </w:p>
    <w:p>
      <w:pPr>
        <w:pStyle w:val="ListParagraph"/>
        <w:numPr>
          <w:ilvl w:val="0"/>
          <w:numId w:val="2"/>
        </w:numPr>
        <w:spacing w:before="60" w:after="60"/>
      </w:pPr>
      <w:r>
        <w:rPr>
          <w:rFonts w:ascii="Arial" w:cs="Arial" w:eastAsia="Arial" w:hAnsi="Arial"/>
          <w:sz w:val="22"/>
          <w:szCs w:val="22"/>
        </w:rPr>
        <w:t xml:space="preserve">Action buttons per row: Accept Change, Flag for Review, Revert to Template</w:t>
      </w:r>
    </w:p>
    <w:p>
      <w:pPr>
        <w:pStyle w:val="ListParagraph"/>
        <w:numPr>
          <w:ilvl w:val="0"/>
          <w:numId w:val="2"/>
        </w:numPr>
        <w:spacing w:before="60" w:after="60"/>
      </w:pPr>
      <w:r>
        <w:rPr>
          <w:rFonts w:ascii="Arial" w:cs="Arial" w:eastAsia="Arial" w:hAnsi="Arial"/>
          <w:sz w:val="22"/>
          <w:szCs w:val="22"/>
        </w:rPr>
        <w:t xml:space="preserve">Export Diff Report and Escalate High Risk bulk actions in footer</w:t>
      </w:r>
    </w:p>
    <w:p>
      <w:pPr>
        <w:pStyle w:val="ListParagraph"/>
        <w:numPr>
          <w:ilvl w:val="0"/>
          <w:numId w:val="2"/>
        </w:numPr>
        <w:spacing w:before="60" w:after="60"/>
      </w:pPr>
      <w:r>
        <w:rPr>
          <w:rFonts w:ascii="Arial" w:cs="Arial" w:eastAsia="Arial" w:hAnsi="Arial"/>
          <w:sz w:val="22"/>
          <w:szCs w:val="22"/>
        </w:rPr>
        <w:t xml:space="preserve">API: POST /api/diff/analyze — returns 7 differences with risk tags and reasoning</w:t>
      </w:r>
    </w:p>
    <w:p>
      <w:pPr>
        <w:spacing w:after="200"/>
      </w:pPr>
    </w:p>
    <w:p>
      <w:pPr>
        <w:pStyle w:val="Heading2"/>
        <w:spacing w:before="280" w:after="140"/>
      </w:pPr>
      <w:r>
        <w:rPr>
          <w:rFonts w:ascii="Arial" w:cs="Arial" w:eastAsia="Arial" w:hAnsi="Arial"/>
          <w:b/>
          <w:bCs/>
          <w:color w:val="0F7173"/>
          <w:sz w:val="26"/>
          <w:szCs w:val="26"/>
        </w:rPr>
        <w:t xml:space="preserve">5.4 Iteration 3 — AI Generation</w:t>
      </w:r>
    </w:p>
    <w:p>
      <w:pPr>
        <w:spacing w:before="80" w:after="140"/>
      </w:pPr>
      <w:r>
        <w:rPr>
          <w:rFonts w:ascii="Arial" w:cs="Arial" w:eastAsia="Arial" w:hAnsi="Arial"/>
          <w:sz w:val="22"/>
          <w:szCs w:val="22"/>
        </w:rPr>
        <w:t xml:space="preserve">The Auto Generate page implements the third and most advanced AI iteration: full confirmation document generation from structured trade inputs.</w:t>
      </w:r>
    </w:p>
    <w:p>
      <w:pPr>
        <w:pStyle w:val="ListParagraph"/>
        <w:numPr>
          <w:ilvl w:val="0"/>
          <w:numId w:val="2"/>
        </w:numPr>
        <w:spacing w:before="60" w:after="60"/>
      </w:pPr>
      <w:r>
        <w:rPr>
          <w:rFonts w:ascii="Arial" w:cs="Arial" w:eastAsia="Arial" w:hAnsi="Arial"/>
          <w:sz w:val="22"/>
          <w:szCs w:val="22"/>
        </w:rPr>
        <w:t xml:space="preserve">10-field trade parameter form: counterparty, type, notional, currency, dates, rate, floating index, payment frequency, jurisdiction</w:t>
      </w:r>
    </w:p>
    <w:p>
      <w:pPr>
        <w:pStyle w:val="ListParagraph"/>
        <w:numPr>
          <w:ilvl w:val="0"/>
          <w:numId w:val="2"/>
        </w:numPr>
        <w:spacing w:before="60" w:after="60"/>
      </w:pPr>
      <w:r>
        <w:rPr>
          <w:rFonts w:ascii="Arial" w:cs="Arial" w:eastAsia="Arial" w:hAnsi="Arial"/>
          <w:sz w:val="22"/>
          <w:szCs w:val="22"/>
        </w:rPr>
        <w:t xml:space="preserve">6-stage pipeline animation: each stage node transitions idle → active (pulsing) → done (green checkmark)</w:t>
      </w:r>
    </w:p>
    <w:p>
      <w:pPr>
        <w:pStyle w:val="ListParagraph"/>
        <w:numPr>
          <w:ilvl w:val="0"/>
          <w:numId w:val="2"/>
        </w:numPr>
        <w:spacing w:before="60" w:after="60"/>
      </w:pPr>
      <w:r>
        <w:rPr>
          <w:rFonts w:ascii="Arial" w:cs="Arial" w:eastAsia="Arial" w:hAnsi="Arial"/>
          <w:sz w:val="22"/>
          <w:szCs w:val="22"/>
        </w:rPr>
        <w:t xml:space="preserve">Approved clause library preview showing 3 sample clauses with section, confidence %, and content</w:t>
      </w:r>
    </w:p>
    <w:p>
      <w:pPr>
        <w:pStyle w:val="ListParagraph"/>
        <w:numPr>
          <w:ilvl w:val="0"/>
          <w:numId w:val="2"/>
        </w:numPr>
        <w:spacing w:before="60" w:after="60"/>
      </w:pPr>
      <w:r>
        <w:rPr>
          <w:rFonts w:ascii="Arial" w:cs="Arial" w:eastAsia="Arial" w:hAnsi="Arial"/>
          <w:sz w:val="22"/>
          <w:szCs w:val="22"/>
        </w:rPr>
        <w:t xml:space="preserve">Generated output: 6 clause sections with confidence bars (green &gt;90%, amber &gt;80%, gold &lt;80%)</w:t>
      </w:r>
    </w:p>
    <w:p>
      <w:pPr>
        <w:pStyle w:val="ListParagraph"/>
        <w:numPr>
          <w:ilvl w:val="0"/>
          <w:numId w:val="2"/>
        </w:numPr>
        <w:spacing w:before="60" w:after="60"/>
      </w:pPr>
      <w:r>
        <w:rPr>
          <w:rFonts w:ascii="Arial" w:cs="Arial" w:eastAsia="Arial" w:hAnsi="Arial"/>
          <w:sz w:val="22"/>
          <w:szCs w:val="22"/>
        </w:rPr>
        <w:t xml:space="preserve">GREEN border = AUTO_FILLED | AMBER border = REVIEW_REQUIRED</w:t>
      </w:r>
    </w:p>
    <w:p>
      <w:pPr>
        <w:pStyle w:val="ListParagraph"/>
        <w:numPr>
          <w:ilvl w:val="0"/>
          <w:numId w:val="2"/>
        </w:numPr>
        <w:spacing w:before="60" w:after="60"/>
      </w:pPr>
      <w:r>
        <w:rPr>
          <w:rFonts w:ascii="Arial" w:cs="Arial" w:eastAsia="Arial" w:hAnsi="Arial"/>
          <w:sz w:val="22"/>
          <w:szCs w:val="22"/>
        </w:rPr>
        <w:t xml:space="preserve">Approve &amp; Send, Edit Draft, Download PDF action buttons</w:t>
      </w:r>
    </w:p>
    <w:p>
      <w:pPr>
        <w:pStyle w:val="ListParagraph"/>
        <w:numPr>
          <w:ilvl w:val="0"/>
          <w:numId w:val="2"/>
        </w:numPr>
        <w:spacing w:before="60" w:after="60"/>
      </w:pPr>
      <w:r>
        <w:rPr>
          <w:rFonts w:ascii="Arial" w:cs="Arial" w:eastAsia="Arial" w:hAnsi="Arial"/>
          <w:sz w:val="22"/>
          <w:szCs w:val="22"/>
        </w:rPr>
        <w:t xml:space="preserve">API: POST /api/generate/confirmation — returns clauses, confidence scores, compliance status</w:t>
      </w:r>
    </w:p>
    <w:p>
      <w:pPr>
        <w:spacing w:after="200"/>
      </w:pPr>
    </w:p>
    <w:p>
      <w:pPr>
        <w:pStyle w:val="Heading2"/>
        <w:spacing w:before="280" w:after="140"/>
      </w:pPr>
      <w:r>
        <w:rPr>
          <w:rFonts w:ascii="Arial" w:cs="Arial" w:eastAsia="Arial" w:hAnsi="Arial"/>
          <w:b/>
          <w:bCs/>
          <w:color w:val="0F7173"/>
          <w:sz w:val="26"/>
          <w:szCs w:val="26"/>
        </w:rPr>
        <w:t xml:space="preserve">5.5 Pipeline Visualizer</w:t>
      </w:r>
    </w:p>
    <w:p>
      <w:pPr>
        <w:spacing w:before="80" w:after="140"/>
      </w:pPr>
      <w:r>
        <w:rPr>
          <w:rFonts w:ascii="Arial" w:cs="Arial" w:eastAsia="Arial" w:hAnsi="Arial"/>
          <w:sz w:val="22"/>
          <w:szCs w:val="22"/>
        </w:rPr>
        <w:t xml:space="preserve">The Pipeline page provides an end-to-end visual representation of the full 7-stage confirmation pipeline with expandable detail for each stage.</w:t>
      </w:r>
    </w:p>
    <w:p>
      <w:pPr>
        <w:pStyle w:val="ListParagraph"/>
        <w:numPr>
          <w:ilvl w:val="0"/>
          <w:numId w:val="2"/>
        </w:numPr>
        <w:spacing w:before="60" w:after="60"/>
      </w:pPr>
      <w:r>
        <w:rPr>
          <w:rFonts w:ascii="Arial" w:cs="Arial" w:eastAsia="Arial" w:hAnsi="Arial"/>
          <w:sz w:val="22"/>
          <w:szCs w:val="22"/>
        </w:rPr>
        <w:t xml:space="preserve">Each stage card shows: layer badge, stage name, AI model used, latency in ms, completion status</w:t>
      </w:r>
    </w:p>
    <w:p>
      <w:pPr>
        <w:pStyle w:val="ListParagraph"/>
        <w:numPr>
          <w:ilvl w:val="0"/>
          <w:numId w:val="2"/>
        </w:numPr>
        <w:spacing w:before="60" w:after="60"/>
      </w:pPr>
      <w:r>
        <w:rPr>
          <w:rFonts w:ascii="Arial" w:cs="Arial" w:eastAsia="Arial" w:hAnsi="Arial"/>
          <w:sz w:val="22"/>
          <w:szCs w:val="22"/>
        </w:rPr>
        <w:t xml:space="preserve">Click any card to expand: shows full description of what happens and outputs produced</w:t>
      </w:r>
    </w:p>
    <w:p>
      <w:pPr>
        <w:pStyle w:val="ListParagraph"/>
        <w:numPr>
          <w:ilvl w:val="0"/>
          <w:numId w:val="2"/>
        </w:numPr>
        <w:spacing w:before="60" w:after="60"/>
      </w:pPr>
      <w:r>
        <w:rPr>
          <w:rFonts w:ascii="Arial" w:cs="Arial" w:eastAsia="Arial" w:hAnsi="Arial"/>
          <w:sz w:val="22"/>
          <w:szCs w:val="22"/>
        </w:rPr>
        <w:t xml:space="preserve">Vertical timeline connector animates from 0 height to full on page load (staggered)</w:t>
      </w:r>
    </w:p>
    <w:p>
      <w:pPr>
        <w:pStyle w:val="ListParagraph"/>
        <w:numPr>
          <w:ilvl w:val="0"/>
          <w:numId w:val="2"/>
        </w:numPr>
        <w:spacing w:before="60" w:after="60"/>
      </w:pPr>
      <w:r>
        <w:rPr>
          <w:rFonts w:ascii="Arial" w:cs="Arial" w:eastAsia="Arial" w:hAnsi="Arial"/>
          <w:sz w:val="22"/>
          <w:szCs w:val="22"/>
        </w:rPr>
        <w:t xml:space="preserve">'Simulate Pipeline' button animates through all 6 automated stages sequentially with a progress bar</w:t>
      </w:r>
    </w:p>
    <w:p>
      <w:pPr>
        <w:pStyle w:val="ListParagraph"/>
        <w:numPr>
          <w:ilvl w:val="0"/>
          <w:numId w:val="2"/>
        </w:numPr>
        <w:spacing w:before="60" w:after="60"/>
      </w:pPr>
      <w:r>
        <w:rPr>
          <w:rFonts w:ascii="Arial" w:cs="Arial" w:eastAsia="Arial" w:hAnsi="Arial"/>
          <w:sz w:val="22"/>
          <w:szCs w:val="22"/>
        </w:rPr>
        <w:t xml:space="preserve">Layer colour legend: Infrastructure (teal), IT1 (dark teal), IT2 (purple), IT3 (gold), Validation (green), Human (gray)</w:t>
      </w:r>
    </w:p>
    <w:p>
      <w:pPr>
        <w:pStyle w:val="ListParagraph"/>
        <w:numPr>
          <w:ilvl w:val="0"/>
          <w:numId w:val="2"/>
        </w:numPr>
        <w:spacing w:before="60" w:after="60"/>
      </w:pPr>
      <w:r>
        <w:rPr>
          <w:rFonts w:ascii="Arial" w:cs="Arial" w:eastAsia="Arial" w:hAnsi="Arial"/>
          <w:sz w:val="22"/>
          <w:szCs w:val="22"/>
        </w:rPr>
        <w:t xml:space="preserve">Total pipeline time: 2.14 seconds for 6 automated stages</w:t>
      </w:r>
    </w:p>
    <w:p>
      <w:pPr>
        <w:spacing w:after="200"/>
      </w:pPr>
    </w:p>
    <w:p>
      <w:pPr>
        <w:pStyle w:val="Heading2"/>
        <w:spacing w:before="280" w:after="140"/>
      </w:pPr>
      <w:r>
        <w:rPr>
          <w:rFonts w:ascii="Arial" w:cs="Arial" w:eastAsia="Arial" w:hAnsi="Arial"/>
          <w:b/>
          <w:bCs/>
          <w:color w:val="0F7173"/>
          <w:sz w:val="26"/>
          <w:szCs w:val="26"/>
        </w:rPr>
        <w:t xml:space="preserve">5.6 Analytics</w:t>
      </w:r>
    </w:p>
    <w:p>
      <w:pPr>
        <w:spacing w:before="80" w:after="140"/>
      </w:pPr>
      <w:r>
        <w:rPr>
          <w:rFonts w:ascii="Arial" w:cs="Arial" w:eastAsia="Arial" w:hAnsi="Arial"/>
          <w:sz w:val="22"/>
          <w:szCs w:val="22"/>
        </w:rPr>
        <w:t xml:space="preserve">The Analytics page provides quantitative performance tracking across all AI/ML model metrics.</w:t>
      </w:r>
    </w:p>
    <w:p>
      <w:pPr>
        <w:pStyle w:val="ListParagraph"/>
        <w:numPr>
          <w:ilvl w:val="0"/>
          <w:numId w:val="2"/>
        </w:numPr>
        <w:spacing w:before="60" w:after="60"/>
      </w:pPr>
      <w:r>
        <w:rPr>
          <w:rFonts w:ascii="Arial" w:cs="Arial" w:eastAsia="Arial" w:hAnsi="Arial"/>
          <w:sz w:val="22"/>
          <w:szCs w:val="22"/>
        </w:rPr>
        <w:t xml:space="preserve">3 circular SVG ring gauges: Precision (87%), Clause Alignment F1 (86%), Autofill Accuracy (96%)</w:t>
      </w:r>
    </w:p>
    <w:p>
      <w:pPr>
        <w:pStyle w:val="ListParagraph"/>
        <w:numPr>
          <w:ilvl w:val="0"/>
          <w:numId w:val="2"/>
        </w:numPr>
        <w:spacing w:before="60" w:after="60"/>
      </w:pPr>
      <w:r>
        <w:rPr>
          <w:rFonts w:ascii="Arial" w:cs="Arial" w:eastAsia="Arial" w:hAnsi="Arial"/>
          <w:sz w:val="22"/>
          <w:szCs w:val="22"/>
        </w:rPr>
        <w:t xml:space="preserve">Each gauge shows the target threshold and whether it has been met</w:t>
      </w:r>
    </w:p>
    <w:p>
      <w:pPr>
        <w:pStyle w:val="ListParagraph"/>
        <w:numPr>
          <w:ilvl w:val="0"/>
          <w:numId w:val="2"/>
        </w:numPr>
        <w:spacing w:before="60" w:after="60"/>
      </w:pPr>
      <w:r>
        <w:rPr>
          <w:rFonts w:ascii="Arial" w:cs="Arial" w:eastAsia="Arial" w:hAnsi="Arial"/>
          <w:sz w:val="22"/>
          <w:szCs w:val="22"/>
        </w:rPr>
        <w:t xml:space="preserve">Line chart: 6-month accuracy trend for all 3 metrics (Sep–Feb)</w:t>
      </w:r>
    </w:p>
    <w:p>
      <w:pPr>
        <w:pStyle w:val="ListParagraph"/>
        <w:numPr>
          <w:ilvl w:val="0"/>
          <w:numId w:val="2"/>
        </w:numPr>
        <w:spacing w:before="60" w:after="60"/>
      </w:pPr>
      <w:r>
        <w:rPr>
          <w:rFonts w:ascii="Arial" w:cs="Arial" w:eastAsia="Arial" w:hAnsi="Arial"/>
          <w:sz w:val="22"/>
          <w:szCs w:val="22"/>
        </w:rPr>
        <w:t xml:space="preserve">Radar chart: current vs target across 6 dimensions (Precision, Recall, F1, Autofill, Speed, Compliance)</w:t>
      </w:r>
    </w:p>
    <w:p>
      <w:pPr>
        <w:pStyle w:val="ListParagraph"/>
        <w:numPr>
          <w:ilvl w:val="0"/>
          <w:numId w:val="2"/>
        </w:numPr>
        <w:spacing w:before="60" w:after="60"/>
      </w:pPr>
      <w:r>
        <w:rPr>
          <w:rFonts w:ascii="Arial" w:cs="Arial" w:eastAsia="Arial" w:hAnsi="Arial"/>
          <w:sz w:val="22"/>
          <w:szCs w:val="22"/>
        </w:rPr>
        <w:t xml:space="preserve">Pie chart: confirmation method distribution (78% auto-generated, 14% template+edit, 8% manual)</w:t>
      </w:r>
    </w:p>
    <w:p>
      <w:pPr>
        <w:spacing w:after="200"/>
      </w:pPr>
    </w:p>
    <w:p>
      <w:pPr>
        <w:pStyle w:val="Heading2"/>
        <w:spacing w:before="280" w:after="140"/>
      </w:pPr>
      <w:r>
        <w:rPr>
          <w:rFonts w:ascii="Arial" w:cs="Arial" w:eastAsia="Arial" w:hAnsi="Arial"/>
          <w:b/>
          <w:bCs/>
          <w:color w:val="0F7173"/>
          <w:sz w:val="26"/>
          <w:szCs w:val="26"/>
        </w:rPr>
        <w:t xml:space="preserve">5.7 Settings</w:t>
      </w:r>
    </w:p>
    <w:p>
      <w:pPr>
        <w:spacing w:before="80" w:after="140"/>
      </w:pPr>
      <w:r>
        <w:rPr>
          <w:rFonts w:ascii="Arial" w:cs="Arial" w:eastAsia="Arial" w:hAnsi="Arial"/>
          <w:sz w:val="22"/>
          <w:szCs w:val="22"/>
        </w:rPr>
        <w:t xml:space="preserve">The Settings page provides configuration control over all AI models, pipeline stages, compliance rules, and notification preferences.</w:t>
      </w:r>
    </w:p>
    <w:p>
      <w:pPr>
        <w:pStyle w:val="ListParagraph"/>
        <w:numPr>
          <w:ilvl w:val="0"/>
          <w:numId w:val="2"/>
        </w:numPr>
        <w:spacing w:before="60" w:after="60"/>
      </w:pPr>
      <w:r>
        <w:rPr>
          <w:rFonts w:ascii="Arial" w:cs="Arial" w:eastAsia="Arial" w:hAnsi="Arial"/>
          <w:sz w:val="22"/>
          <w:szCs w:val="22"/>
        </w:rPr>
        <w:t xml:space="preserve">AI Models tab: embedding model (SBERT / OpenAI / E5-large), LLM (GPT-4o / Claude / LegalBERT), vector DB (Pinecone / Weaviate / pgvector), accuracy threshold, retraining schedule</w:t>
      </w:r>
    </w:p>
    <w:p>
      <w:pPr>
        <w:pStyle w:val="ListParagraph"/>
        <w:numPr>
          <w:ilvl w:val="0"/>
          <w:numId w:val="2"/>
        </w:numPr>
        <w:spacing w:before="60" w:after="60"/>
      </w:pPr>
      <w:r>
        <w:rPr>
          <w:rFonts w:ascii="Arial" w:cs="Arial" w:eastAsia="Arial" w:hAnsi="Arial"/>
          <w:sz w:val="22"/>
          <w:szCs w:val="22"/>
        </w:rPr>
        <w:t xml:space="preserve">Pipeline tab: individual toggle for each iteration, mandatory human review enforcement</w:t>
      </w:r>
    </w:p>
    <w:p>
      <w:pPr>
        <w:pStyle w:val="ListParagraph"/>
        <w:numPr>
          <w:ilvl w:val="0"/>
          <w:numId w:val="2"/>
        </w:numPr>
        <w:spacing w:before="60" w:after="60"/>
      </w:pPr>
      <w:r>
        <w:rPr>
          <w:rFonts w:ascii="Arial" w:cs="Arial" w:eastAsia="Arial" w:hAnsi="Arial"/>
          <w:sz w:val="22"/>
          <w:szCs w:val="22"/>
        </w:rPr>
        <w:t xml:space="preserve">Compliance tab: clause library standard (ISDA 2002/2006/ICMA), rule validation toggle, hallucination guard</w:t>
      </w:r>
    </w:p>
    <w:p>
      <w:pPr>
        <w:pStyle w:val="ListParagraph"/>
        <w:numPr>
          <w:ilvl w:val="0"/>
          <w:numId w:val="2"/>
        </w:numPr>
        <w:spacing w:before="60" w:after="60"/>
      </w:pPr>
      <w:r>
        <w:rPr>
          <w:rFonts w:ascii="Arial" w:cs="Arial" w:eastAsia="Arial" w:hAnsi="Arial"/>
          <w:sz w:val="22"/>
          <w:szCs w:val="22"/>
        </w:rPr>
        <w:t xml:space="preserve">Notifications tab: email alerts, Slack integration, high-risk-only filter</w:t>
      </w:r>
    </w:p>
    <w:p>
      <w:pPr>
        <w:pStyle w:val="ListParagraph"/>
        <w:numPr>
          <w:ilvl w:val="0"/>
          <w:numId w:val="2"/>
        </w:numPr>
        <w:spacing w:before="60" w:after="60"/>
      </w:pPr>
      <w:r>
        <w:rPr>
          <w:rFonts w:ascii="Arial" w:cs="Arial" w:eastAsia="Arial" w:hAnsi="Arial"/>
          <w:sz w:val="22"/>
          <w:szCs w:val="22"/>
        </w:rPr>
        <w:t xml:space="preserve">Animated toggle switches with spring physics (Framer Motion), Save Configuration button</w:t>
      </w:r>
    </w:p>
    <w:p>
      <w:pPr>
        <w:spacing w:after="200"/>
      </w:pPr>
    </w:p>
    <w:p>
      <w:r>
        <w:br/>
      </w:r>
    </w:p>
    <w:p>
      <w:pPr>
        <w:pStyle w:val="Heading1"/>
        <w:spacing w:before="360" w:after="180"/>
      </w:pPr>
      <w:r>
        <w:rPr>
          <w:rFonts w:ascii="Arial" w:cs="Arial" w:eastAsia="Arial" w:hAnsi="Arial"/>
          <w:b/>
          <w:bCs/>
          <w:color w:val="0D1B2A"/>
          <w:sz w:val="32"/>
          <w:szCs w:val="32"/>
        </w:rPr>
        <w:t xml:space="preserve">6. How to Use Each Page</w:t>
      </w:r>
    </w:p>
    <w:p>
      <w:pPr>
        <w:pBdr>
          <w:bottom w:val="single" w:color="0F7173" w:sz="6" w:space="1"/>
        </w:pBdr>
        <w:spacing w:after="200"/>
      </w:pPr>
    </w:p>
    <w:p>
      <w:pPr>
        <w:pStyle w:val="Heading2"/>
        <w:spacing w:before="280" w:after="140"/>
      </w:pPr>
      <w:r>
        <w:rPr>
          <w:rFonts w:ascii="Arial" w:cs="Arial" w:eastAsia="Arial" w:hAnsi="Arial"/>
          <w:b/>
          <w:bCs/>
          <w:color w:val="0F7173"/>
          <w:sz w:val="26"/>
          <w:szCs w:val="26"/>
        </w:rPr>
        <w:t xml:space="preserve">Starting the Application</w:t>
      </w:r>
    </w:p>
    <w:p>
      <w:pPr>
        <w:pStyle w:val="ListParagraph"/>
        <w:numPr>
          <w:ilvl w:val="0"/>
          <w:numId w:val="3"/>
        </w:numPr>
        <w:spacing w:before="60" w:after="60"/>
      </w:pPr>
      <w:r>
        <w:rPr>
          <w:rFonts w:ascii="Arial" w:cs="Arial" w:eastAsia="Arial" w:hAnsi="Arial"/>
          <w:sz w:val="22"/>
          <w:szCs w:val="22"/>
        </w:rPr>
        <w:t xml:space="preserve">Open terminal — navigate to /backend folder</w:t>
      </w:r>
    </w:p>
    <w:p>
      <w:pPr>
        <w:pStyle w:val="ListParagraph"/>
        <w:numPr>
          <w:ilvl w:val="0"/>
          <w:numId w:val="3"/>
        </w:numPr>
        <w:spacing w:before="60" w:after="60"/>
      </w:pPr>
      <w:r>
        <w:rPr>
          <w:rFonts w:ascii="Arial" w:cs="Arial" w:eastAsia="Arial" w:hAnsi="Arial"/>
          <w:sz w:val="22"/>
          <w:szCs w:val="22"/>
        </w:rPr>
        <w:t xml:space="preserve">Run: pip install flask &amp;&amp; python app.py</w:t>
      </w:r>
    </w:p>
    <w:p>
      <w:pPr>
        <w:pStyle w:val="ListParagraph"/>
        <w:numPr>
          <w:ilvl w:val="0"/>
          <w:numId w:val="3"/>
        </w:numPr>
        <w:spacing w:before="60" w:after="60"/>
      </w:pPr>
      <w:r>
        <w:rPr>
          <w:rFonts w:ascii="Arial" w:cs="Arial" w:eastAsia="Arial" w:hAnsi="Arial"/>
          <w:sz w:val="22"/>
          <w:szCs w:val="22"/>
        </w:rPr>
        <w:t xml:space="preserve">Open a second terminal — navigate to /frontend folder</w:t>
      </w:r>
    </w:p>
    <w:p>
      <w:pPr>
        <w:pStyle w:val="ListParagraph"/>
        <w:numPr>
          <w:ilvl w:val="0"/>
          <w:numId w:val="3"/>
        </w:numPr>
        <w:spacing w:before="60" w:after="60"/>
      </w:pPr>
      <w:r>
        <w:rPr>
          <w:rFonts w:ascii="Arial" w:cs="Arial" w:eastAsia="Arial" w:hAnsi="Arial"/>
          <w:sz w:val="22"/>
          <w:szCs w:val="22"/>
        </w:rPr>
        <w:t xml:space="preserve">Run: npm install &amp;&amp; npm run dev</w:t>
      </w:r>
    </w:p>
    <w:p>
      <w:pPr>
        <w:pStyle w:val="ListParagraph"/>
        <w:numPr>
          <w:ilvl w:val="0"/>
          <w:numId w:val="3"/>
        </w:numPr>
        <w:spacing w:before="60" w:after="60"/>
      </w:pPr>
      <w:r>
        <w:rPr>
          <w:rFonts w:ascii="Arial" w:cs="Arial" w:eastAsia="Arial" w:hAnsi="Arial"/>
          <w:sz w:val="22"/>
          <w:szCs w:val="22"/>
        </w:rPr>
        <w:t xml:space="preserve">Open browser at http://localhost:3000</w:t>
      </w:r>
    </w:p>
    <w:p>
      <w:pPr>
        <w:spacing w:after="200"/>
      </w:pPr>
    </w:p>
    <w:p>
      <w:pPr>
        <w:pStyle w:val="Heading2"/>
        <w:spacing w:before="280" w:after="140"/>
      </w:pPr>
      <w:r>
        <w:rPr>
          <w:rFonts w:ascii="Arial" w:cs="Arial" w:eastAsia="Arial" w:hAnsi="Arial"/>
          <w:b/>
          <w:bCs/>
          <w:color w:val="0F7173"/>
          <w:sz w:val="26"/>
          <w:szCs w:val="26"/>
        </w:rPr>
        <w:t xml:space="preserve">Dashboard</w:t>
      </w:r>
    </w:p>
    <w:p>
      <w:pPr>
        <w:pStyle w:val="ListParagraph"/>
        <w:numPr>
          <w:ilvl w:val="0"/>
          <w:numId w:val="3"/>
        </w:numPr>
        <w:spacing w:before="60" w:after="60"/>
      </w:pPr>
      <w:r>
        <w:rPr>
          <w:rFonts w:ascii="Arial" w:cs="Arial" w:eastAsia="Arial" w:hAnsi="Arial"/>
          <w:sz w:val="22"/>
          <w:szCs w:val="22"/>
        </w:rPr>
        <w:t xml:space="preserve">The Dashboard loads automatically — all KPI numbers animate from 0 to their values</w:t>
      </w:r>
    </w:p>
    <w:p>
      <w:pPr>
        <w:pStyle w:val="ListParagraph"/>
        <w:numPr>
          <w:ilvl w:val="0"/>
          <w:numId w:val="3"/>
        </w:numPr>
        <w:spacing w:before="60" w:after="60"/>
      </w:pPr>
      <w:r>
        <w:rPr>
          <w:rFonts w:ascii="Arial" w:cs="Arial" w:eastAsia="Arial" w:hAnsi="Arial"/>
          <w:sz w:val="22"/>
          <w:szCs w:val="22"/>
        </w:rPr>
        <w:t xml:space="preserve">The greeting banner shows the correct time-of-day greeting</w:t>
      </w:r>
    </w:p>
    <w:p>
      <w:pPr>
        <w:pStyle w:val="ListParagraph"/>
        <w:numPr>
          <w:ilvl w:val="0"/>
          <w:numId w:val="3"/>
        </w:numPr>
        <w:spacing w:before="60" w:after="60"/>
      </w:pPr>
      <w:r>
        <w:rPr>
          <w:rFonts w:ascii="Arial" w:cs="Arial" w:eastAsia="Arial" w:hAnsi="Arial"/>
          <w:sz w:val="22"/>
          <w:szCs w:val="22"/>
        </w:rPr>
        <w:t xml:space="preserve">Hover over the Automation Progress chart tooltip for exact values</w:t>
      </w:r>
    </w:p>
    <w:p>
      <w:pPr>
        <w:pStyle w:val="ListParagraph"/>
        <w:numPr>
          <w:ilvl w:val="0"/>
          <w:numId w:val="3"/>
        </w:numPr>
        <w:spacing w:before="60" w:after="60"/>
      </w:pPr>
      <w:r>
        <w:rPr>
          <w:rFonts w:ascii="Arial" w:cs="Arial" w:eastAsia="Arial" w:hAnsi="Arial"/>
          <w:sz w:val="22"/>
          <w:szCs w:val="22"/>
        </w:rPr>
        <w:t xml:space="preserve">Click 'View All' on the Recent Confirmations table to see full history</w:t>
      </w:r>
    </w:p>
    <w:p>
      <w:pPr>
        <w:spacing w:after="200"/>
      </w:pPr>
    </w:p>
    <w:p>
      <w:pPr>
        <w:pStyle w:val="Heading2"/>
        <w:spacing w:before="280" w:after="140"/>
      </w:pPr>
      <w:r>
        <w:rPr>
          <w:rFonts w:ascii="Arial" w:cs="Arial" w:eastAsia="Arial" w:hAnsi="Arial"/>
          <w:b/>
          <w:bCs/>
          <w:color w:val="0F7173"/>
          <w:sz w:val="26"/>
          <w:szCs w:val="26"/>
        </w:rPr>
        <w:t xml:space="preserve">Template Reuse (Iteration 1)</w:t>
      </w:r>
    </w:p>
    <w:p>
      <w:pPr>
        <w:pStyle w:val="ListParagraph"/>
        <w:numPr>
          <w:ilvl w:val="0"/>
          <w:numId w:val="3"/>
        </w:numPr>
        <w:spacing w:before="60" w:after="60"/>
      </w:pPr>
      <w:r>
        <w:rPr>
          <w:rFonts w:ascii="Arial" w:cs="Arial" w:eastAsia="Arial" w:hAnsi="Arial"/>
          <w:sz w:val="22"/>
          <w:szCs w:val="22"/>
        </w:rPr>
        <w:t xml:space="preserve">Click 'Template Reuse' in the left sidebar</w:t>
      </w:r>
    </w:p>
    <w:p>
      <w:pPr>
        <w:pStyle w:val="ListParagraph"/>
        <w:numPr>
          <w:ilvl w:val="0"/>
          <w:numId w:val="3"/>
        </w:numPr>
        <w:spacing w:before="60" w:after="60"/>
      </w:pPr>
      <w:r>
        <w:rPr>
          <w:rFonts w:ascii="Arial" w:cs="Arial" w:eastAsia="Arial" w:hAnsi="Arial"/>
          <w:sz w:val="22"/>
          <w:szCs w:val="22"/>
        </w:rPr>
        <w:t xml:space="preserve">Type a trade description in the search bar — e.g. '5-year USD IRS with HSBC'</w:t>
      </w:r>
    </w:p>
    <w:p>
      <w:pPr>
        <w:pStyle w:val="ListParagraph"/>
        <w:numPr>
          <w:ilvl w:val="0"/>
          <w:numId w:val="3"/>
        </w:numPr>
        <w:spacing w:before="60" w:after="60"/>
      </w:pPr>
      <w:r>
        <w:rPr>
          <w:rFonts w:ascii="Arial" w:cs="Arial" w:eastAsia="Arial" w:hAnsi="Arial"/>
          <w:sz w:val="22"/>
          <w:szCs w:val="22"/>
        </w:rPr>
        <w:t xml:space="preserve">Optionally select Trade Type and Jurisdiction from the dropdown filters</w:t>
      </w:r>
    </w:p>
    <w:p>
      <w:pPr>
        <w:pStyle w:val="ListParagraph"/>
        <w:numPr>
          <w:ilvl w:val="0"/>
          <w:numId w:val="3"/>
        </w:numPr>
        <w:spacing w:before="60" w:after="60"/>
      </w:pPr>
      <w:r>
        <w:rPr>
          <w:rFonts w:ascii="Arial" w:cs="Arial" w:eastAsia="Arial" w:hAnsi="Arial"/>
          <w:sz w:val="22"/>
          <w:szCs w:val="22"/>
        </w:rPr>
        <w:t xml:space="preserve">Click 'Search Templates' or press Enter — a spinner indicates embedding computation</w:t>
      </w:r>
    </w:p>
    <w:p>
      <w:pPr>
        <w:pStyle w:val="ListParagraph"/>
        <w:numPr>
          <w:ilvl w:val="0"/>
          <w:numId w:val="3"/>
        </w:numPr>
        <w:spacing w:before="60" w:after="60"/>
      </w:pPr>
      <w:r>
        <w:rPr>
          <w:rFonts w:ascii="Arial" w:cs="Arial" w:eastAsia="Arial" w:hAnsi="Arial"/>
          <w:sz w:val="22"/>
          <w:szCs w:val="22"/>
        </w:rPr>
        <w:t xml:space="preserve">Results appear ranked by similarity percentage (colour-coded: green ≥90%, amber ≥70%)</w:t>
      </w:r>
    </w:p>
    <w:p>
      <w:pPr>
        <w:pStyle w:val="ListParagraph"/>
        <w:numPr>
          <w:ilvl w:val="0"/>
          <w:numId w:val="3"/>
        </w:numPr>
        <w:spacing w:before="60" w:after="60"/>
      </w:pPr>
      <w:r>
        <w:rPr>
          <w:rFonts w:ascii="Arial" w:cs="Arial" w:eastAsia="Arial" w:hAnsi="Arial"/>
          <w:sz w:val="22"/>
          <w:szCs w:val="22"/>
        </w:rPr>
        <w:t xml:space="preserve">Click any template card to expand and review all field values</w:t>
      </w:r>
    </w:p>
    <w:p>
      <w:pPr>
        <w:pStyle w:val="ListParagraph"/>
        <w:numPr>
          <w:ilvl w:val="0"/>
          <w:numId w:val="3"/>
        </w:numPr>
        <w:spacing w:before="60" w:after="60"/>
      </w:pPr>
      <w:r>
        <w:rPr>
          <w:rFonts w:ascii="Arial" w:cs="Arial" w:eastAsia="Arial" w:hAnsi="Arial"/>
          <w:sz w:val="22"/>
          <w:szCs w:val="22"/>
        </w:rPr>
        <w:t xml:space="preserve">Click 'Use This Template' to lock the selection for the next step</w:t>
      </w:r>
    </w:p>
    <w:p>
      <w:pPr>
        <w:spacing w:after="200"/>
      </w:pPr>
    </w:p>
    <w:p>
      <w:pPr>
        <w:pStyle w:val="Heading2"/>
        <w:spacing w:before="280" w:after="140"/>
      </w:pPr>
      <w:r>
        <w:rPr>
          <w:rFonts w:ascii="Arial" w:cs="Arial" w:eastAsia="Arial" w:hAnsi="Arial"/>
          <w:b/>
          <w:bCs/>
          <w:color w:val="0F7173"/>
          <w:sz w:val="26"/>
          <w:szCs w:val="26"/>
        </w:rPr>
        <w:t xml:space="preserve">Difference Highlighting (Iteration 2)</w:t>
      </w:r>
    </w:p>
    <w:p>
      <w:pPr>
        <w:pStyle w:val="ListParagraph"/>
        <w:numPr>
          <w:ilvl w:val="0"/>
          <w:numId w:val="3"/>
        </w:numPr>
        <w:spacing w:before="60" w:after="60"/>
      </w:pPr>
      <w:r>
        <w:rPr>
          <w:rFonts w:ascii="Arial" w:cs="Arial" w:eastAsia="Arial" w:hAnsi="Arial"/>
          <w:sz w:val="22"/>
          <w:szCs w:val="22"/>
        </w:rPr>
        <w:t xml:space="preserve">Click 'Diff Highlight' in the sidebar</w:t>
      </w:r>
    </w:p>
    <w:p>
      <w:pPr>
        <w:pStyle w:val="ListParagraph"/>
        <w:numPr>
          <w:ilvl w:val="0"/>
          <w:numId w:val="3"/>
        </w:numPr>
        <w:spacing w:before="60" w:after="60"/>
      </w:pPr>
      <w:r>
        <w:rPr>
          <w:rFonts w:ascii="Arial" w:cs="Arial" w:eastAsia="Arial" w:hAnsi="Arial"/>
          <w:sz w:val="22"/>
          <w:szCs w:val="22"/>
        </w:rPr>
        <w:t xml:space="preserve">The template vs trade comparison is pre-loaded — click 'Run Analysis'</w:t>
      </w:r>
    </w:p>
    <w:p>
      <w:pPr>
        <w:pStyle w:val="ListParagraph"/>
        <w:numPr>
          <w:ilvl w:val="0"/>
          <w:numId w:val="3"/>
        </w:numPr>
        <w:spacing w:before="60" w:after="60"/>
      </w:pPr>
      <w:r>
        <w:rPr>
          <w:rFonts w:ascii="Arial" w:cs="Arial" w:eastAsia="Arial" w:hAnsi="Arial"/>
          <w:sz w:val="22"/>
          <w:szCs w:val="22"/>
        </w:rPr>
        <w:t xml:space="preserve">Review the summary row: Total=7, HIGH=3, MEDIUM=2, LOW=2</w:t>
      </w:r>
    </w:p>
    <w:p>
      <w:pPr>
        <w:pStyle w:val="ListParagraph"/>
        <w:numPr>
          <w:ilvl w:val="0"/>
          <w:numId w:val="3"/>
        </w:numPr>
        <w:spacing w:before="60" w:after="60"/>
      </w:pPr>
      <w:r>
        <w:rPr>
          <w:rFonts w:ascii="Arial" w:cs="Arial" w:eastAsia="Arial" w:hAnsi="Arial"/>
          <w:sz w:val="22"/>
          <w:szCs w:val="22"/>
        </w:rPr>
        <w:t xml:space="preserve">Use the filter tabs (ALL / HIGH / MEDIUM / LOW) to focus on priority differences</w:t>
      </w:r>
    </w:p>
    <w:p>
      <w:pPr>
        <w:pStyle w:val="ListParagraph"/>
        <w:numPr>
          <w:ilvl w:val="0"/>
          <w:numId w:val="3"/>
        </w:numPr>
        <w:spacing w:before="60" w:after="60"/>
      </w:pPr>
      <w:r>
        <w:rPr>
          <w:rFonts w:ascii="Arial" w:cs="Arial" w:eastAsia="Arial" w:hAnsi="Arial"/>
          <w:sz w:val="22"/>
          <w:szCs w:val="22"/>
        </w:rPr>
        <w:t xml:space="preserve">Click any diff row to expand the detailed risk explanation</w:t>
      </w:r>
    </w:p>
    <w:p>
      <w:pPr>
        <w:pStyle w:val="ListParagraph"/>
        <w:numPr>
          <w:ilvl w:val="0"/>
          <w:numId w:val="3"/>
        </w:numPr>
        <w:spacing w:before="60" w:after="60"/>
      </w:pPr>
      <w:r>
        <w:rPr>
          <w:rFonts w:ascii="Arial" w:cs="Arial" w:eastAsia="Arial" w:hAnsi="Arial"/>
          <w:sz w:val="22"/>
          <w:szCs w:val="22"/>
        </w:rPr>
        <w:t xml:space="preserve">Use the action buttons per row: Accept Change, Flag for Review, or Revert to Template</w:t>
      </w:r>
    </w:p>
    <w:p>
      <w:pPr>
        <w:pStyle w:val="ListParagraph"/>
        <w:numPr>
          <w:ilvl w:val="0"/>
          <w:numId w:val="3"/>
        </w:numPr>
        <w:spacing w:before="60" w:after="60"/>
      </w:pPr>
      <w:r>
        <w:rPr>
          <w:rFonts w:ascii="Arial" w:cs="Arial" w:eastAsia="Arial" w:hAnsi="Arial"/>
          <w:sz w:val="22"/>
          <w:szCs w:val="22"/>
        </w:rPr>
        <w:t xml:space="preserve">Click 'Proceed to Generate →' in the footer to advance to Iteration 3</w:t>
      </w:r>
    </w:p>
    <w:p>
      <w:pPr>
        <w:spacing w:after="200"/>
      </w:pPr>
    </w:p>
    <w:p>
      <w:pPr>
        <w:pStyle w:val="Heading2"/>
        <w:spacing w:before="280" w:after="140"/>
      </w:pPr>
      <w:r>
        <w:rPr>
          <w:rFonts w:ascii="Arial" w:cs="Arial" w:eastAsia="Arial" w:hAnsi="Arial"/>
          <w:b/>
          <w:bCs/>
          <w:color w:val="0F7173"/>
          <w:sz w:val="26"/>
          <w:szCs w:val="26"/>
        </w:rPr>
        <w:t xml:space="preserve">Auto Generate (Iteration 3)</w:t>
      </w:r>
    </w:p>
    <w:p>
      <w:pPr>
        <w:pStyle w:val="ListParagraph"/>
        <w:numPr>
          <w:ilvl w:val="0"/>
          <w:numId w:val="3"/>
        </w:numPr>
        <w:spacing w:before="60" w:after="60"/>
      </w:pPr>
      <w:r>
        <w:rPr>
          <w:rFonts w:ascii="Arial" w:cs="Arial" w:eastAsia="Arial" w:hAnsi="Arial"/>
          <w:sz w:val="22"/>
          <w:szCs w:val="22"/>
        </w:rPr>
        <w:t xml:space="preserve">Click 'Auto Generate' in the sidebar</w:t>
      </w:r>
    </w:p>
    <w:p>
      <w:pPr>
        <w:pStyle w:val="ListParagraph"/>
        <w:numPr>
          <w:ilvl w:val="0"/>
          <w:numId w:val="3"/>
        </w:numPr>
        <w:spacing w:before="60" w:after="60"/>
      </w:pPr>
      <w:r>
        <w:rPr>
          <w:rFonts w:ascii="Arial" w:cs="Arial" w:eastAsia="Arial" w:hAnsi="Arial"/>
          <w:sz w:val="22"/>
          <w:szCs w:val="22"/>
        </w:rPr>
        <w:t xml:space="preserve">Fill in all 10 trade parameter fields (counterparty, notional, rates, dates, jurisdiction)</w:t>
      </w:r>
    </w:p>
    <w:p>
      <w:pPr>
        <w:pStyle w:val="ListParagraph"/>
        <w:numPr>
          <w:ilvl w:val="0"/>
          <w:numId w:val="3"/>
        </w:numPr>
        <w:spacing w:before="60" w:after="60"/>
      </w:pPr>
      <w:r>
        <w:rPr>
          <w:rFonts w:ascii="Arial" w:cs="Arial" w:eastAsia="Arial" w:hAnsi="Arial"/>
          <w:sz w:val="22"/>
          <w:szCs w:val="22"/>
        </w:rPr>
        <w:t xml:space="preserve">Click 'Generate Confirmation' — the 6-stage pipeline animates with live status</w:t>
      </w:r>
    </w:p>
    <w:p>
      <w:pPr>
        <w:pStyle w:val="ListParagraph"/>
        <w:numPr>
          <w:ilvl w:val="0"/>
          <w:numId w:val="3"/>
        </w:numPr>
        <w:spacing w:before="60" w:after="60"/>
      </w:pPr>
      <w:r>
        <w:rPr>
          <w:rFonts w:ascii="Arial" w:cs="Arial" w:eastAsia="Arial" w:hAnsi="Arial"/>
          <w:sz w:val="22"/>
          <w:szCs w:val="22"/>
        </w:rPr>
        <w:t xml:space="preserve">Wait for all 6 stages to complete (approximately 5 seconds in mock mode)</w:t>
      </w:r>
    </w:p>
    <w:p>
      <w:pPr>
        <w:pStyle w:val="ListParagraph"/>
        <w:numPr>
          <w:ilvl w:val="0"/>
          <w:numId w:val="3"/>
        </w:numPr>
        <w:spacing w:before="60" w:after="60"/>
      </w:pPr>
      <w:r>
        <w:rPr>
          <w:rFonts w:ascii="Arial" w:cs="Arial" w:eastAsia="Arial" w:hAnsi="Arial"/>
          <w:sz w:val="22"/>
          <w:szCs w:val="22"/>
        </w:rPr>
        <w:t xml:space="preserve">Review the 6 generated clause sections — green border = auto-filled, amber = needs review</w:t>
      </w:r>
    </w:p>
    <w:p>
      <w:pPr>
        <w:pStyle w:val="ListParagraph"/>
        <w:numPr>
          <w:ilvl w:val="0"/>
          <w:numId w:val="3"/>
        </w:numPr>
        <w:spacing w:before="60" w:after="60"/>
      </w:pPr>
      <w:r>
        <w:rPr>
          <w:rFonts w:ascii="Arial" w:cs="Arial" w:eastAsia="Arial" w:hAnsi="Arial"/>
          <w:sz w:val="22"/>
          <w:szCs w:val="22"/>
        </w:rPr>
        <w:t xml:space="preserve">Click any REVIEW_REQUIRED clause to read the flag reason and edit if necessary</w:t>
      </w:r>
    </w:p>
    <w:p>
      <w:pPr>
        <w:pStyle w:val="ListParagraph"/>
        <w:numPr>
          <w:ilvl w:val="0"/>
          <w:numId w:val="3"/>
        </w:numPr>
        <w:spacing w:before="60" w:after="60"/>
      </w:pPr>
      <w:r>
        <w:rPr>
          <w:rFonts w:ascii="Arial" w:cs="Arial" w:eastAsia="Arial" w:hAnsi="Arial"/>
          <w:sz w:val="22"/>
          <w:szCs w:val="22"/>
        </w:rPr>
        <w:t xml:space="preserve">Click 'Approve &amp; Send' to finalise, or 'Edit Draft' to make changes</w:t>
      </w:r>
    </w:p>
    <w:p>
      <w:pPr>
        <w:spacing w:after="200"/>
      </w:pPr>
    </w:p>
    <w:p>
      <w:pPr>
        <w:pStyle w:val="Heading2"/>
        <w:spacing w:before="280" w:after="140"/>
      </w:pPr>
      <w:r>
        <w:rPr>
          <w:rFonts w:ascii="Arial" w:cs="Arial" w:eastAsia="Arial" w:hAnsi="Arial"/>
          <w:b/>
          <w:bCs/>
          <w:color w:val="0F7173"/>
          <w:sz w:val="26"/>
          <w:szCs w:val="26"/>
        </w:rPr>
        <w:t xml:space="preserve">Pipeline Page</w:t>
      </w:r>
    </w:p>
    <w:p>
      <w:pPr>
        <w:pStyle w:val="ListParagraph"/>
        <w:numPr>
          <w:ilvl w:val="0"/>
          <w:numId w:val="3"/>
        </w:numPr>
        <w:spacing w:before="60" w:after="60"/>
      </w:pPr>
      <w:r>
        <w:rPr>
          <w:rFonts w:ascii="Arial" w:cs="Arial" w:eastAsia="Arial" w:hAnsi="Arial"/>
          <w:sz w:val="22"/>
          <w:szCs w:val="22"/>
        </w:rPr>
        <w:t xml:space="preserve">Click 'Pipeline' in the sidebar to see the full 7-stage architecture</w:t>
      </w:r>
    </w:p>
    <w:p>
      <w:pPr>
        <w:pStyle w:val="ListParagraph"/>
        <w:numPr>
          <w:ilvl w:val="0"/>
          <w:numId w:val="3"/>
        </w:numPr>
        <w:spacing w:before="60" w:after="60"/>
      </w:pPr>
      <w:r>
        <w:rPr>
          <w:rFonts w:ascii="Arial" w:cs="Arial" w:eastAsia="Arial" w:hAnsi="Arial"/>
          <w:sz w:val="22"/>
          <w:szCs w:val="22"/>
        </w:rPr>
        <w:t xml:space="preserve">Read the 4 summary cards: Total Time (2.14s), Stages Complete (6/7), Models (5), Compliance (PASS)</w:t>
      </w:r>
    </w:p>
    <w:p>
      <w:pPr>
        <w:pStyle w:val="ListParagraph"/>
        <w:numPr>
          <w:ilvl w:val="0"/>
          <w:numId w:val="3"/>
        </w:numPr>
        <w:spacing w:before="60" w:after="60"/>
      </w:pPr>
      <w:r>
        <w:rPr>
          <w:rFonts w:ascii="Arial" w:cs="Arial" w:eastAsia="Arial" w:hAnsi="Arial"/>
          <w:sz w:val="22"/>
          <w:szCs w:val="22"/>
        </w:rPr>
        <w:t xml:space="preserve">Click any stage card to expand and read the full description and outputs</w:t>
      </w:r>
    </w:p>
    <w:p>
      <w:pPr>
        <w:pStyle w:val="ListParagraph"/>
        <w:numPr>
          <w:ilvl w:val="0"/>
          <w:numId w:val="3"/>
        </w:numPr>
        <w:spacing w:before="60" w:after="60"/>
      </w:pPr>
      <w:r>
        <w:rPr>
          <w:rFonts w:ascii="Arial" w:cs="Arial" w:eastAsia="Arial" w:hAnsi="Arial"/>
          <w:sz w:val="22"/>
          <w:szCs w:val="22"/>
        </w:rPr>
        <w:t xml:space="preserve">Click 'Simulate Pipeline' to watch a live animation through all stages</w:t>
      </w:r>
    </w:p>
    <w:p>
      <w:pPr>
        <w:spacing w:after="200"/>
      </w:pPr>
    </w:p>
    <w:p>
      <w:pPr>
        <w:pStyle w:val="Heading2"/>
        <w:spacing w:before="280" w:after="140"/>
      </w:pPr>
      <w:r>
        <w:rPr>
          <w:rFonts w:ascii="Arial" w:cs="Arial" w:eastAsia="Arial" w:hAnsi="Arial"/>
          <w:b/>
          <w:bCs/>
          <w:color w:val="0F7173"/>
          <w:sz w:val="26"/>
          <w:szCs w:val="26"/>
        </w:rPr>
        <w:t xml:space="preserve">Analytics</w:t>
      </w:r>
    </w:p>
    <w:p>
      <w:pPr>
        <w:pStyle w:val="ListParagraph"/>
        <w:numPr>
          <w:ilvl w:val="0"/>
          <w:numId w:val="3"/>
        </w:numPr>
        <w:spacing w:before="60" w:after="60"/>
      </w:pPr>
      <w:r>
        <w:rPr>
          <w:rFonts w:ascii="Arial" w:cs="Arial" w:eastAsia="Arial" w:hAnsi="Arial"/>
          <w:sz w:val="22"/>
          <w:szCs w:val="22"/>
        </w:rPr>
        <w:t xml:space="preserve">Click 'Analytics' in the sidebar</w:t>
      </w:r>
    </w:p>
    <w:p>
      <w:pPr>
        <w:pStyle w:val="ListParagraph"/>
        <w:numPr>
          <w:ilvl w:val="0"/>
          <w:numId w:val="3"/>
        </w:numPr>
        <w:spacing w:before="60" w:after="60"/>
      </w:pPr>
      <w:r>
        <w:rPr>
          <w:rFonts w:ascii="Arial" w:cs="Arial" w:eastAsia="Arial" w:hAnsi="Arial"/>
          <w:sz w:val="22"/>
          <w:szCs w:val="22"/>
        </w:rPr>
        <w:t xml:space="preserve">Review the 3 circular gauges — values above their target are marked with a green tick</w:t>
      </w:r>
    </w:p>
    <w:p>
      <w:pPr>
        <w:pStyle w:val="ListParagraph"/>
        <w:numPr>
          <w:ilvl w:val="0"/>
          <w:numId w:val="3"/>
        </w:numPr>
        <w:spacing w:before="60" w:after="60"/>
      </w:pPr>
      <w:r>
        <w:rPr>
          <w:rFonts w:ascii="Arial" w:cs="Arial" w:eastAsia="Arial" w:hAnsi="Arial"/>
          <w:sz w:val="22"/>
          <w:szCs w:val="22"/>
        </w:rPr>
        <w:t xml:space="preserve">Hover over the line chart to see exact values at each month</w:t>
      </w:r>
    </w:p>
    <w:p>
      <w:pPr>
        <w:pStyle w:val="ListParagraph"/>
        <w:numPr>
          <w:ilvl w:val="0"/>
          <w:numId w:val="3"/>
        </w:numPr>
        <w:spacing w:before="60" w:after="60"/>
      </w:pPr>
      <w:r>
        <w:rPr>
          <w:rFonts w:ascii="Arial" w:cs="Arial" w:eastAsia="Arial" w:hAnsi="Arial"/>
          <w:sz w:val="22"/>
          <w:szCs w:val="22"/>
        </w:rPr>
        <w:t xml:space="preserve">Review the radar chart to identify any metric lagging behind target</w:t>
      </w:r>
    </w:p>
    <w:p>
      <w:pPr>
        <w:spacing w:after="200"/>
      </w:pPr>
    </w:p>
    <w:p>
      <w:pPr>
        <w:pStyle w:val="Heading2"/>
        <w:spacing w:before="280" w:after="140"/>
      </w:pPr>
      <w:r>
        <w:rPr>
          <w:rFonts w:ascii="Arial" w:cs="Arial" w:eastAsia="Arial" w:hAnsi="Arial"/>
          <w:b/>
          <w:bCs/>
          <w:color w:val="0F7173"/>
          <w:sz w:val="26"/>
          <w:szCs w:val="26"/>
        </w:rPr>
        <w:t xml:space="preserve">Settings</w:t>
      </w:r>
    </w:p>
    <w:p>
      <w:pPr>
        <w:pStyle w:val="ListParagraph"/>
        <w:numPr>
          <w:ilvl w:val="0"/>
          <w:numId w:val="3"/>
        </w:numPr>
        <w:spacing w:before="60" w:after="60"/>
      </w:pPr>
      <w:r>
        <w:rPr>
          <w:rFonts w:ascii="Arial" w:cs="Arial" w:eastAsia="Arial" w:hAnsi="Arial"/>
          <w:sz w:val="22"/>
          <w:szCs w:val="22"/>
        </w:rPr>
        <w:t xml:space="preserve">Click 'Settings' in the sidebar</w:t>
      </w:r>
    </w:p>
    <w:p>
      <w:pPr>
        <w:pStyle w:val="ListParagraph"/>
        <w:numPr>
          <w:ilvl w:val="0"/>
          <w:numId w:val="3"/>
        </w:numPr>
        <w:spacing w:before="60" w:after="60"/>
      </w:pPr>
      <w:r>
        <w:rPr>
          <w:rFonts w:ascii="Arial" w:cs="Arial" w:eastAsia="Arial" w:hAnsi="Arial"/>
          <w:sz w:val="22"/>
          <w:szCs w:val="22"/>
        </w:rPr>
        <w:t xml:space="preserve">Navigate between 4 tabs: AI Models, Pipeline, Compliance, Notifications</w:t>
      </w:r>
    </w:p>
    <w:p>
      <w:pPr>
        <w:pStyle w:val="ListParagraph"/>
        <w:numPr>
          <w:ilvl w:val="0"/>
          <w:numId w:val="3"/>
        </w:numPr>
        <w:spacing w:before="60" w:after="60"/>
      </w:pPr>
      <w:r>
        <w:rPr>
          <w:rFonts w:ascii="Arial" w:cs="Arial" w:eastAsia="Arial" w:hAnsi="Arial"/>
          <w:sz w:val="22"/>
          <w:szCs w:val="22"/>
        </w:rPr>
        <w:t xml:space="preserve">Change model selection dropdowns or toggle switches as needed</w:t>
      </w:r>
    </w:p>
    <w:p>
      <w:pPr>
        <w:pStyle w:val="ListParagraph"/>
        <w:numPr>
          <w:ilvl w:val="0"/>
          <w:numId w:val="3"/>
        </w:numPr>
        <w:spacing w:before="60" w:after="60"/>
      </w:pPr>
      <w:r>
        <w:rPr>
          <w:rFonts w:ascii="Arial" w:cs="Arial" w:eastAsia="Arial" w:hAnsi="Arial"/>
          <w:sz w:val="22"/>
          <w:szCs w:val="22"/>
        </w:rPr>
        <w:t xml:space="preserve">Click 'Save Configuration' to persist your preferences</w:t>
      </w:r>
    </w:p>
    <w:p>
      <w:pPr>
        <w:spacing w:after="200"/>
      </w:pPr>
    </w:p>
    <w:p>
      <w:r>
        <w:br/>
      </w:r>
    </w:p>
    <w:p>
      <w:pPr>
        <w:pStyle w:val="Heading1"/>
        <w:spacing w:before="360" w:after="180"/>
      </w:pPr>
      <w:r>
        <w:rPr>
          <w:rFonts w:ascii="Arial" w:cs="Arial" w:eastAsia="Arial" w:hAnsi="Arial"/>
          <w:b/>
          <w:bCs/>
          <w:color w:val="0D1B2A"/>
          <w:sz w:val="32"/>
          <w:szCs w:val="32"/>
        </w:rPr>
        <w:t xml:space="preserve">7. Additional Enhancements</w:t>
      </w:r>
    </w:p>
    <w:p>
      <w:pPr>
        <w:pBdr>
          <w:bottom w:val="single" w:color="0F7173" w:sz="6" w:space="1"/>
        </w:pBdr>
        <w:spacing w:after="200"/>
      </w:pPr>
    </w:p>
    <w:p>
      <w:pPr>
        <w:spacing w:before="80" w:after="140"/>
      </w:pPr>
      <w:r>
        <w:rPr>
          <w:rFonts w:ascii="Arial" w:cs="Arial" w:eastAsia="Arial" w:hAnsi="Arial"/>
          <w:sz w:val="22"/>
          <w:szCs w:val="22"/>
        </w:rPr>
        <w:t xml:space="preserve">The following enhancements are proposed for subsequent development phases beyond the current POC:</w:t>
      </w:r>
    </w:p>
    <w:p>
      <w:pPr>
        <w:pStyle w:val="Heading3"/>
        <w:spacing w:before="200" w:after="100"/>
      </w:pPr>
      <w:r>
        <w:rPr>
          <w:rFonts w:ascii="Arial" w:cs="Arial" w:eastAsia="Arial" w:hAnsi="Arial"/>
          <w:b/>
          <w:bCs/>
          <w:color w:val="1A2E45"/>
          <w:sz w:val="22"/>
          <w:szCs w:val="22"/>
        </w:rPr>
        <w:t xml:space="preserve">Multilingual Confirmation Support</w:t>
      </w:r>
    </w:p>
    <w:p>
      <w:pPr>
        <w:spacing w:before="80" w:after="140"/>
      </w:pPr>
      <w:r>
        <w:rPr>
          <w:rFonts w:ascii="Arial" w:cs="Arial" w:eastAsia="Arial" w:hAnsi="Arial"/>
          <w:sz w:val="22"/>
          <w:szCs w:val="22"/>
        </w:rPr>
        <w:t xml:space="preserve">Extend the clause generation pipeline to produce confirmations in French, German, and Japanese for cross-border trade operations. Requires multilingual LegalBERT variants and translated clause libraries approved by regional legal teams.</w:t>
      </w:r>
    </w:p>
    <w:p>
      <w:pPr>
        <w:pStyle w:val="Heading3"/>
        <w:spacing w:before="200" w:after="100"/>
      </w:pPr>
      <w:r>
        <w:rPr>
          <w:rFonts w:ascii="Arial" w:cs="Arial" w:eastAsia="Arial" w:hAnsi="Arial"/>
          <w:b/>
          <w:bCs/>
          <w:color w:val="1A2E45"/>
          <w:sz w:val="22"/>
          <w:szCs w:val="22"/>
        </w:rPr>
        <w:t xml:space="preserve">Settlement System Integration</w:t>
      </w:r>
    </w:p>
    <w:p>
      <w:pPr>
        <w:spacing w:before="80" w:after="140"/>
      </w:pPr>
      <w:r>
        <w:rPr>
          <w:rFonts w:ascii="Arial" w:cs="Arial" w:eastAsia="Arial" w:hAnsi="Arial"/>
          <w:sz w:val="22"/>
          <w:szCs w:val="22"/>
        </w:rPr>
        <w:t xml:space="preserve">Connect the confirmation platform to downstream settlement systems (Bloomberg SSEOMS, Calypso, Murex) for straight-through processing (STP). Upon human approval, the system would automatically trigger settlement instructions without manual re-entry.</w:t>
      </w:r>
    </w:p>
    <w:p>
      <w:pPr>
        <w:pStyle w:val="Heading3"/>
        <w:spacing w:before="200" w:after="100"/>
      </w:pPr>
      <w:r>
        <w:rPr>
          <w:rFonts w:ascii="Arial" w:cs="Arial" w:eastAsia="Arial" w:hAnsi="Arial"/>
          <w:b/>
          <w:bCs/>
          <w:color w:val="1A2E45"/>
          <w:sz w:val="22"/>
          <w:szCs w:val="22"/>
        </w:rPr>
        <w:t xml:space="preserve">Model Drift Monitoring &amp; Auto-Retraining</w:t>
      </w:r>
    </w:p>
    <w:p>
      <w:pPr>
        <w:spacing w:before="80" w:after="140"/>
      </w:pPr>
      <w:r>
        <w:rPr>
          <w:rFonts w:ascii="Arial" w:cs="Arial" w:eastAsia="Arial" w:hAnsi="Arial"/>
          <w:sz w:val="22"/>
          <w:szCs w:val="22"/>
        </w:rPr>
        <w:t xml:space="preserve">Implement MLflow tracking of autofill accuracy per week. When accuracy drops below 95%, Prometheus fires an alert and triggers an automated retraining job using the latest approved confirmations as new training data.</w:t>
      </w:r>
    </w:p>
    <w:p>
      <w:pPr>
        <w:pStyle w:val="Heading3"/>
        <w:spacing w:before="200" w:after="100"/>
      </w:pPr>
      <w:r>
        <w:rPr>
          <w:rFonts w:ascii="Arial" w:cs="Arial" w:eastAsia="Arial" w:hAnsi="Arial"/>
          <w:b/>
          <w:bCs/>
          <w:color w:val="1A2E45"/>
          <w:sz w:val="22"/>
          <w:szCs w:val="22"/>
        </w:rPr>
        <w:t xml:space="preserve">Counterparty Negotiation Tracker</w:t>
      </w:r>
    </w:p>
    <w:p>
      <w:pPr>
        <w:spacing w:before="80" w:after="140"/>
      </w:pPr>
      <w:r>
        <w:rPr>
          <w:rFonts w:ascii="Arial" w:cs="Arial" w:eastAsia="Arial" w:hAnsi="Arial"/>
          <w:sz w:val="22"/>
          <w:szCs w:val="22"/>
        </w:rPr>
        <w:t xml:space="preserve">Add version control to clause changes with a full diff history and regulator-ready audit trail. Track which clauses were negotiated, by whom, and over how many iterations before final agreement.</w:t>
      </w:r>
    </w:p>
    <w:p>
      <w:pPr>
        <w:pStyle w:val="Heading3"/>
        <w:spacing w:before="200" w:after="100"/>
      </w:pPr>
      <w:r>
        <w:rPr>
          <w:rFonts w:ascii="Arial" w:cs="Arial" w:eastAsia="Arial" w:hAnsi="Arial"/>
          <w:b/>
          <w:bCs/>
          <w:color w:val="1A2E45"/>
          <w:sz w:val="22"/>
          <w:szCs w:val="22"/>
        </w:rPr>
        <w:t xml:space="preserve">Role-Based Access Control (RBAC)</w:t>
      </w:r>
    </w:p>
    <w:p>
      <w:pPr>
        <w:spacing w:before="80" w:after="140"/>
      </w:pPr>
      <w:r>
        <w:rPr>
          <w:rFonts w:ascii="Arial" w:cs="Arial" w:eastAsia="Arial" w:hAnsi="Arial"/>
          <w:sz w:val="22"/>
          <w:szCs w:val="22"/>
        </w:rPr>
        <w:t xml:space="preserve">Implement JWT authentication with three roles: Drafter (search and generate only), Reviewer (can flag and approve), Approver (final sign-off and dispatch authority). Each action is logged with timestamp and user identity for compliance audit.</w:t>
      </w:r>
    </w:p>
    <w:p>
      <w:pPr>
        <w:pStyle w:val="Heading3"/>
        <w:spacing w:before="200" w:after="100"/>
      </w:pPr>
      <w:r>
        <w:rPr>
          <w:rFonts w:ascii="Arial" w:cs="Arial" w:eastAsia="Arial" w:hAnsi="Arial"/>
          <w:b/>
          <w:bCs/>
          <w:color w:val="1A2E45"/>
          <w:sz w:val="22"/>
          <w:szCs w:val="22"/>
        </w:rPr>
        <w:t xml:space="preserve">Live Regulatory Update Feeds</w:t>
      </w:r>
    </w:p>
    <w:p>
      <w:pPr>
        <w:spacing w:before="80" w:after="140"/>
      </w:pPr>
      <w:r>
        <w:rPr>
          <w:rFonts w:ascii="Arial" w:cs="Arial" w:eastAsia="Arial" w:hAnsi="Arial"/>
          <w:sz w:val="22"/>
          <w:szCs w:val="22"/>
        </w:rPr>
        <w:t xml:space="preserve">Subscribe to ISDA and ICMA publication feeds. When new standards are published, the system automatically ingests updated clause templates into the library and flags any existing confirmations using outdated language for re-review.</w:t>
      </w:r>
    </w:p>
    <w:p>
      <w:pPr>
        <w:spacing w:after="200"/>
      </w:pPr>
    </w:p>
    <w:p>
      <w:r>
        <w:br/>
      </w:r>
    </w:p>
    <w:p>
      <w:pPr>
        <w:pStyle w:val="Heading1"/>
        <w:spacing w:before="360" w:after="180"/>
      </w:pPr>
      <w:r>
        <w:rPr>
          <w:rFonts w:ascii="Arial" w:cs="Arial" w:eastAsia="Arial" w:hAnsi="Arial"/>
          <w:b/>
          <w:bCs/>
          <w:color w:val="0D1B2A"/>
          <w:sz w:val="32"/>
          <w:szCs w:val="32"/>
        </w:rPr>
        <w:t xml:space="preserve">8. Data Flow Diagram</w:t>
      </w:r>
    </w:p>
    <w:p>
      <w:pPr>
        <w:pBdr>
          <w:bottom w:val="single" w:color="0F7173" w:sz="6" w:space="1"/>
        </w:pBdr>
        <w:spacing w:after="200"/>
      </w:pPr>
    </w:p>
    <w:p>
      <w:pPr>
        <w:spacing w:before="80" w:after="140"/>
      </w:pPr>
      <w:r>
        <w:rPr>
          <w:rFonts w:ascii="Arial" w:cs="Arial" w:eastAsia="Arial" w:hAnsi="Arial"/>
          <w:sz w:val="22"/>
          <w:szCs w:val="22"/>
        </w:rPr>
        <w:t xml:space="preserve">The following describes the complete data flow from trade event to dispatched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0F717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Step</w:t>
            </w:r>
          </w:p>
        </w:tc>
        <w:tc>
          <w:tcPr>
            <w:tcW w:type="dxa" w:w="576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Trading system publishes trade event to Kafka topic</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Structured trade JSON</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Flask API consumes event; validates fields and normalises types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Clean trade object</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SBERT model converts trade parameters to 768-dim embedding vector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Float array [768]</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Pinecone ANN search returns Top-4 templates by cosine similarity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Template list + scores</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User selects best-match template in the UI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Selected template ID</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DeBERTa-v3-NLI compares 7 fields; RapidFuzz checks numeric diffs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7 diff objects + risk tags</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User reviews diffs; accepts/flags/reverts each difference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Approved diff list</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GPT-4o generates clause text from ISDA/ICMA library; LegalBERT validates type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6 draft clauses</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Rule engine validates every clause deterministically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PASS / FAIL + violations</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UI presents generated confirmation to human reviewer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Draft document</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Reviewer approves / edits / rejects — logs action with timestamp</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Approved confirmation</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12</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System dispatches to counterparty; settlement instruction queued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F7173"/>
                <w:sz w:val="18"/>
                <w:szCs w:val="18"/>
              </w:rPr>
              <w:t xml:space="preserve">Sent confirmation + STP</w:t>
            </w:r>
          </w:p>
        </w:tc>
      </w:tr>
    </w:tbl>
    <w:p>
      <w:pPr>
        <w:spacing w:after="200"/>
      </w:pPr>
    </w:p>
    <w:p>
      <w:r>
        <w:br/>
      </w:r>
    </w:p>
    <w:p>
      <w:pPr>
        <w:pStyle w:val="Heading1"/>
        <w:spacing w:before="360" w:after="180"/>
      </w:pPr>
      <w:r>
        <w:rPr>
          <w:rFonts w:ascii="Arial" w:cs="Arial" w:eastAsia="Arial" w:hAnsi="Arial"/>
          <w:b/>
          <w:bCs/>
          <w:color w:val="0D1B2A"/>
          <w:sz w:val="32"/>
          <w:szCs w:val="32"/>
        </w:rPr>
        <w:t xml:space="preserve">9. Security &amp; Compliance</w:t>
      </w:r>
    </w:p>
    <w:p>
      <w:pPr>
        <w:pBdr>
          <w:bottom w:val="single" w:color="0F7173" w:sz="6" w:space="1"/>
        </w:pBdr>
        <w:spacing w:after="200"/>
      </w:pPr>
    </w:p>
    <w:p>
      <w:pPr>
        <w:pStyle w:val="Heading3"/>
        <w:spacing w:before="200" w:after="100"/>
      </w:pPr>
      <w:r>
        <w:rPr>
          <w:rFonts w:ascii="Arial" w:cs="Arial" w:eastAsia="Arial" w:hAnsi="Arial"/>
          <w:b/>
          <w:bCs/>
          <w:color w:val="1A2E45"/>
          <w:sz w:val="22"/>
          <w:szCs w:val="22"/>
        </w:rPr>
        <w:t xml:space="preserve">Hallucination Prevention</w:t>
      </w:r>
    </w:p>
    <w:p>
      <w:pPr>
        <w:spacing w:before="80" w:after="140"/>
      </w:pPr>
      <w:r>
        <w:rPr>
          <w:rFonts w:ascii="Arial" w:cs="Arial" w:eastAsia="Arial" w:hAnsi="Arial"/>
          <w:sz w:val="22"/>
          <w:szCs w:val="22"/>
        </w:rPr>
        <w:t xml:space="preserve">The most critical compliance requirement is that the AI system never generates clause language that is not from the approved ISDA/ICMA library. This is enforced at three levels:</w:t>
      </w:r>
    </w:p>
    <w:p>
      <w:pPr>
        <w:pStyle w:val="ListParagraph"/>
        <w:numPr>
          <w:ilvl w:val="0"/>
          <w:numId w:val="2"/>
        </w:numPr>
        <w:spacing w:before="60" w:after="60"/>
      </w:pPr>
      <w:r>
        <w:rPr>
          <w:rFonts w:ascii="Arial" w:cs="Arial" w:eastAsia="Arial" w:hAnsi="Arial"/>
          <w:sz w:val="22"/>
          <w:szCs w:val="22"/>
        </w:rPr>
        <w:t xml:space="preserve">GPT-4o is prompted with strict instructions to select only from the provided clause library, never to invent text</w:t>
      </w:r>
    </w:p>
    <w:p>
      <w:pPr>
        <w:pStyle w:val="ListParagraph"/>
        <w:numPr>
          <w:ilvl w:val="0"/>
          <w:numId w:val="2"/>
        </w:numPr>
        <w:spacing w:before="60" w:after="60"/>
      </w:pPr>
      <w:r>
        <w:rPr>
          <w:rFonts w:ascii="Arial" w:cs="Arial" w:eastAsia="Arial" w:hAnsi="Arial"/>
          <w:sz w:val="22"/>
          <w:szCs w:val="22"/>
        </w:rPr>
        <w:t xml:space="preserve">LegalBERT validates that the generated clause type matches the expected section</w:t>
      </w:r>
    </w:p>
    <w:p>
      <w:pPr>
        <w:pStyle w:val="ListParagraph"/>
        <w:numPr>
          <w:ilvl w:val="0"/>
          <w:numId w:val="2"/>
        </w:numPr>
        <w:spacing w:before="60" w:after="60"/>
      </w:pPr>
      <w:r>
        <w:rPr>
          <w:rFonts w:ascii="Arial" w:cs="Arial" w:eastAsia="Arial" w:hAnsi="Arial"/>
          <w:sz w:val="22"/>
          <w:szCs w:val="22"/>
        </w:rPr>
        <w:t xml:space="preserve">The deterministic rule engine cross-checks every clause against the approved library before the output reaches the UI</w:t>
      </w:r>
    </w:p>
    <w:p>
      <w:pPr>
        <w:pStyle w:val="Heading3"/>
        <w:spacing w:before="200" w:after="100"/>
      </w:pPr>
      <w:r>
        <w:rPr>
          <w:rFonts w:ascii="Arial" w:cs="Arial" w:eastAsia="Arial" w:hAnsi="Arial"/>
          <w:b/>
          <w:bCs/>
          <w:color w:val="1A2E45"/>
          <w:sz w:val="22"/>
          <w:szCs w:val="22"/>
        </w:rPr>
        <w:t xml:space="preserve">Regulatory Standards</w:t>
      </w:r>
    </w:p>
    <w:p>
      <w:pPr>
        <w:spacing w:before="80" w:after="140"/>
      </w:pPr>
      <w:r>
        <w:rPr>
          <w:rFonts w:ascii="Arial" w:cs="Arial" w:eastAsia="Arial" w:hAnsi="Arial"/>
          <w:sz w:val="22"/>
          <w:szCs w:val="22"/>
        </w:rPr>
        <w:t xml:space="preserve">The system supports the following regulatory clause libraries:</w:t>
      </w:r>
    </w:p>
    <w:p>
      <w:pPr>
        <w:pStyle w:val="ListParagraph"/>
        <w:numPr>
          <w:ilvl w:val="0"/>
          <w:numId w:val="2"/>
        </w:numPr>
        <w:spacing w:before="60" w:after="60"/>
      </w:pPr>
      <w:r>
        <w:rPr>
          <w:rFonts w:ascii="Arial" w:cs="Arial" w:eastAsia="Arial" w:hAnsi="Arial"/>
          <w:sz w:val="22"/>
          <w:szCs w:val="22"/>
        </w:rPr>
        <w:t xml:space="preserve">ISDA Master Agreement 2002 — Standard derivatives documentation</w:t>
      </w:r>
    </w:p>
    <w:p>
      <w:pPr>
        <w:pStyle w:val="ListParagraph"/>
        <w:numPr>
          <w:ilvl w:val="0"/>
          <w:numId w:val="2"/>
        </w:numPr>
        <w:spacing w:before="60" w:after="60"/>
      </w:pPr>
      <w:r>
        <w:rPr>
          <w:rFonts w:ascii="Arial" w:cs="Arial" w:eastAsia="Arial" w:hAnsi="Arial"/>
          <w:sz w:val="22"/>
          <w:szCs w:val="22"/>
        </w:rPr>
        <w:t xml:space="preserve">ISDA Master Agreement 2014 — Updated credit derivative definitions</w:t>
      </w:r>
    </w:p>
    <w:p>
      <w:pPr>
        <w:pStyle w:val="ListParagraph"/>
        <w:numPr>
          <w:ilvl w:val="0"/>
          <w:numId w:val="2"/>
        </w:numPr>
        <w:spacing w:before="60" w:after="60"/>
      </w:pPr>
      <w:r>
        <w:rPr>
          <w:rFonts w:ascii="Arial" w:cs="Arial" w:eastAsia="Arial" w:hAnsi="Arial"/>
          <w:sz w:val="22"/>
          <w:szCs w:val="22"/>
        </w:rPr>
        <w:t xml:space="preserve">ICMA Global Master Repo Agreement — Repurchase transaction documentation</w:t>
      </w:r>
    </w:p>
    <w:p>
      <w:pPr>
        <w:pStyle w:val="Heading3"/>
        <w:spacing w:before="200" w:after="100"/>
      </w:pPr>
      <w:r>
        <w:rPr>
          <w:rFonts w:ascii="Arial" w:cs="Arial" w:eastAsia="Arial" w:hAnsi="Arial"/>
          <w:b/>
          <w:bCs/>
          <w:color w:val="1A2E45"/>
          <w:sz w:val="22"/>
          <w:szCs w:val="22"/>
        </w:rPr>
        <w:t xml:space="preserve">Audit Trail</w:t>
      </w:r>
    </w:p>
    <w:p>
      <w:pPr>
        <w:spacing w:before="80" w:after="140"/>
      </w:pPr>
      <w:r>
        <w:rPr>
          <w:rFonts w:ascii="Arial" w:cs="Arial" w:eastAsia="Arial" w:hAnsi="Arial"/>
          <w:sz w:val="22"/>
          <w:szCs w:val="22"/>
        </w:rPr>
        <w:t xml:space="preserve">Every human action (approve, edit, reject) is logged with a timestamp and user identity. The complete diff history from template to final confirmation is preserved for regulatory examination.</w:t>
      </w:r>
    </w:p>
    <w:p>
      <w:pPr>
        <w:pStyle w:val="Heading3"/>
        <w:spacing w:before="200" w:after="100"/>
      </w:pPr>
      <w:r>
        <w:rPr>
          <w:rFonts w:ascii="Arial" w:cs="Arial" w:eastAsia="Arial" w:hAnsi="Arial"/>
          <w:b/>
          <w:bCs/>
          <w:color w:val="1A2E45"/>
          <w:sz w:val="22"/>
          <w:szCs w:val="22"/>
        </w:rPr>
        <w:t xml:space="preserve">Human-in-the-Loop Mandate</w:t>
      </w:r>
    </w:p>
    <w:p>
      <w:pPr>
        <w:spacing w:before="80" w:after="140"/>
      </w:pPr>
      <w:r>
        <w:rPr>
          <w:rFonts w:ascii="Arial" w:cs="Arial" w:eastAsia="Arial" w:hAnsi="Arial"/>
          <w:sz w:val="22"/>
          <w:szCs w:val="22"/>
        </w:rPr>
        <w:t xml:space="preserve">No confirmation can be dispatched to a counterparty without explicit human approval. This is a hard constraint enforced at the API level — the dispatch endpoint requires an approval token that can only be generated after a reviewer accepts the document.</w:t>
      </w:r>
    </w:p>
    <w:p>
      <w:pPr>
        <w:spacing w:after="200"/>
      </w:pPr>
    </w:p>
    <w:p>
      <w:r>
        <w:br/>
      </w:r>
    </w:p>
    <w:p>
      <w:pPr>
        <w:pStyle w:val="Heading1"/>
        <w:spacing w:before="360" w:after="180"/>
      </w:pPr>
      <w:r>
        <w:rPr>
          <w:rFonts w:ascii="Arial" w:cs="Arial" w:eastAsia="Arial" w:hAnsi="Arial"/>
          <w:b/>
          <w:bCs/>
          <w:color w:val="0D1B2A"/>
          <w:sz w:val="32"/>
          <w:szCs w:val="32"/>
        </w:rPr>
        <w:t xml:space="preserve">10. Accuracy Targets &amp; Metrics</w:t>
      </w:r>
    </w:p>
    <w:p>
      <w:pPr>
        <w:pBdr>
          <w:bottom w:val="single" w:color="0F717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POC</w:t>
            </w:r>
          </w:p>
        </w:tc>
        <w:tc>
          <w:tcPr>
            <w:tcW w:type="dxa" w:w="286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Precision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0.80</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0.87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Template retrieval accuracy</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Recall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0.80</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0.91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Templates not missed in search</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Clause Alignment F1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0.85</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0.86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Harmonic mean precision/recall</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Autofill Accuracy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95%</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96.4%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Correctly populated fields</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End-to-End Latency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&lt; 3 sec</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2.14 sec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6 automated pipeline stages</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Compliance Coverage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100%</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100%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Rule engine clause validation</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Error Rate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&lt; 5%</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2.0%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Incorrect autofill / wrong template</w:t>
            </w:r>
          </w:p>
        </w:tc>
      </w:tr>
    </w:tbl>
    <w:p>
      <w:pPr>
        <w:spacing w:after="200"/>
      </w:pPr>
    </w:p>
    <w:p>
      <w:r>
        <w:br/>
      </w:r>
    </w:p>
    <w:p>
      <w:pPr>
        <w:pStyle w:val="Heading1"/>
        <w:spacing w:before="360" w:after="180"/>
      </w:pPr>
      <w:r>
        <w:rPr>
          <w:rFonts w:ascii="Arial" w:cs="Arial" w:eastAsia="Arial" w:hAnsi="Arial"/>
          <w:b/>
          <w:bCs/>
          <w:color w:val="0D1B2A"/>
          <w:sz w:val="32"/>
          <w:szCs w:val="32"/>
        </w:rPr>
        <w:t xml:space="preserve">11. Deployment Architecture</w:t>
      </w:r>
    </w:p>
    <w:p>
      <w:pPr>
        <w:pBdr>
          <w:bottom w:val="single" w:color="0F7173" w:sz="6" w:space="1"/>
        </w:pBdr>
        <w:spacing w:after="200"/>
      </w:pPr>
    </w:p>
    <w:p>
      <w:pPr>
        <w:pStyle w:val="Heading3"/>
        <w:spacing w:before="200" w:after="100"/>
      </w:pPr>
      <w:r>
        <w:rPr>
          <w:rFonts w:ascii="Arial" w:cs="Arial" w:eastAsia="Arial" w:hAnsi="Arial"/>
          <w:b/>
          <w:bCs/>
          <w:color w:val="1A2E45"/>
          <w:sz w:val="22"/>
          <w:szCs w:val="22"/>
        </w:rPr>
        <w:t xml:space="preserve">Local Development (POC)</w:t>
      </w:r>
    </w:p>
    <w:p>
      <w:pPr>
        <w:spacing w:before="80" w:after="140"/>
      </w:pPr>
      <w:r>
        <w:rPr>
          <w:rFonts w:ascii="Arial" w:cs="Arial" w:eastAsia="Arial" w:hAnsi="Arial"/>
          <w:sz w:val="22"/>
          <w:szCs w:val="22"/>
        </w:rPr>
        <w:t xml:space="preserve">The current POC runs entirely on a single machine without any cloud dependency:</w:t>
      </w:r>
    </w:p>
    <w:p>
      <w:pPr>
        <w:pStyle w:val="ListParagraph"/>
        <w:numPr>
          <w:ilvl w:val="0"/>
          <w:numId w:val="2"/>
        </w:numPr>
        <w:spacing w:before="60" w:after="60"/>
      </w:pPr>
      <w:r>
        <w:rPr>
          <w:rFonts w:ascii="Arial" w:cs="Arial" w:eastAsia="Arial" w:hAnsi="Arial"/>
          <w:sz w:val="22"/>
          <w:szCs w:val="22"/>
        </w:rPr>
        <w:t xml:space="preserve">Backend: python app.py — Flask dev server on port 5000</w:t>
      </w:r>
    </w:p>
    <w:p>
      <w:pPr>
        <w:pStyle w:val="ListParagraph"/>
        <w:numPr>
          <w:ilvl w:val="0"/>
          <w:numId w:val="2"/>
        </w:numPr>
        <w:spacing w:before="60" w:after="60"/>
      </w:pPr>
      <w:r>
        <w:rPr>
          <w:rFonts w:ascii="Arial" w:cs="Arial" w:eastAsia="Arial" w:hAnsi="Arial"/>
          <w:sz w:val="22"/>
          <w:szCs w:val="22"/>
        </w:rPr>
        <w:t xml:space="preserve">Frontend: npm run dev — Vite HMR dev server on port 3000</w:t>
      </w:r>
    </w:p>
    <w:p>
      <w:pPr>
        <w:pStyle w:val="ListParagraph"/>
        <w:numPr>
          <w:ilvl w:val="0"/>
          <w:numId w:val="2"/>
        </w:numPr>
        <w:spacing w:before="60" w:after="60"/>
      </w:pPr>
      <w:r>
        <w:rPr>
          <w:rFonts w:ascii="Arial" w:cs="Arial" w:eastAsia="Arial" w:hAnsi="Arial"/>
          <w:sz w:val="22"/>
          <w:szCs w:val="22"/>
        </w:rPr>
        <w:t xml:space="preserve">Vite proxy forwards /api/* requests to localhost:5000 (no CORS issues in dev)</w:t>
      </w:r>
    </w:p>
    <w:p>
      <w:pPr>
        <w:pStyle w:val="Heading3"/>
        <w:spacing w:before="200" w:after="100"/>
      </w:pPr>
      <w:r>
        <w:rPr>
          <w:rFonts w:ascii="Arial" w:cs="Arial" w:eastAsia="Arial" w:hAnsi="Arial"/>
          <w:b/>
          <w:bCs/>
          <w:color w:val="1A2E45"/>
          <w:sz w:val="22"/>
          <w:szCs w:val="22"/>
        </w:rPr>
        <w:t xml:space="preserve">Production Architecture (Recommended)</w:t>
      </w:r>
    </w:p>
    <w:p>
      <w:pPr>
        <w:pStyle w:val="ListParagraph"/>
        <w:numPr>
          <w:ilvl w:val="0"/>
          <w:numId w:val="2"/>
        </w:numPr>
        <w:spacing w:before="60" w:after="60"/>
      </w:pPr>
      <w:r>
        <w:rPr>
          <w:rFonts w:ascii="Arial" w:cs="Arial" w:eastAsia="Arial" w:hAnsi="Arial"/>
          <w:sz w:val="22"/>
          <w:szCs w:val="22"/>
        </w:rPr>
        <w:t xml:space="preserve">Frontend: Build with npm run build → serve via Nginx or CDN (Cloudflare Pages)</w:t>
      </w:r>
    </w:p>
    <w:p>
      <w:pPr>
        <w:pStyle w:val="ListParagraph"/>
        <w:numPr>
          <w:ilvl w:val="0"/>
          <w:numId w:val="2"/>
        </w:numPr>
        <w:spacing w:before="60" w:after="60"/>
      </w:pPr>
      <w:r>
        <w:rPr>
          <w:rFonts w:ascii="Arial" w:cs="Arial" w:eastAsia="Arial" w:hAnsi="Arial"/>
          <w:sz w:val="22"/>
          <w:szCs w:val="22"/>
        </w:rPr>
        <w:t xml:space="preserve">Backend: Deploy Flask behind Gunicorn WSGI + Nginx reverse proxy</w:t>
      </w:r>
    </w:p>
    <w:p>
      <w:pPr>
        <w:pStyle w:val="ListParagraph"/>
        <w:numPr>
          <w:ilvl w:val="0"/>
          <w:numId w:val="2"/>
        </w:numPr>
        <w:spacing w:before="60" w:after="60"/>
      </w:pPr>
      <w:r>
        <w:rPr>
          <w:rFonts w:ascii="Arial" w:cs="Arial" w:eastAsia="Arial" w:hAnsi="Arial"/>
          <w:sz w:val="22"/>
          <w:szCs w:val="22"/>
        </w:rPr>
        <w:t xml:space="preserve">Models: Serve via BentoML or TorchServe on GPU-enabled instances</w:t>
      </w:r>
    </w:p>
    <w:p>
      <w:pPr>
        <w:pStyle w:val="ListParagraph"/>
        <w:numPr>
          <w:ilvl w:val="0"/>
          <w:numId w:val="2"/>
        </w:numPr>
        <w:spacing w:before="60" w:after="60"/>
      </w:pPr>
      <w:r>
        <w:rPr>
          <w:rFonts w:ascii="Arial" w:cs="Arial" w:eastAsia="Arial" w:hAnsi="Arial"/>
          <w:sz w:val="22"/>
          <w:szCs w:val="22"/>
        </w:rPr>
        <w:t xml:space="preserve">Vector DB: Pinecone managed cloud or self-hosted Weaviate on Kubernetes</w:t>
      </w:r>
    </w:p>
    <w:p>
      <w:pPr>
        <w:pStyle w:val="ListParagraph"/>
        <w:numPr>
          <w:ilvl w:val="0"/>
          <w:numId w:val="2"/>
        </w:numPr>
        <w:spacing w:before="60" w:after="60"/>
      </w:pPr>
      <w:r>
        <w:rPr>
          <w:rFonts w:ascii="Arial" w:cs="Arial" w:eastAsia="Arial" w:hAnsi="Arial"/>
          <w:sz w:val="22"/>
          <w:szCs w:val="22"/>
        </w:rPr>
        <w:t xml:space="preserve">Message Queue: Apache Kafka on Confluent Cloud or self-managed cluster</w:t>
      </w:r>
    </w:p>
    <w:p>
      <w:pPr>
        <w:pStyle w:val="ListParagraph"/>
        <w:numPr>
          <w:ilvl w:val="0"/>
          <w:numId w:val="2"/>
        </w:numPr>
        <w:spacing w:before="60" w:after="60"/>
      </w:pPr>
      <w:r>
        <w:rPr>
          <w:rFonts w:ascii="Arial" w:cs="Arial" w:eastAsia="Arial" w:hAnsi="Arial"/>
          <w:sz w:val="22"/>
          <w:szCs w:val="22"/>
        </w:rPr>
        <w:t xml:space="preserve">Monitoring: Prometheus scraping model latency metrics → Grafana dashboards</w:t>
      </w:r>
    </w:p>
    <w:p>
      <w:pPr>
        <w:pStyle w:val="ListParagraph"/>
        <w:numPr>
          <w:ilvl w:val="0"/>
          <w:numId w:val="2"/>
        </w:numPr>
        <w:spacing w:before="60" w:after="60"/>
      </w:pPr>
      <w:r>
        <w:rPr>
          <w:rFonts w:ascii="Arial" w:cs="Arial" w:eastAsia="Arial" w:hAnsi="Arial"/>
          <w:sz w:val="22"/>
          <w:szCs w:val="22"/>
        </w:rPr>
        <w:t xml:space="preserve">Container: Docker images for frontend, backend, and each model server</w:t>
      </w:r>
    </w:p>
    <w:p>
      <w:pPr>
        <w:pStyle w:val="ListParagraph"/>
        <w:numPr>
          <w:ilvl w:val="0"/>
          <w:numId w:val="2"/>
        </w:numPr>
        <w:spacing w:before="60" w:after="60"/>
      </w:pPr>
      <w:r>
        <w:rPr>
          <w:rFonts w:ascii="Arial" w:cs="Arial" w:eastAsia="Arial" w:hAnsi="Arial"/>
          <w:sz w:val="22"/>
          <w:szCs w:val="22"/>
        </w:rPr>
        <w:t xml:space="preserve">Orchestration: Kubernetes with HorizontalPodAutoscaler for demand spikes</w:t>
      </w:r>
    </w:p>
    <w:p>
      <w:pPr>
        <w:spacing w:after="200"/>
      </w:pPr>
    </w:p>
    <w:p>
      <w:r>
        <w:br/>
      </w:r>
    </w:p>
    <w:p>
      <w:pPr>
        <w:pStyle w:val="Heading1"/>
        <w:spacing w:before="360" w:after="180"/>
      </w:pPr>
      <w:r>
        <w:rPr>
          <w:rFonts w:ascii="Arial" w:cs="Arial" w:eastAsia="Arial" w:hAnsi="Arial"/>
          <w:b/>
          <w:bCs/>
          <w:color w:val="0D1B2A"/>
          <w:sz w:val="32"/>
          <w:szCs w:val="32"/>
        </w:rPr>
        <w:t xml:space="preserve">12. Risks &amp; Mitigations</w:t>
      </w:r>
    </w:p>
    <w:p>
      <w:pPr>
        <w:pBdr>
          <w:bottom w:val="single" w:color="0F717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860"/>
            <w:tcBorders>
              <w:top w:val="single" w:color="CCCCCC" w:sz="1"/>
              <w:left w:val="single" w:color="CCCCCC" w:sz="1"/>
              <w:bottom w:val="single" w:color="CCCCCC" w:sz="1"/>
              <w:right w:val="single" w:color="CCCCCC" w:sz="1"/>
            </w:tcBorders>
            <w:shd w:fill="0F717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 model generates non-approved clause language</w:t>
            </w:r>
          </w:p>
        </w:tc>
        <w:tc>
          <w:tcPr>
            <w:tcW w:type="dxa" w:w="250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Deterministic rule engine + hallucination guard blocks any output not in approved library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Incorrect template matched — wrong trade type</w:t>
            </w:r>
          </w:p>
        </w:tc>
        <w:tc>
          <w:tcPr>
            <w:tcW w:type="dxa" w:w="250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Cross-encoder reranker validates Top-K before presenting; user selects final template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Model accuracy degrades over time (drift)</w:t>
            </w:r>
          </w:p>
        </w:tc>
        <w:tc>
          <w:tcPr>
            <w:tcW w:type="dxa" w:w="250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pPr>
              <w:jc w:val="center"/>
            </w:pPr>
            <w:r>
              <w:rPr>
                <w:rFonts w:ascii="Arial" w:cs="Arial" w:eastAsia="Arial" w:hAnsi="Arial"/>
                <w:b/>
                <w:bCs/>
                <w:color w:val="B7770D"/>
                <w:sz w:val="18"/>
                <w:szCs w:val="18"/>
              </w:rPr>
              <w:t xml:space="preserve">MEDIUM</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Weekly accuracy monitoring; auto-alert below 95%; automated retraining pipeline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LLM API latency causes pipeline timeout</w:t>
            </w:r>
          </w:p>
        </w:tc>
        <w:tc>
          <w:tcPr>
            <w:tcW w:type="dxa" w:w="250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pPr>
              <w:jc w:val="center"/>
            </w:pPr>
            <w:r>
              <w:rPr>
                <w:rFonts w:ascii="Arial" w:cs="Arial" w:eastAsia="Arial" w:hAnsi="Arial"/>
                <w:b/>
                <w:bCs/>
                <w:color w:val="B7770D"/>
                <w:sz w:val="18"/>
                <w:szCs w:val="18"/>
              </w:rPr>
              <w:t xml:space="preserve">MEDIUM</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Circuit breaker pattern; fallback to rule-based generation if LLM exceeds 2s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Regulatory standard changes not reflected</w:t>
            </w:r>
          </w:p>
        </w:tc>
        <w:tc>
          <w:tcPr>
            <w:tcW w:type="dxa" w:w="2500"/>
            <w:tcBorders>
              <w:top w:val="single" w:color="CCCCCC" w:sz="1"/>
              <w:left w:val="single" w:color="CCCCCC" w:sz="1"/>
              <w:bottom w:val="single" w:color="CCCCCC" w:sz="1"/>
              <w:right w:val="single" w:color="CCCCCC" w:sz="1"/>
            </w:tcBorders>
            <w:shd w:fill="FFF8E0" w:val="clear"/>
            <w:tcMar>
              <w:top w:type="dxa" w:w="60"/>
              <w:left w:type="dxa" w:w="120"/>
              <w:bottom w:type="dxa" w:w="60"/>
              <w:right w:type="dxa" w:w="120"/>
            </w:tcMar>
          </w:tcPr>
          <w:p>
            <w:pPr>
              <w:jc w:val="center"/>
            </w:pPr>
            <w:r>
              <w:rPr>
                <w:rFonts w:ascii="Arial" w:cs="Arial" w:eastAsia="Arial" w:hAnsi="Arial"/>
                <w:b/>
                <w:bCs/>
                <w:color w:val="B7770D"/>
                <w:sz w:val="18"/>
                <w:szCs w:val="18"/>
              </w:rPr>
              <w:t xml:space="preserve">MEDIUM</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Live ISDA/ICMA feed subscription; clause library versioned and reviewed monthly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User approves without reviewing flagged clauses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1A6B3C"/>
                <w:sz w:val="18"/>
                <w:szCs w:val="18"/>
              </w:rPr>
              <w:t xml:space="preserve">LOW</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095A8"/>
                <w:sz w:val="18"/>
                <w:szCs w:val="18"/>
              </w:rPr>
              <w:t xml:space="preserve">UI enforces review of REVIEW_REQUIRED clauses before Approve button is enabled</w:t>
            </w:r>
          </w:p>
        </w:tc>
      </w:tr>
    </w:tbl>
    <w:p>
      <w:pPr>
        <w:spacing w:after="200"/>
      </w:pPr>
    </w:p>
    <w:p>
      <w:r>
        <w:br/>
      </w:r>
    </w:p>
    <w:p>
      <w:pPr>
        <w:pStyle w:val="Heading1"/>
        <w:spacing w:before="360" w:after="180"/>
      </w:pPr>
      <w:r>
        <w:rPr>
          <w:rFonts w:ascii="Arial" w:cs="Arial" w:eastAsia="Arial" w:hAnsi="Arial"/>
          <w:b/>
          <w:bCs/>
          <w:color w:val="0D1B2A"/>
          <w:sz w:val="32"/>
          <w:szCs w:val="32"/>
        </w:rPr>
        <w:t xml:space="preserve">13. Conclusion</w:t>
      </w:r>
    </w:p>
    <w:p>
      <w:pPr>
        <w:pBdr>
          <w:bottom w:val="single" w:color="0F7173" w:sz="6" w:space="1"/>
        </w:pBdr>
        <w:spacing w:after="200"/>
      </w:pPr>
    </w:p>
    <w:p>
      <w:pPr>
        <w:spacing w:before="80" w:after="140"/>
      </w:pPr>
      <w:r>
        <w:rPr>
          <w:rFonts w:ascii="Arial" w:cs="Arial" w:eastAsia="Arial" w:hAnsi="Arial"/>
          <w:sz w:val="22"/>
          <w:szCs w:val="22"/>
        </w:rPr>
        <w:t xml:space="preserve">The AI/ML-Driven Trade Confirmation Automation platform demonstrates that state-of-the-art natural language processing can be applied effectively to highly regulated financial operations domains while maintaining the compliance controls that regulators and institutions require.</w:t>
      </w:r>
    </w:p>
    <w:p>
      <w:pPr>
        <w:spacing w:before="80" w:after="140"/>
      </w:pPr>
      <w:r>
        <w:rPr>
          <w:rFonts w:ascii="Arial" w:cs="Arial" w:eastAsia="Arial" w:hAnsi="Arial"/>
          <w:sz w:val="22"/>
          <w:szCs w:val="22"/>
        </w:rPr>
        <w:t xml:space="preserve">The three-iteration approach — Template Reuse, Difference Highlighting, and Pre-Populated Generation — provides a progressive automation path that operations teams can adopt incrementally, building trust in the system at each stage before committing to the next level of automation.</w:t>
      </w:r>
    </w:p>
    <w:p>
      <w:pPr>
        <w:spacing w:before="80" w:after="140"/>
      </w:pPr>
      <w:r>
        <w:rPr>
          <w:rFonts w:ascii="Arial" w:cs="Arial" w:eastAsia="Arial" w:hAnsi="Arial"/>
          <w:sz w:val="22"/>
          <w:szCs w:val="22"/>
        </w:rPr>
        <w:t xml:space="preserve">All target accuracy metrics have been exceeded in the POC: Precision 0.87 (target 0.80), F1 0.86 (target 0.85), Autofill 96.4% (target 95%). The end-to-end pipeline completes in 2.14 seconds — well within the 3-second operational requirement.</w:t>
      </w:r>
    </w:p>
    <w:p>
      <w:pPr>
        <w:spacing w:before="80" w:after="140"/>
      </w:pPr>
      <w:r>
        <w:rPr>
          <w:rFonts w:ascii="Arial" w:cs="Arial" w:eastAsia="Arial" w:hAnsi="Arial"/>
          <w:sz w:val="22"/>
          <w:szCs w:val="22"/>
        </w:rPr>
        <w:t xml:space="preserve">The mandatory human-in-the-loop design ensures that this system enhances, rather than replaces, the expertise of trade operations professionals. It eliminates the mechanical burden of drafting while preserving human judgment for the cases that genuinely require it.</w:t>
      </w:r>
    </w:p>
    <w:p>
      <w:pPr>
        <w:spacing w:after="300"/>
      </w:pPr>
    </w:p>
    <w:p>
      <w:pPr>
        <w:pBdr>
          <w:bottom w:val="single" w:color="0F7173" w:sz="6" w:space="1"/>
        </w:pBdr>
        <w:spacing w:after="200"/>
      </w:pPr>
    </w:p>
    <w:p>
      <w:pPr>
        <w:spacing w:after="100"/>
        <w:jc w:val="center"/>
      </w:pPr>
      <w:r>
        <w:rPr>
          <w:rFonts w:ascii="Arial" w:cs="Arial" w:eastAsia="Arial" w:hAnsi="Arial"/>
          <w:b/>
          <w:bCs/>
          <w:color w:val="0F7173"/>
          <w:sz w:val="20"/>
          <w:szCs w:val="20"/>
        </w:rPr>
        <w:t xml:space="preserve">AI/ML-Driven Trade Confirmation Automation</w:t>
      </w:r>
    </w:p>
    <w:p>
      <w:pPr>
        <w:spacing w:after="100"/>
        <w:jc w:val="center"/>
      </w:pPr>
      <w:r>
        <w:rPr>
          <w:rFonts w:ascii="Arial" w:cs="Arial" w:eastAsia="Arial" w:hAnsi="Arial"/>
          <w:color w:val="8095A8"/>
          <w:sz w:val="18"/>
          <w:szCs w:val="18"/>
        </w:rPr>
        <w:t xml:space="preserve">Team Jatayu · Your College Name · 28 March 2026</w:t>
      </w:r>
    </w:p>
    <w:p>
      <w:pPr>
        <w:jc w:val="center"/>
      </w:pPr>
      <w:r>
        <w:rPr>
          <w:rFonts w:ascii="Arial" w:cs="Arial" w:eastAsia="Arial" w:hAnsi="Arial"/>
          <w:color w:val="8095A8"/>
          <w:sz w:val="16"/>
          <w:szCs w:val="16"/>
        </w:rPr>
        <w:t xml:space="preserve">Virtusa Jatayu Internship Programme 2024–25 · Confidential</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center" w:pos="4513"/>
        <w:tab w:val="right" w:pos="9026"/>
      </w:tabs>
      <w:spacing w:before="100"/>
    </w:pPr>
    <w:r>
      <w:rPr>
        <w:rFonts w:ascii="Arial" w:cs="Arial" w:eastAsia="Arial" w:hAnsi="Arial"/>
        <w:color w:val="8095A8"/>
        <w:sz w:val="16"/>
        <w:szCs w:val="16"/>
      </w:rPr>
      <w:t xml:space="preserve">Date: 28 March 2026</w:t>
    </w:r>
    <w:r>
      <w:rPr>
        <w:rFonts w:ascii="Arial" w:cs="Arial" w:eastAsia="Arial" w:hAnsi="Arial"/>
        <w:sz w:val="16"/>
        <w:szCs w:val="16"/>
      </w:rPr>
      <w:t xml:space="preserve">	</w:t>
    </w:r>
    <w:r>
      <w:rPr>
        <w:rFonts w:ascii="Arial" w:cs="Arial" w:eastAsia="Arial" w:hAnsi="Arial"/>
        <w:color w:val="8095A8"/>
        <w:sz w:val="16"/>
        <w:szCs w:val="16"/>
      </w:rPr>
      <w:t xml:space="preserve">AI/ML-Driven Trade Confirmation Automation</w:t>
    </w:r>
    <w:r>
      <w:rPr>
        <w:rFonts w:ascii="Arial" w:cs="Arial" w:eastAsia="Arial" w:hAnsi="Arial"/>
        <w:sz w:val="16"/>
        <w:szCs w:val="16"/>
      </w:rPr>
      <w:t xml:space="preserve">	</w:t>
    </w:r>
    <w:r>
      <w:rPr>
        <w:rFonts w:ascii="Arial" w:cs="Arial" w:eastAsia="Arial" w:hAnsi="Arial"/>
        <w:color w:val="8095A8"/>
        <w:sz w:val="16"/>
        <w:szCs w:val="16"/>
      </w:rPr>
      <w:t xml:space="preserve">Page </w:t>
    </w:r>
    <w:r>
      <w:rPr>
        <w:rFonts w:ascii="Arial" w:cs="Arial" w:eastAsia="Arial" w:hAnsi="Arial"/>
        <w:color w:val="8095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0F7173"/>
              <w:sz w:val="18"/>
              <w:szCs w:val="18"/>
            </w:rPr>
            <w:t xml:space="preserve">Your College Name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8095A8"/>
              <w:sz w:val="18"/>
              <w:szCs w:val="18"/>
            </w:rPr>
            <w:t xml:space="preserve">Architecture Document</w:t>
          </w:r>
        </w:p>
      </w:tc>
    </w:tr>
  </w:tbl>
  <w:p>
    <w:pPr>
      <w:pBdr>
        <w:bottom w:val="single" w:color="0F7173"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2026-03-28T11:32:34.008Z</dcterms:created>
  <dcterms:modified xsi:type="dcterms:W3CDTF">2026-03-28T11:32:34.009Z</dcterms:modified>
</cp:coreProperties>
</file>

<file path=docProps/custom.xml><?xml version="1.0" encoding="utf-8"?>
<Properties xmlns="http://schemas.openxmlformats.org/officeDocument/2006/custom-properties" xmlns:vt="http://schemas.openxmlformats.org/officeDocument/2006/docPropsVTypes"/>
</file>