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CREDIT DEFAULT SWAP CONFIRMATION — DRAFT</w:t>
      </w:r>
    </w:p>
    <w:p/>
    <w:p>
      <w:r>
        <w:rPr>
          <w:b/>
          <w:sz w:val="20"/>
        </w:rPr>
        <w:t xml:space="preserve">Date: </w:t>
      </w:r>
      <w:r>
        <w:rPr>
          <w:sz w:val="20"/>
        </w:rPr>
        <w:t>March 7, 2026</w:t>
      </w:r>
    </w:p>
    <w:p>
      <w:r>
        <w:rPr>
          <w:b/>
          <w:sz w:val="20"/>
        </w:rPr>
        <w:t xml:space="preserve">Parties: </w:t>
      </w:r>
      <w:r>
        <w:rPr>
          <w:sz w:val="20"/>
        </w:rPr>
        <w:t>BNP Paribas Securities Corp (Protection Seller) and ABC Capital LLC (Protection Buyer)</w:t>
      </w:r>
    </w:p>
    <w:p>
      <w:r>
        <w:rPr>
          <w:b/>
          <w:sz w:val="20"/>
        </w:rPr>
        <w:t xml:space="preserve">Trade Type: </w:t>
      </w:r>
      <w:r>
        <w:rPr>
          <w:sz w:val="20"/>
        </w:rPr>
        <w:t>Credit Default Swap</w:t>
      </w:r>
    </w:p>
    <w:p>
      <w:r>
        <w:rPr>
          <w:b/>
          <w:sz w:val="20"/>
        </w:rPr>
        <w:t xml:space="preserve">Product: </w:t>
      </w:r>
      <w:r>
        <w:rPr>
          <w:sz w:val="20"/>
        </w:rPr>
        <w:t>CDS</w:t>
      </w:r>
    </w:p>
    <w:p>
      <w:r>
        <w:rPr>
          <w:b/>
          <w:sz w:val="20"/>
        </w:rPr>
        <w:t xml:space="preserve">Counterparty: </w:t>
      </w:r>
      <w:r>
        <w:rPr>
          <w:sz w:val="20"/>
        </w:rPr>
        <w:t>BNP Paribas</w:t>
      </w:r>
    </w:p>
    <w:p>
      <w:r>
        <w:rPr>
          <w:b/>
          <w:sz w:val="20"/>
        </w:rPr>
        <w:t xml:space="preserve">Jurisdiction: </w:t>
      </w:r>
      <w:r>
        <w:rPr>
          <w:sz w:val="20"/>
        </w:rPr>
        <w:t>US</w:t>
      </w:r>
    </w:p>
    <w:p>
      <w:r>
        <w:rPr>
          <w:b/>
          <w:sz w:val="20"/>
        </w:rPr>
        <w:t xml:space="preserve">Governing Law: </w:t>
      </w:r>
      <w:r>
        <w:rPr>
          <w:sz w:val="20"/>
        </w:rPr>
        <w:t>New York</w:t>
      </w:r>
    </w:p>
    <w:p>
      <w:r>
        <w:rPr>
          <w:b/>
          <w:sz w:val="20"/>
        </w:rPr>
        <w:t xml:space="preserve">ISDA Agreement: </w:t>
      </w:r>
      <w:r>
        <w:rPr>
          <w:sz w:val="20"/>
        </w:rPr>
        <w:t>2003 ISDA Credit Derivatives Definitions</w:t>
      </w:r>
    </w:p>
    <w:p/>
    <w:p>
      <w:pPr>
        <w:pStyle w:val="Heading2"/>
        <w:jc w:val="left"/>
      </w:pPr>
      <w:r>
        <w:t>Economic Terms</w:t>
      </w:r>
    </w:p>
    <w:p>
      <w:r>
        <w:rPr>
          <w:b/>
          <w:sz w:val="20"/>
        </w:rPr>
        <w:t xml:space="preserve">Notional Amount: </w:t>
      </w:r>
      <w:r>
        <w:rPr>
          <w:sz w:val="20"/>
        </w:rPr>
        <w:t>USD 5,000,000</w:t>
      </w:r>
    </w:p>
    <w:p>
      <w:r>
        <w:rPr>
          <w:b/>
          <w:sz w:val="20"/>
        </w:rPr>
        <w:t xml:space="preserve">Fixed Rate: </w:t>
      </w:r>
      <w:r>
        <w:rPr>
          <w:sz w:val="20"/>
        </w:rPr>
        <w:t>85bps per annum</w:t>
      </w:r>
    </w:p>
    <w:p>
      <w:r>
        <w:rPr>
          <w:b/>
          <w:sz w:val="20"/>
        </w:rPr>
        <w:t xml:space="preserve">Floating Rate: </w:t>
      </w:r>
      <w:r>
        <w:rPr>
          <w:sz w:val="20"/>
        </w:rPr>
        <w:t>N/A</w:t>
      </w:r>
    </w:p>
    <w:p>
      <w:r>
        <w:rPr>
          <w:b/>
          <w:sz w:val="20"/>
        </w:rPr>
        <w:t xml:space="preserve">Payment Frequency: </w:t>
      </w:r>
      <w:r>
        <w:rPr>
          <w:sz w:val="20"/>
        </w:rPr>
        <w:t>Quarterly</w:t>
      </w:r>
    </w:p>
    <w:p>
      <w:r>
        <w:rPr>
          <w:b/>
          <w:sz w:val="20"/>
        </w:rPr>
        <w:t xml:space="preserve">Effective Date: </w:t>
      </w:r>
      <w:r>
        <w:rPr>
          <w:sz w:val="20"/>
        </w:rPr>
        <w:t>March 15, 2026</w:t>
      </w:r>
    </w:p>
    <w:p>
      <w:r>
        <w:rPr>
          <w:b/>
          <w:sz w:val="20"/>
        </w:rPr>
        <w:t xml:space="preserve">Maturity Date: </w:t>
      </w:r>
      <w:r>
        <w:rPr>
          <w:sz w:val="20"/>
        </w:rPr>
        <w:t>March 15, 2029</w:t>
      </w:r>
    </w:p>
    <w:p>
      <w:r>
        <w:rPr>
          <w:b/>
          <w:sz w:val="20"/>
        </w:rPr>
        <w:t xml:space="preserve">Day Count: </w:t>
      </w:r>
      <w:r>
        <w:rPr>
          <w:sz w:val="20"/>
        </w:rPr>
        <w:t>Actual/360</w:t>
      </w:r>
    </w:p>
    <w:p/>
    <w:p>
      <w:pPr>
        <w:pStyle w:val="Heading2"/>
        <w:jc w:val="left"/>
      </w:pPr>
      <w:r>
        <w:t>Confirmation Terms</w:t>
      </w:r>
    </w:p>
    <w:p>
      <w:r>
        <w:t>DRAFT — Subject to legal review. This Confirmation references Ford Motor Company as the Reference Entity. Credit Events include Bankruptcy and Failure to Pay. Cash Settlement applies with a Valuation Date of 5 business days after the Credit Event Notice. The Final Price will be determined by a Dealer Poll. CFTC reporting requirements apply. SEF execution may be required pending regulatory determination.</w:t>
      </w:r>
    </w:p>
    <w:p/>
    <w:p>
      <w:pPr>
        <w:pStyle w:val="Heading2"/>
        <w:jc w:val="left"/>
      </w:pPr>
      <w:r>
        <w:t>Document Metadata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>1.0</w:t>
      </w:r>
    </w:p>
    <w:p>
      <w:r>
        <w:rPr>
          <w:b/>
          <w:sz w:val="20"/>
        </w:rPr>
        <w:t xml:space="preserve">Status: </w:t>
      </w:r>
      <w:r>
        <w:rPr>
          <w:sz w:val="20"/>
        </w:rPr>
        <w:t>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