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CREDIT DEFAULT SWAP CONFIRMATION</w:t>
      </w:r>
    </w:p>
    <w:p/>
    <w:p>
      <w:r>
        <w:rPr>
          <w:b/>
          <w:sz w:val="20"/>
        </w:rPr>
        <w:t xml:space="preserve">Date: </w:t>
      </w:r>
      <w:r>
        <w:rPr>
          <w:sz w:val="20"/>
        </w:rPr>
        <w:t>February 15, 2026</w:t>
      </w:r>
    </w:p>
    <w:p>
      <w:r>
        <w:rPr>
          <w:b/>
          <w:sz w:val="20"/>
        </w:rPr>
        <w:t xml:space="preserve">Parties: </w:t>
      </w:r>
      <w:r>
        <w:rPr>
          <w:sz w:val="20"/>
        </w:rPr>
        <w:t>Barclays Bank PLC (Protection Seller) and ABC Capital LLC (Protection Buyer)</w:t>
      </w:r>
    </w:p>
    <w:p>
      <w:r>
        <w:rPr>
          <w:b/>
          <w:sz w:val="20"/>
        </w:rPr>
        <w:t xml:space="preserve">Trade Type: </w:t>
      </w:r>
      <w:r>
        <w:rPr>
          <w:sz w:val="20"/>
        </w:rPr>
        <w:t>Credit Default Swap</w:t>
      </w:r>
    </w:p>
    <w:p>
      <w:r>
        <w:rPr>
          <w:b/>
          <w:sz w:val="20"/>
        </w:rPr>
        <w:t xml:space="preserve">Product: </w:t>
      </w:r>
      <w:r>
        <w:rPr>
          <w:sz w:val="20"/>
        </w:rPr>
        <w:t>CDS</w:t>
      </w:r>
    </w:p>
    <w:p>
      <w:r>
        <w:rPr>
          <w:b/>
          <w:sz w:val="20"/>
        </w:rPr>
        <w:t xml:space="preserve">Counterparty: </w:t>
      </w:r>
      <w:r>
        <w:rPr>
          <w:sz w:val="20"/>
        </w:rPr>
        <w:t>Barclays</w:t>
      </w:r>
    </w:p>
    <w:p>
      <w:r>
        <w:rPr>
          <w:b/>
          <w:sz w:val="20"/>
        </w:rPr>
        <w:t xml:space="preserve">Jurisdiction: </w:t>
      </w:r>
      <w:r>
        <w:rPr>
          <w:sz w:val="20"/>
        </w:rPr>
        <w:t>EU</w:t>
      </w:r>
    </w:p>
    <w:p>
      <w:r>
        <w:rPr>
          <w:b/>
          <w:sz w:val="20"/>
        </w:rPr>
        <w:t xml:space="preserve">Governing Law: </w:t>
      </w:r>
      <w:r>
        <w:rPr>
          <w:sz w:val="20"/>
        </w:rPr>
        <w:t>English</w:t>
      </w:r>
    </w:p>
    <w:p>
      <w:r>
        <w:rPr>
          <w:b/>
          <w:sz w:val="20"/>
        </w:rPr>
        <w:t xml:space="preserve">ISDA Agreement: </w:t>
      </w:r>
      <w:r>
        <w:rPr>
          <w:sz w:val="20"/>
        </w:rPr>
        <w:t>2003 ISDA Credit Derivatives Definitions</w:t>
      </w:r>
    </w:p>
    <w:p/>
    <w:p>
      <w:pPr>
        <w:pStyle w:val="Heading2"/>
        <w:jc w:val="left"/>
      </w:pPr>
      <w:r>
        <w:t>Economic Terms</w:t>
      </w:r>
    </w:p>
    <w:p>
      <w:r>
        <w:rPr>
          <w:b/>
          <w:sz w:val="20"/>
        </w:rPr>
        <w:t xml:space="preserve">Notional Amount: </w:t>
      </w:r>
      <w:r>
        <w:rPr>
          <w:sz w:val="20"/>
        </w:rPr>
        <w:t>EUR 10,000,000</w:t>
      </w:r>
    </w:p>
    <w:p>
      <w:r>
        <w:rPr>
          <w:b/>
          <w:sz w:val="20"/>
        </w:rPr>
        <w:t xml:space="preserve">Fixed Rate: </w:t>
      </w:r>
      <w:r>
        <w:rPr>
          <w:sz w:val="20"/>
        </w:rPr>
        <w:t>120bps per annum (CDS Spread)</w:t>
      </w:r>
    </w:p>
    <w:p>
      <w:r>
        <w:rPr>
          <w:b/>
          <w:sz w:val="20"/>
        </w:rPr>
        <w:t xml:space="preserve">Floating Rate: </w:t>
      </w:r>
      <w:r>
        <w:rPr>
          <w:sz w:val="20"/>
        </w:rPr>
        <w:t>N/A</w:t>
      </w:r>
    </w:p>
    <w:p>
      <w:r>
        <w:rPr>
          <w:b/>
          <w:sz w:val="20"/>
        </w:rPr>
        <w:t xml:space="preserve">Payment Frequency: </w:t>
      </w:r>
      <w:r>
        <w:rPr>
          <w:sz w:val="20"/>
        </w:rPr>
        <w:t>Quarterly</w:t>
      </w:r>
    </w:p>
    <w:p>
      <w:r>
        <w:rPr>
          <w:b/>
          <w:sz w:val="20"/>
        </w:rPr>
        <w:t xml:space="preserve">Effective Date: </w:t>
      </w:r>
      <w:r>
        <w:rPr>
          <w:sz w:val="20"/>
        </w:rPr>
        <w:t>February 20, 2026</w:t>
      </w:r>
    </w:p>
    <w:p>
      <w:r>
        <w:rPr>
          <w:b/>
          <w:sz w:val="20"/>
        </w:rPr>
        <w:t xml:space="preserve">Maturity Date: </w:t>
      </w:r>
      <w:r>
        <w:rPr>
          <w:sz w:val="20"/>
        </w:rPr>
        <w:t>February 20, 2031</w:t>
      </w:r>
    </w:p>
    <w:p>
      <w:r>
        <w:rPr>
          <w:b/>
          <w:sz w:val="20"/>
        </w:rPr>
        <w:t xml:space="preserve">Day Count: </w:t>
      </w:r>
      <w:r>
        <w:rPr>
          <w:sz w:val="20"/>
        </w:rPr>
        <w:t>Actual/360</w:t>
      </w:r>
    </w:p>
    <w:p/>
    <w:p>
      <w:pPr>
        <w:pStyle w:val="Heading2"/>
        <w:jc w:val="left"/>
      </w:pPr>
      <w:r>
        <w:t>Confirmation Terms</w:t>
      </w:r>
    </w:p>
    <w:p>
      <w:r>
        <w:t>This Confirmation is subject to the 2003 ISDA Credit Derivatives Definitions. The Reference Entity is European Investment Bank. Credit Events include Bankruptcy, Failure to Pay, and Restructuring as defined under the Definitions. Upon occurrence of a Credit Event, the Protection Seller shall pay the Credit Event Payment to the Protection Buyer. Physical Settlement applies; the Deliverable Obligations must meet the Deliverable Obligation Characteristics. The CDS spread of 120 basis points per annum is payable quarterly by the Protection Buyer. EMIR clearing obligations apply, and the trade is subject to mandatory reporting under EMIR Refit.</w:t>
      </w:r>
    </w:p>
    <w:p/>
    <w:p>
      <w:pPr>
        <w:pStyle w:val="Heading2"/>
        <w:jc w:val="left"/>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