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EQUITY SWAP CONFIRMATION</w:t>
      </w:r>
    </w:p>
    <w:p>
      <w:r>
        <w:rPr>
          <w:b/>
          <w:sz w:val="20"/>
        </w:rPr>
        <w:t xml:space="preserve">Date: </w:t>
      </w:r>
      <w:r>
        <w:rPr>
          <w:sz w:val="20"/>
        </w:rPr>
        <w:t>February 28, 2026</w:t>
      </w:r>
    </w:p>
    <w:p>
      <w:r>
        <w:rPr>
          <w:b/>
          <w:sz w:val="20"/>
        </w:rPr>
        <w:t xml:space="preserve">Parties: </w:t>
      </w:r>
      <w:r>
        <w:rPr>
          <w:sz w:val="20"/>
        </w:rPr>
        <w:t>Deutsche Bank AG New York Branch (Equity Amount Payer) and ABC Capital LLC (Fixed Amount Payer)</w:t>
      </w:r>
    </w:p>
    <w:p>
      <w:r>
        <w:rPr>
          <w:b/>
          <w:sz w:val="20"/>
        </w:rPr>
        <w:t xml:space="preserve">Trade Type: </w:t>
      </w:r>
      <w:r>
        <w:rPr>
          <w:sz w:val="20"/>
        </w:rPr>
        <w:t>Equity Swap</w:t>
      </w:r>
    </w:p>
    <w:p>
      <w:r>
        <w:rPr>
          <w:b/>
          <w:sz w:val="20"/>
        </w:rPr>
        <w:t xml:space="preserve">Product: </w:t>
      </w:r>
      <w:r>
        <w:rPr>
          <w:sz w:val="20"/>
        </w:rPr>
        <w:t>Equity Swap</w:t>
      </w:r>
    </w:p>
    <w:p>
      <w:r>
        <w:rPr>
          <w:b/>
          <w:sz w:val="20"/>
        </w:rPr>
        <w:t xml:space="preserve">Counterparty: </w:t>
      </w:r>
      <w:r>
        <w:rPr>
          <w:sz w:val="20"/>
        </w:rPr>
        <w:t>Deutsche Bank</w:t>
      </w:r>
    </w:p>
    <w:p>
      <w:r>
        <w:rPr>
          <w:b/>
          <w:sz w:val="20"/>
        </w:rPr>
        <w:t xml:space="preserve">Jurisdiction: </w:t>
      </w:r>
      <w:r>
        <w:rPr>
          <w:sz w:val="20"/>
        </w:rPr>
        <w:t>UK</w:t>
      </w:r>
    </w:p>
    <w:p>
      <w:r>
        <w:rPr>
          <w:b/>
          <w:sz w:val="20"/>
        </w:rPr>
        <w:t xml:space="preserve">Governing Law: </w:t>
      </w:r>
      <w:r>
        <w:rPr>
          <w:sz w:val="20"/>
        </w:rPr>
        <w:t>English</w:t>
      </w:r>
    </w:p>
    <w:p>
      <w:r>
        <w:rPr>
          <w:b/>
          <w:sz w:val="20"/>
        </w:rPr>
        <w:t xml:space="preserve">ISDA Agreement: </w:t>
      </w:r>
      <w:r>
        <w:rPr>
          <w:sz w:val="20"/>
        </w:rPr>
        <w:t>2002 ISDA Master Agreement + 2011 Equity Derivatives Definitions</w:t>
      </w:r>
    </w:p>
    <w:p>
      <w:pPr>
        <w:pStyle w:val="Heading2"/>
      </w:pPr>
      <w:r>
        <w:t>Economic Terms</w:t>
      </w:r>
    </w:p>
    <w:p>
      <w:r>
        <w:rPr>
          <w:b/>
          <w:sz w:val="20"/>
        </w:rPr>
        <w:t xml:space="preserve">Notional Amount: </w:t>
      </w:r>
      <w:r>
        <w:rPr>
          <w:sz w:val="20"/>
        </w:rPr>
        <w:t>5400000</w:t>
      </w:r>
    </w:p>
    <w:p>
      <w:r>
        <w:rPr>
          <w:b/>
          <w:sz w:val="20"/>
        </w:rPr>
        <w:t xml:space="preserve">Fixed Rate: </w:t>
      </w:r>
      <w:r>
        <w:rPr>
          <w:sz w:val="20"/>
        </w:rPr>
        <w:t>SOFR + 50bps</w:t>
      </w:r>
    </w:p>
    <w:p>
      <w:r>
        <w:rPr>
          <w:b/>
          <w:sz w:val="20"/>
        </w:rPr>
        <w:t xml:space="preserve">Floating Rate: </w:t>
      </w:r>
      <w:r>
        <w:rPr>
          <w:sz w:val="20"/>
        </w:rPr>
        <w:t>TONA + [SPREAD]bps</w:t>
      </w:r>
    </w:p>
    <w:p>
      <w:r>
        <w:rPr>
          <w:b/>
          <w:sz w:val="20"/>
        </w:rPr>
        <w:t xml:space="preserve">Payment Frequency: </w:t>
      </w:r>
      <w:r>
        <w:rPr>
          <w:sz w:val="20"/>
        </w:rPr>
        <w:t>Semi-Annual</w:t>
      </w:r>
    </w:p>
    <w:p>
      <w:r>
        <w:rPr>
          <w:b/>
          <w:sz w:val="20"/>
        </w:rPr>
        <w:t xml:space="preserve">Effective Date: </w:t>
      </w:r>
      <w:r>
        <w:rPr>
          <w:sz w:val="20"/>
        </w:rPr>
        <w:t>March 1, 2026</w:t>
      </w:r>
    </w:p>
    <w:p>
      <w:r>
        <w:rPr>
          <w:b/>
          <w:sz w:val="20"/>
        </w:rPr>
        <w:t xml:space="preserve">Maturity Date: </w:t>
      </w:r>
      <w:r>
        <w:rPr>
          <w:sz w:val="20"/>
        </w:rPr>
        <w:t>March 1, 2028</w:t>
      </w:r>
    </w:p>
    <w:p>
      <w:r>
        <w:rPr>
          <w:b/>
          <w:sz w:val="20"/>
        </w:rPr>
        <w:t xml:space="preserve">Day Count: </w:t>
      </w:r>
      <w:r>
        <w:rPr>
          <w:sz w:val="20"/>
        </w:rPr>
        <w:t>Actual/360</w:t>
      </w:r>
    </w:p>
    <w:p>
      <w:pPr>
        <w:pStyle w:val="Heading2"/>
      </w:pPr>
      <w:r>
        <w:t>Confirmation Terms</w:t>
      </w:r>
    </w:p>
    <w:p>
      <w:r>
        <w:rPr>
          <w:sz w:val="20"/>
        </w:rPr>
        <w:t>This Confirmation is subject to the 2002 ISDA Master Agreement and the 2011 ISDA Equity Derivatives Definitions. The Equity Amount Payer shall pay amounts based on the total return of the S&amp;P 500 Index, including price appreciation and dividend equivalent amounts. The Fixed Amount Payer shall pay SOFR + 50bps on the Notional Amount. Dividend adjustment applies on ex-dividend dates. Index disruption events and adjustment provisions apply per the Definitions. The transaction is subject to Dodd-Frank reporting and clearing requirements. Swap Data Repository reporting to the CFTC is required within T+1.</w:t>
      </w:r>
    </w:p>
    <w:p>
      <w:pPr>
        <w:pStyle w:val="Heading2"/>
      </w:pPr>
      <w:r>
        <w:t>Document Metadata</w:t>
      </w:r>
    </w:p>
    <w:p>
      <w:r>
        <w:rPr>
          <w:b/>
          <w:sz w:val="20"/>
        </w:rPr>
        <w:t xml:space="preserve">Version: </w:t>
      </w:r>
      <w:r>
        <w:rPr>
          <w:sz w:val="20"/>
        </w:rPr>
        <w:t>1.0</w:t>
      </w:r>
    </w:p>
    <w:p>
      <w:r>
        <w:rPr>
          <w:b/>
          <w:sz w:val="20"/>
        </w:rPr>
        <w:t xml:space="preserve">Status: </w:t>
      </w:r>
      <w:r>
        <w:rPr>
          <w:sz w:val="20"/>
        </w:rPr>
        <w:t>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