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FOREIGN EXCHANGE FORWARD CONFIRMATION</w:t>
      </w:r>
    </w:p>
    <w:p/>
    <w:p>
      <w:r>
        <w:rPr>
          <w:b/>
          <w:sz w:val="20"/>
        </w:rPr>
        <w:t xml:space="preserve">Date: </w:t>
      </w:r>
      <w:r>
        <w:rPr>
          <w:sz w:val="20"/>
        </w:rPr>
        <w:t>March 3, 2026</w:t>
      </w:r>
    </w:p>
    <w:p>
      <w:r>
        <w:rPr>
          <w:b/>
          <w:sz w:val="20"/>
        </w:rPr>
        <w:t xml:space="preserve">Parties: </w:t>
      </w:r>
      <w:r>
        <w:rPr>
          <w:sz w:val="20"/>
        </w:rPr>
        <w:t>HSBC Bank plc (Seller) and ABC Capital LLC (Buyer)</w:t>
      </w:r>
    </w:p>
    <w:p>
      <w:r>
        <w:rPr>
          <w:b/>
          <w:sz w:val="20"/>
        </w:rPr>
        <w:t xml:space="preserve">Trade Type: </w:t>
      </w:r>
      <w:r>
        <w:rPr>
          <w:sz w:val="20"/>
        </w:rPr>
        <w:t>FX Forward</w:t>
      </w:r>
    </w:p>
    <w:p>
      <w:r>
        <w:rPr>
          <w:b/>
          <w:sz w:val="20"/>
        </w:rPr>
        <w:t xml:space="preserve">Product: </w:t>
      </w:r>
      <w:r>
        <w:rPr>
          <w:sz w:val="20"/>
        </w:rPr>
        <w:t>FX</w:t>
      </w:r>
    </w:p>
    <w:p>
      <w:r>
        <w:rPr>
          <w:b/>
          <w:sz w:val="20"/>
        </w:rPr>
        <w:t xml:space="preserve">Counterparty: </w:t>
      </w:r>
      <w:r>
        <w:rPr>
          <w:sz w:val="20"/>
        </w:rPr>
        <w:t>HSBC</w:t>
      </w:r>
    </w:p>
    <w:p>
      <w:r>
        <w:rPr>
          <w:b/>
          <w:sz w:val="20"/>
        </w:rPr>
        <w:t xml:space="preserve">Jurisdiction: </w:t>
      </w:r>
      <w:r>
        <w:rPr>
          <w:sz w:val="20"/>
        </w:rPr>
        <w:t>UK</w:t>
      </w:r>
    </w:p>
    <w:p>
      <w:r>
        <w:rPr>
          <w:b/>
          <w:sz w:val="20"/>
        </w:rPr>
        <w:t xml:space="preserve">Governing Law: </w:t>
      </w:r>
      <w:r>
        <w:rPr>
          <w:sz w:val="20"/>
        </w:rPr>
        <w:t>English</w:t>
      </w:r>
    </w:p>
    <w:p>
      <w:r>
        <w:rPr>
          <w:b/>
          <w:sz w:val="20"/>
        </w:rPr>
        <w:t xml:space="preserve">ISDA Agreement: </w:t>
      </w:r>
      <w:r>
        <w:rPr>
          <w:sz w:val="20"/>
        </w:rPr>
        <w:t>2002 ISDA Master Agreement</w:t>
      </w:r>
    </w:p>
    <w:p/>
    <w:p>
      <w:pPr>
        <w:pStyle w:val="Heading2"/>
        <w:jc w:val="left"/>
      </w:pPr>
      <w:r>
        <w:t>Economic Terms</w:t>
      </w:r>
    </w:p>
    <w:p>
      <w:r>
        <w:rPr>
          <w:b/>
          <w:sz w:val="20"/>
        </w:rPr>
        <w:t xml:space="preserve">Notional Amount: </w:t>
      </w:r>
      <w:r>
        <w:rPr>
          <w:sz w:val="20"/>
        </w:rPr>
        <w:t>JPY 2,000,000,000</w:t>
      </w:r>
    </w:p>
    <w:p>
      <w:r>
        <w:rPr>
          <w:b/>
          <w:sz w:val="20"/>
        </w:rPr>
        <w:t xml:space="preserve">Fixed Rate: </w:t>
      </w:r>
      <w:r>
        <w:rPr>
          <w:sz w:val="20"/>
        </w:rPr>
        <w:t>N/A</w:t>
      </w:r>
    </w:p>
    <w:p>
      <w:r>
        <w:rPr>
          <w:b/>
          <w:sz w:val="20"/>
        </w:rPr>
        <w:t xml:space="preserve">Floating Rate: </w:t>
      </w:r>
      <w:r>
        <w:rPr>
          <w:sz w:val="20"/>
        </w:rPr>
        <w:t>N/A</w:t>
      </w:r>
    </w:p>
    <w:p>
      <w:r>
        <w:rPr>
          <w:b/>
          <w:sz w:val="20"/>
        </w:rPr>
        <w:t xml:space="preserve">Payment Frequency: </w:t>
      </w:r>
      <w:r>
        <w:rPr>
          <w:sz w:val="20"/>
        </w:rPr>
        <w:t>At Maturity</w:t>
      </w:r>
    </w:p>
    <w:p>
      <w:r>
        <w:rPr>
          <w:b/>
          <w:sz w:val="20"/>
        </w:rPr>
        <w:t xml:space="preserve">Effective Date: </w:t>
      </w:r>
      <w:r>
        <w:rPr>
          <w:sz w:val="20"/>
        </w:rPr>
        <w:t>March 10, 2026</w:t>
      </w:r>
    </w:p>
    <w:p>
      <w:r>
        <w:rPr>
          <w:b/>
          <w:sz w:val="20"/>
        </w:rPr>
        <w:t xml:space="preserve">Maturity Date: </w:t>
      </w:r>
      <w:r>
        <w:rPr>
          <w:sz w:val="20"/>
        </w:rPr>
        <w:t>September 10, 2026</w:t>
      </w:r>
    </w:p>
    <w:p>
      <w:r>
        <w:rPr>
          <w:b/>
          <w:sz w:val="20"/>
        </w:rPr>
        <w:t xml:space="preserve">Day Count: </w:t>
      </w:r>
      <w:r>
        <w:rPr>
          <w:sz w:val="20"/>
        </w:rPr>
        <w:t>Actual/365</w:t>
      </w:r>
    </w:p>
    <w:p/>
    <w:p>
      <w:pPr>
        <w:pStyle w:val="Heading2"/>
        <w:jc w:val="left"/>
      </w:pPr>
      <w:r>
        <w:t>Confirmation Terms</w:t>
      </w:r>
    </w:p>
    <w:p>
      <w:r>
        <w:t>This Confirmation confirms the FX Forward Transaction for the purchase and sale of Japanese Yen. The Seller agrees to deliver JPY 2,000,000,000 and the Buyer agrees to deliver USD at an agreed forward rate of 149.50 JPY per USD on the Settlement Date. SWIFT payment instructions apply. The Bank of Japan Tokyo fixing rate serves as the reference rate for settlement disputes. This transaction is subject to FCA regulation and EMIR reporting requirements.</w:t>
      </w:r>
    </w:p>
    <w:p/>
    <w:p>
      <w:pPr>
        <w:pStyle w:val="Heading2"/>
        <w:jc w:val="left"/>
      </w:pPr>
      <w:r>
        <w:t>Document Metadata</w:t>
      </w:r>
    </w:p>
    <w:p>
      <w:r>
        <w:rPr>
          <w:b/>
          <w:sz w:val="20"/>
        </w:rPr>
        <w:t xml:space="preserve">Version: </w:t>
      </w:r>
      <w:r>
        <w:rPr>
          <w:sz w:val="20"/>
        </w:rPr>
        <w:t>1.0</w:t>
      </w:r>
    </w:p>
    <w:p>
      <w:r>
        <w:rPr>
          <w:b/>
          <w:sz w:val="20"/>
        </w:rPr>
        <w:t xml:space="preserve">Status: </w:t>
      </w:r>
      <w:r>
        <w:rPr>
          <w:sz w:val="20"/>
        </w:rPr>
        <w:t>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