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FOREIGN EXCHANGE FORWARD CONFIRMATION</w:t>
      </w:r>
    </w:p>
    <w:p/>
    <w:p>
      <w:r>
        <w:rPr>
          <w:b/>
          <w:sz w:val="20"/>
        </w:rPr>
        <w:t xml:space="preserve">Date: </w:t>
      </w:r>
      <w:r>
        <w:rPr>
          <w:sz w:val="20"/>
        </w:rPr>
        <w:t>March 1, 2026</w:t>
      </w:r>
    </w:p>
    <w:p>
      <w:r>
        <w:rPr>
          <w:b/>
          <w:sz w:val="20"/>
        </w:rPr>
        <w:t xml:space="preserve">Parties: </w:t>
      </w:r>
      <w:r>
        <w:rPr>
          <w:sz w:val="20"/>
        </w:rPr>
        <w:t>J.P. Morgan Securities plc (Seller) and ABC Capital LLC (Buyer)</w:t>
      </w:r>
    </w:p>
    <w:p>
      <w:r>
        <w:rPr>
          <w:b/>
          <w:sz w:val="20"/>
        </w:rPr>
        <w:t xml:space="preserve">Trade Type: </w:t>
      </w:r>
      <w:r>
        <w:rPr>
          <w:sz w:val="20"/>
        </w:rPr>
        <w:t>FX Forward</w:t>
      </w:r>
    </w:p>
    <w:p>
      <w:r>
        <w:rPr>
          <w:b/>
          <w:sz w:val="20"/>
        </w:rPr>
        <w:t xml:space="preserve">Product: </w:t>
      </w:r>
      <w:r>
        <w:rPr>
          <w:sz w:val="20"/>
        </w:rPr>
        <w:t>FX</w:t>
      </w:r>
    </w:p>
    <w:p>
      <w:r>
        <w:rPr>
          <w:b/>
          <w:sz w:val="20"/>
        </w:rPr>
        <w:t xml:space="preserve">Counterparty: </w:t>
      </w:r>
      <w:r>
        <w:rPr>
          <w:sz w:val="20"/>
        </w:rPr>
        <w:t>JP Morgan</w:t>
      </w:r>
    </w:p>
    <w:p>
      <w:r>
        <w:rPr>
          <w:b/>
          <w:sz w:val="20"/>
        </w:rPr>
        <w:t xml:space="preserve">Jurisdiction: </w:t>
      </w:r>
      <w:r>
        <w:rPr>
          <w:sz w:val="20"/>
        </w:rPr>
        <w:t>UK</w:t>
      </w:r>
    </w:p>
    <w:p>
      <w:r>
        <w:rPr>
          <w:b/>
          <w:sz w:val="20"/>
        </w:rPr>
        <w:t xml:space="preserve">Governing Law: </w:t>
      </w:r>
      <w:r>
        <w:rPr>
          <w:sz w:val="20"/>
        </w:rPr>
        <w:t>English</w:t>
      </w:r>
    </w:p>
    <w:p>
      <w:r>
        <w:rPr>
          <w:b/>
          <w:sz w:val="20"/>
        </w:rPr>
        <w:t xml:space="preserve">ISDA Agreement: </w:t>
      </w:r>
      <w:r>
        <w:rPr>
          <w:sz w:val="20"/>
        </w:rPr>
        <w:t>2002 ISDA Master Agreement</w:t>
      </w:r>
    </w:p>
    <w:p/>
    <w:p>
      <w:pPr>
        <w:pStyle w:val="Heading2"/>
        <w:jc w:val="left"/>
      </w:pPr>
      <w:r>
        <w:t>Economic Terms</w:t>
      </w:r>
    </w:p>
    <w:p>
      <w:r>
        <w:rPr>
          <w:b/>
          <w:sz w:val="20"/>
        </w:rPr>
        <w:t xml:space="preserve">Notional Amount: </w:t>
      </w:r>
      <w:r>
        <w:rPr>
          <w:sz w:val="20"/>
        </w:rPr>
        <w:t>EUR 20,000,000</w:t>
      </w:r>
    </w:p>
    <w:p>
      <w:r>
        <w:rPr>
          <w:b/>
          <w:sz w:val="20"/>
        </w:rPr>
        <w:t xml:space="preserve">Fixed Rate: </w:t>
      </w:r>
      <w:r>
        <w:rPr>
          <w:sz w:val="20"/>
        </w:rPr>
        <w:t>N/A</w:t>
      </w:r>
    </w:p>
    <w:p>
      <w:r>
        <w:rPr>
          <w:b/>
          <w:sz w:val="20"/>
        </w:rPr>
        <w:t xml:space="preserve">Floating Rate: </w:t>
      </w:r>
      <w:r>
        <w:rPr>
          <w:sz w:val="20"/>
        </w:rPr>
        <w:t>N/A</w:t>
      </w:r>
    </w:p>
    <w:p>
      <w:r>
        <w:rPr>
          <w:b/>
          <w:sz w:val="20"/>
        </w:rPr>
        <w:t xml:space="preserve">Payment Frequency: </w:t>
      </w:r>
      <w:r>
        <w:rPr>
          <w:sz w:val="20"/>
        </w:rPr>
        <w:t>At Maturity</w:t>
      </w:r>
    </w:p>
    <w:p>
      <w:r>
        <w:rPr>
          <w:b/>
          <w:sz w:val="20"/>
        </w:rPr>
        <w:t xml:space="preserve">Effective Date: </w:t>
      </w:r>
      <w:r>
        <w:rPr>
          <w:sz w:val="20"/>
        </w:rPr>
        <w:t>March 5, 2026</w:t>
      </w:r>
    </w:p>
    <w:p>
      <w:r>
        <w:rPr>
          <w:b/>
          <w:sz w:val="20"/>
        </w:rPr>
        <w:t xml:space="preserve">Maturity Date: </w:t>
      </w:r>
      <w:r>
        <w:rPr>
          <w:sz w:val="20"/>
        </w:rPr>
        <w:t>June 5, 2026</w:t>
      </w:r>
    </w:p>
    <w:p>
      <w:r>
        <w:rPr>
          <w:b/>
          <w:sz w:val="20"/>
        </w:rPr>
        <w:t xml:space="preserve">Day Count: </w:t>
      </w:r>
      <w:r>
        <w:rPr>
          <w:sz w:val="20"/>
        </w:rPr>
        <w:t>Actual/365</w:t>
      </w:r>
    </w:p>
    <w:p/>
    <w:p>
      <w:pPr>
        <w:pStyle w:val="Heading2"/>
        <w:jc w:val="left"/>
      </w:pPr>
      <w:r>
        <w:t>Confirmation Terms</w:t>
      </w:r>
    </w:p>
    <w:p>
      <w:r>
        <w:t>This Confirmation confirms the terms of the FX Forward Transaction entered into between the parties. The Seller agrees to sell and the Buyer agrees to purchase EUR 20,000,000 against USD at the agreed forward exchange rate of 1.0850 USD per EUR on the Settlement Date. Settlement shall be by physical delivery of the Currency Amounts. Both parties shall make payment in same-day funds via SWIFT. The transaction is subject to the FX and Currency Option Definitions (2005 ISDA). Netting applies under the applicable ISDA Master Agreement. This confirmation is governed by English law and subject to the exclusive jurisdiction of the English courts.</w:t>
      </w:r>
    </w:p>
    <w:p/>
    <w:p>
      <w:pPr>
        <w:pStyle w:val="Heading2"/>
        <w:jc w:val="left"/>
      </w:pPr>
      <w:r>
        <w:t>Document Metadata</w:t>
      </w:r>
    </w:p>
    <w:p>
      <w:r>
        <w:rPr>
          <w:b/>
          <w:sz w:val="20"/>
        </w:rPr>
        <w:t xml:space="preserve">Version: </w:t>
      </w:r>
      <w:r>
        <w:rPr>
          <w:sz w:val="20"/>
        </w:rPr>
        <w:t>1.0</w:t>
      </w:r>
    </w:p>
    <w:p>
      <w:r>
        <w:rPr>
          <w:b/>
          <w:sz w:val="20"/>
        </w:rPr>
        <w:t xml:space="preserve">Status: </w:t>
      </w:r>
      <w:r>
        <w:rPr>
          <w:sz w:val="20"/>
        </w:rPr>
        <w:t>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