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INTEREST RATE SWAP CONFIRMATION</w:t>
      </w:r>
    </w:p>
    <w:p/>
    <w:p>
      <w:r>
        <w:rPr>
          <w:b/>
          <w:sz w:val="20"/>
        </w:rPr>
        <w:t xml:space="preserve">Date: </w:t>
      </w:r>
      <w:r>
        <w:rPr>
          <w:sz w:val="20"/>
        </w:rPr>
        <w:t>March 1, 2026</w:t>
      </w:r>
    </w:p>
    <w:p>
      <w:r>
        <w:rPr>
          <w:b/>
          <w:sz w:val="20"/>
        </w:rPr>
        <w:t xml:space="preserve">Parties: </w:t>
      </w:r>
      <w:r>
        <w:rPr>
          <w:sz w:val="20"/>
        </w:rPr>
        <w:t>Goldman Sachs Bank USA (Party A) and ABC Capital LLC (Party B)</w:t>
      </w:r>
    </w:p>
    <w:p>
      <w:r>
        <w:rPr>
          <w:b/>
          <w:sz w:val="20"/>
        </w:rPr>
        <w:t xml:space="preserve">Trade Type: </w:t>
      </w:r>
      <w:r>
        <w:rPr>
          <w:sz w:val="20"/>
        </w:rPr>
        <w:t>Interest Rate Swap</w:t>
      </w:r>
    </w:p>
    <w:p>
      <w:r>
        <w:rPr>
          <w:b/>
          <w:sz w:val="20"/>
        </w:rPr>
        <w:t xml:space="preserve">Product: </w:t>
      </w:r>
      <w:r>
        <w:rPr>
          <w:sz w:val="20"/>
        </w:rPr>
        <w:t>IRS</w:t>
      </w:r>
    </w:p>
    <w:p>
      <w:r>
        <w:rPr>
          <w:b/>
          <w:sz w:val="20"/>
        </w:rPr>
        <w:t xml:space="preserve">Counterparty: </w:t>
      </w:r>
      <w:r>
        <w:rPr>
          <w:sz w:val="20"/>
        </w:rPr>
        <w:t>Goldman Sachs</w:t>
      </w:r>
    </w:p>
    <w:p>
      <w:r>
        <w:rPr>
          <w:b/>
          <w:sz w:val="20"/>
        </w:rPr>
        <w:t xml:space="preserve">Jurisdiction: </w:t>
      </w:r>
      <w:r>
        <w:rPr>
          <w:sz w:val="20"/>
        </w:rPr>
        <w:t>US</w:t>
      </w:r>
    </w:p>
    <w:p>
      <w:r>
        <w:rPr>
          <w:b/>
          <w:sz w:val="20"/>
        </w:rPr>
        <w:t xml:space="preserve">Governing Law: </w:t>
      </w:r>
      <w:r>
        <w:rPr>
          <w:sz w:val="20"/>
        </w:rPr>
        <w:t>New York</w:t>
      </w:r>
    </w:p>
    <w:p>
      <w:r>
        <w:rPr>
          <w:b/>
          <w:sz w:val="20"/>
        </w:rPr>
        <w:t xml:space="preserve">ISDA Agreement: </w:t>
      </w:r>
      <w:r>
        <w:rPr>
          <w:sz w:val="20"/>
        </w:rPr>
        <w:t>2002 ISDA Master Agreement</w:t>
      </w:r>
    </w:p>
    <w:p/>
    <w:p>
      <w:pPr>
        <w:pStyle w:val="Heading2"/>
        <w:jc w:val="left"/>
      </w:pPr>
      <w:r>
        <w:t>Economic Terms</w:t>
      </w:r>
    </w:p>
    <w:p>
      <w:r>
        <w:rPr>
          <w:b/>
          <w:sz w:val="20"/>
        </w:rPr>
        <w:t xml:space="preserve">Notional Amount: </w:t>
      </w:r>
      <w:r>
        <w:rPr>
          <w:sz w:val="20"/>
        </w:rPr>
        <w:t>USD 50,000,000</w:t>
      </w:r>
    </w:p>
    <w:p>
      <w:r>
        <w:rPr>
          <w:b/>
          <w:sz w:val="20"/>
        </w:rPr>
        <w:t xml:space="preserve">Fixed Rate: </w:t>
      </w:r>
      <w:r>
        <w:rPr>
          <w:sz w:val="20"/>
        </w:rPr>
        <w:t>4.25% per annum</w:t>
      </w:r>
    </w:p>
    <w:p>
      <w:r>
        <w:rPr>
          <w:b/>
          <w:sz w:val="20"/>
        </w:rPr>
        <w:t xml:space="preserve">Floating Rate: </w:t>
      </w:r>
      <w:r>
        <w:rPr>
          <w:sz w:val="20"/>
        </w:rPr>
        <w:t>SOFR + 100bps</w:t>
      </w:r>
    </w:p>
    <w:p>
      <w:r>
        <w:rPr>
          <w:b/>
          <w:sz w:val="20"/>
        </w:rPr>
        <w:t xml:space="preserve">Payment Frequency: </w:t>
      </w:r>
      <w:r>
        <w:rPr>
          <w:sz w:val="20"/>
        </w:rPr>
        <w:t>Semi-Annual</w:t>
      </w:r>
    </w:p>
    <w:p>
      <w:r>
        <w:rPr>
          <w:b/>
          <w:sz w:val="20"/>
        </w:rPr>
        <w:t xml:space="preserve">Effective Date: </w:t>
      </w:r>
      <w:r>
        <w:rPr>
          <w:sz w:val="20"/>
        </w:rPr>
        <w:t>March 15, 2026</w:t>
      </w:r>
    </w:p>
    <w:p>
      <w:r>
        <w:rPr>
          <w:b/>
          <w:sz w:val="20"/>
        </w:rPr>
        <w:t xml:space="preserve">Maturity Date: </w:t>
      </w:r>
      <w:r>
        <w:rPr>
          <w:sz w:val="20"/>
        </w:rPr>
        <w:t>March 15, 2031</w:t>
      </w:r>
    </w:p>
    <w:p>
      <w:r>
        <w:rPr>
          <w:b/>
          <w:sz w:val="20"/>
        </w:rPr>
        <w:t xml:space="preserve">Day Count: </w:t>
      </w:r>
      <w:r>
        <w:rPr>
          <w:sz w:val="20"/>
        </w:rPr>
        <w:t>Actual/360</w:t>
      </w:r>
    </w:p>
    <w:p/>
    <w:p>
      <w:pPr>
        <w:pStyle w:val="Heading2"/>
        <w:jc w:val="left"/>
      </w:pPr>
      <w:r>
        <w:t>Confirmation Terms</w:t>
      </w:r>
    </w:p>
    <w:p>
      <w:r>
        <w:t>This Confirmation supplements, forms part of, and is subject to the ISDA Master Agreement dated as of the Trade Date between the parties. The fixed rate payer shall pay the Fixed Amount on each Payment Date calculated on the Notional Amount at the Fixed Rate. The floating rate payer shall pay the Floating Amount determined by reference to SOFR published by the Federal Reserve Bank of New York. All payments shall be made in immediately available funds. Early termination events include failure to pay, bankruptcy, and cross-default provisions as defined in the Master Agreement. Credit Support Annex (CSA) governs collateral posting obligations. Variation margin shall be exchanged daily on a net basis. Initial margin requirements apply per SIMM methodology.</w:t>
      </w:r>
    </w:p>
    <w:p/>
    <w:p>
      <w:pPr>
        <w:pStyle w:val="Heading2"/>
        <w:jc w:val="left"/>
      </w:pPr>
      <w:r>
        <w:t>Document Metadata</w:t>
      </w:r>
    </w:p>
    <w:p>
      <w:r>
        <w:rPr>
          <w:b/>
          <w:sz w:val="20"/>
        </w:rPr>
        <w:t xml:space="preserve">Version: </w:t>
      </w:r>
      <w:r>
        <w:rPr>
          <w:sz w:val="20"/>
        </w:rPr>
        <w:t>1.0</w:t>
      </w:r>
    </w:p>
    <w:p>
      <w:r>
        <w:rPr>
          <w:b/>
          <w:sz w:val="20"/>
        </w:rPr>
        <w:t xml:space="preserve">Status: </w:t>
      </w:r>
      <w:r>
        <w:rPr>
          <w:sz w:val="20"/>
        </w:rPr>
        <w:t>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