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INTEREST RATE SWAP CONFIRMATION (AMENDED)</w:t>
      </w:r>
    </w:p>
    <w:p/>
    <w:p>
      <w:r>
        <w:rPr>
          <w:b/>
          <w:sz w:val="20"/>
        </w:rPr>
        <w:t xml:space="preserve">Date: </w:t>
      </w:r>
      <w:r>
        <w:rPr>
          <w:sz w:val="20"/>
        </w:rPr>
        <w:t>March 5, 2026</w:t>
      </w:r>
    </w:p>
    <w:p>
      <w:r>
        <w:rPr>
          <w:b/>
          <w:sz w:val="20"/>
        </w:rPr>
        <w:t xml:space="preserve">Parties: </w:t>
      </w:r>
      <w:r>
        <w:rPr>
          <w:sz w:val="20"/>
        </w:rPr>
        <w:t>Goldman Sachs Bank USA (Party A) and ABC Capital LLC (Party B)</w:t>
      </w:r>
    </w:p>
    <w:p>
      <w:r>
        <w:rPr>
          <w:b/>
          <w:sz w:val="20"/>
        </w:rPr>
        <w:t xml:space="preserve">Trade Type: </w:t>
      </w:r>
      <w:r>
        <w:rPr>
          <w:sz w:val="20"/>
        </w:rPr>
        <w:t>Interest Rate Swap</w:t>
      </w:r>
    </w:p>
    <w:p>
      <w:r>
        <w:rPr>
          <w:b/>
          <w:sz w:val="20"/>
        </w:rPr>
        <w:t xml:space="preserve">Product: </w:t>
      </w:r>
      <w:r>
        <w:rPr>
          <w:sz w:val="20"/>
        </w:rPr>
        <w:t>IRS</w:t>
      </w:r>
    </w:p>
    <w:p>
      <w:r>
        <w:rPr>
          <w:b/>
          <w:sz w:val="20"/>
        </w:rPr>
        <w:t xml:space="preserve">Counterparty: </w:t>
      </w:r>
      <w:r>
        <w:rPr>
          <w:sz w:val="20"/>
        </w:rPr>
        <w:t>Goldman Sachs</w:t>
      </w:r>
    </w:p>
    <w:p>
      <w:r>
        <w:rPr>
          <w:b/>
          <w:sz w:val="20"/>
        </w:rPr>
        <w:t xml:space="preserve">Jurisdiction: </w:t>
      </w:r>
      <w:r>
        <w:rPr>
          <w:sz w:val="20"/>
        </w:rPr>
        <w:t>US</w:t>
      </w:r>
    </w:p>
    <w:p>
      <w:r>
        <w:rPr>
          <w:b/>
          <w:sz w:val="20"/>
        </w:rPr>
        <w:t xml:space="preserve">Governing Law: </w:t>
      </w:r>
      <w:r>
        <w:rPr>
          <w:sz w:val="20"/>
        </w:rPr>
        <w:t>New York</w:t>
      </w:r>
    </w:p>
    <w:p>
      <w:r>
        <w:rPr>
          <w:b/>
          <w:sz w:val="20"/>
        </w:rPr>
        <w:t xml:space="preserve">ISDA Agreement: </w:t>
      </w:r>
      <w:r>
        <w:rPr>
          <w:sz w:val="20"/>
        </w:rPr>
        <w:t>2002 ISDA Master Agreement</w:t>
      </w:r>
    </w:p>
    <w:p/>
    <w:p>
      <w:pPr>
        <w:pStyle w:val="Heading2"/>
        <w:jc w:val="left"/>
      </w:pPr>
      <w:r>
        <w:t>Economic Terms</w:t>
      </w:r>
    </w:p>
    <w:p>
      <w:r>
        <w:rPr>
          <w:b/>
          <w:sz w:val="20"/>
        </w:rPr>
        <w:t xml:space="preserve">Notional Amount: </w:t>
      </w:r>
      <w:r>
        <w:rPr>
          <w:sz w:val="20"/>
        </w:rPr>
        <w:t>USD 75,000,000</w:t>
      </w:r>
    </w:p>
    <w:p>
      <w:r>
        <w:rPr>
          <w:b/>
          <w:sz w:val="20"/>
        </w:rPr>
        <w:t xml:space="preserve">Fixed Rate: </w:t>
      </w:r>
      <w:r>
        <w:rPr>
          <w:sz w:val="20"/>
        </w:rPr>
        <w:t>4.50% per annum</w:t>
      </w:r>
    </w:p>
    <w:p>
      <w:r>
        <w:rPr>
          <w:b/>
          <w:sz w:val="20"/>
        </w:rPr>
        <w:t xml:space="preserve">Floating Rate: </w:t>
      </w:r>
      <w:r>
        <w:rPr>
          <w:sz w:val="20"/>
        </w:rPr>
        <w:t>SOFR + 120bps</w:t>
      </w:r>
    </w:p>
    <w:p>
      <w:r>
        <w:rPr>
          <w:b/>
          <w:sz w:val="20"/>
        </w:rPr>
        <w:t xml:space="preserve">Payment Frequency: </w:t>
      </w:r>
      <w:r>
        <w:rPr>
          <w:sz w:val="20"/>
        </w:rPr>
        <w:t>Quarterly</w:t>
      </w:r>
    </w:p>
    <w:p>
      <w:r>
        <w:rPr>
          <w:b/>
          <w:sz w:val="20"/>
        </w:rPr>
        <w:t xml:space="preserve">Effective Date: </w:t>
      </w:r>
      <w:r>
        <w:rPr>
          <w:sz w:val="20"/>
        </w:rPr>
        <w:t>March 20, 2026</w:t>
      </w:r>
    </w:p>
    <w:p>
      <w:r>
        <w:rPr>
          <w:b/>
          <w:sz w:val="20"/>
        </w:rPr>
        <w:t xml:space="preserve">Maturity Date: </w:t>
      </w:r>
      <w:r>
        <w:rPr>
          <w:sz w:val="20"/>
        </w:rPr>
        <w:t>March 20, 2033</w:t>
      </w:r>
    </w:p>
    <w:p>
      <w:r>
        <w:rPr>
          <w:b/>
          <w:sz w:val="20"/>
        </w:rPr>
        <w:t xml:space="preserve">Day Count: </w:t>
      </w:r>
      <w:r>
        <w:rPr>
          <w:sz w:val="20"/>
        </w:rPr>
        <w:t>Actual/360</w:t>
      </w:r>
    </w:p>
    <w:p/>
    <w:p>
      <w:pPr>
        <w:pStyle w:val="Heading2"/>
        <w:jc w:val="left"/>
      </w:pPr>
      <w:r>
        <w:t>Confirmation Terms</w:t>
      </w:r>
    </w:p>
    <w:p>
      <w:r>
        <w:t>This amended Confirmation supersedes and replaces the prior Confirmation dated March 1, 2026. The Notional Amount has been increased to USD 75,000,000. The fixed rate has been revised upward to 4.50% per annum to reflect current market conditions. Compounded SOFR in arrears with a 5-business-day lookback applies. CME Clearing applies; initial margin is calculated per SIMM. All other terms remain unchanged from the original Confirmation.</w:t>
      </w:r>
    </w:p>
    <w:p/>
    <w:p>
      <w:pPr>
        <w:pStyle w:val="Heading2"/>
        <w:jc w:val="left"/>
      </w:pPr>
      <w:r>
        <w:t>Document Metadata</w:t>
      </w:r>
    </w:p>
    <w:p>
      <w:r>
        <w:rPr>
          <w:b/>
          <w:sz w:val="20"/>
        </w:rPr>
        <w:t xml:space="preserve">Version: </w:t>
      </w:r>
      <w:r>
        <w:rPr>
          <w:sz w:val="20"/>
        </w:rPr>
        <w:t>2.0</w:t>
      </w:r>
    </w:p>
    <w:p>
      <w:r>
        <w:rPr>
          <w:b/>
          <w:sz w:val="20"/>
        </w:rPr>
        <w:t xml:space="preserve">Status: </w:t>
      </w:r>
      <w:r>
        <w:rPr>
          <w:sz w:val="20"/>
        </w:rPr>
        <w:t>active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