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pPr>
      <w:r>
        <w:rPr>
          <w:rFonts w:ascii="Arial" w:hAnsi="Arial"/>
          <w:b/>
          <w:color w:val="244B65"/>
          <w:sz w:val="40"/>
        </w:rPr>
        <w:t>Manage S3 Attachment Configuration</w:t>
      </w:r>
    </w:p>
    <w:p>
      <w:pPr>
        <w:spacing w:after="240"/>
      </w:pPr>
      <w:r>
        <w:rPr>
          <w:rFonts w:ascii="Arial" w:hAnsi="Arial"/>
          <w:color w:val="5F6368"/>
          <w:sz w:val="21"/>
        </w:rPr>
        <w:t>Summary of the PowerScale S3 setup and the test completed in Manage</w:t>
      </w:r>
    </w:p>
    <w:p>
      <w:r>
        <w:t>Manage was using the /doclinks file system on NFS for attachments. We configured the environment to use the PowerScale S3-compatible bucket for new attachments.</w:t>
      </w:r>
    </w:p>
    <w:p>
      <w:pPr>
        <w:pStyle w:val="Heading1"/>
      </w:pPr>
      <w:r>
        <w:t>Environment</w:t>
      </w:r>
    </w:p>
    <w:p>
      <w:pPr>
        <w:spacing w:after="80"/>
        <w:ind w:left="547" w:hanging="274"/>
        <w:numPr>
          <w:ilvl w:val="0"/>
          <w:numId w:val="30"/>
        </w:numPr>
      </w:pPr>
      <w:r>
        <w:t>Manage version: 8.7.24</w:t>
      </w:r>
    </w:p>
    <w:p>
      <w:pPr>
        <w:spacing w:after="80"/>
        <w:ind w:left="547" w:hanging="274"/>
        <w:numPr>
          <w:ilvl w:val="0"/>
          <w:numId w:val="30"/>
        </w:numPr>
      </w:pPr>
      <w:r>
        <w:t>Instance and workspace: drgitopsapp / drgitopswks</w:t>
      </w:r>
    </w:p>
    <w:p>
      <w:pPr>
        <w:spacing w:after="80"/>
        <w:ind w:left="547" w:hanging="274"/>
        <w:numPr>
          <w:ilvl w:val="0"/>
          <w:numId w:val="30"/>
        </w:numPr>
      </w:pPr>
      <w:r>
        <w:t>S3 endpoint: https://bhm-pwrsclnfs.lac1.biz:9021</w:t>
      </w:r>
    </w:p>
    <w:p>
      <w:pPr>
        <w:spacing w:after="80"/>
        <w:ind w:left="547" w:hanging="274"/>
        <w:numPr>
          <w:ilvl w:val="0"/>
          <w:numId w:val="30"/>
        </w:numPr>
      </w:pPr>
      <w:r>
        <w:t>S3 bucket: dr-maximo-bckt</w:t>
      </w:r>
    </w:p>
    <w:p>
      <w:pPr>
        <w:pStyle w:val="Heading1"/>
      </w:pPr>
      <w:r>
        <w:t>What we changed</w:t>
      </w:r>
    </w:p>
    <w:p>
      <w:pPr>
        <w:spacing w:after="80"/>
        <w:ind w:left="547" w:hanging="274"/>
        <w:numPr>
          <w:ilvl w:val="0"/>
          <w:numId w:val="30"/>
        </w:numPr>
      </w:pPr>
      <w:r>
        <w:t>Added the PowerScale root and subordinate CA certificates so the Manage pods trust the HTTPS endpoint.</w:t>
      </w:r>
    </w:p>
    <w:p>
      <w:pPr>
        <w:spacing w:after="80"/>
        <w:ind w:left="547" w:hanging="274"/>
        <w:numPr>
          <w:ilvl w:val="0"/>
          <w:numId w:val="30"/>
        </w:numPr>
      </w:pPr>
      <w:r>
        <w:t>Configured the bucket, endpoint, access key, and secret key used by Manage.</w:t>
      </w:r>
    </w:p>
    <w:p>
      <w:pPr>
        <w:spacing w:after="80"/>
        <w:ind w:left="547" w:hanging="274"/>
        <w:numPr>
          <w:ilvl w:val="0"/>
          <w:numId w:val="30"/>
        </w:numPr>
      </w:pPr>
      <w:r>
        <w:t>Changed the attachment provider from file storage to the Maximo S3 attachment provider.</w:t>
      </w:r>
    </w:p>
    <w:p>
      <w:pPr>
        <w:spacing w:after="80"/>
        <w:ind w:left="547" w:hanging="274"/>
        <w:numPr>
          <w:ilvl w:val="0"/>
          <w:numId w:val="30"/>
        </w:numPr>
      </w:pPr>
      <w:r>
        <w:t>Updated the doclink paths from /doclinks to cos:doclinks.</w:t>
      </w:r>
    </w:p>
    <w:p>
      <w:pPr>
        <w:spacing w:after="80"/>
        <w:ind w:left="547" w:hanging="274"/>
        <w:numPr>
          <w:ilvl w:val="0"/>
          <w:numId w:val="30"/>
        </w:numPr>
      </w:pPr>
      <w:r>
        <w:t>Restarted the Manage server bundle pods so the new values were loaded.</w:t>
      </w:r>
    </w:p>
    <w:p>
      <w:pPr>
        <w:pStyle w:val="Heading1"/>
      </w:pPr>
      <w:r>
        <w:t>Manage properties</w:t>
      </w:r>
    </w:p>
    <w:tbl>
      <w:tblPr>
        <w:tblStyle w:val="TableGrid"/>
        <w:tblW w:type="dxa" w:w="9600"/>
        <w:jc w:val="left"/>
        <w:tblLayout w:type="fixed"/>
        <w:tblLook w:firstColumn="1" w:firstRow="1" w:lastColumn="0" w:lastRow="0" w:noHBand="0" w:noVBand="1" w:val="04A0"/>
        <w:tblLayout w:type="fixed"/>
        <w:tblInd w:w="120" w:type="dxa"/>
      </w:tblPr>
      <w:tblGrid>
        <w:gridCol w:w="3500"/>
        <w:gridCol w:w="6100"/>
      </w:tblGrid>
      <w:tr>
        <w:tc>
          <w:tcPr>
            <w:tcW w:type="dxa" w:w="4824"/>
            <w:shd w:fill="244B65"/>
            <w:tcW w:w="3500" w:type="dxa"/>
            <w:tcMar>
              <w:top w:w="100" w:type="dxa"/>
              <w:start w:w="110" w:type="dxa"/>
              <w:bottom w:w="100" w:type="dxa"/>
              <w:end w:w="110" w:type="dxa"/>
            </w:tcMar>
            <w:vAlign w:val="center"/>
          </w:tcPr>
          <w:p>
            <w:pPr>
              <w:spacing w:after="0" w:line="252" w:lineRule="auto"/>
            </w:pPr>
            <w:r/>
            <w:r>
              <w:rPr>
                <w:rFonts w:ascii="Arial" w:hAnsi="Arial"/>
                <w:b/>
                <w:color w:val="FFFFFF"/>
                <w:sz w:val="18"/>
              </w:rPr>
              <w:t>Property</w:t>
            </w:r>
          </w:p>
        </w:tc>
        <w:tc>
          <w:tcPr>
            <w:tcW w:type="dxa" w:w="4824"/>
            <w:shd w:fill="244B65"/>
            <w:tcW w:w="6100" w:type="dxa"/>
            <w:tcMar>
              <w:top w:w="100" w:type="dxa"/>
              <w:start w:w="110" w:type="dxa"/>
              <w:bottom w:w="100" w:type="dxa"/>
              <w:end w:w="110" w:type="dxa"/>
            </w:tcMar>
            <w:vAlign w:val="center"/>
          </w:tcPr>
          <w:p>
            <w:pPr>
              <w:spacing w:after="0" w:line="252" w:lineRule="auto"/>
            </w:pPr>
            <w:r/>
            <w:r>
              <w:rPr>
                <w:rFonts w:ascii="Arial" w:hAnsi="Arial"/>
                <w:b/>
                <w:color w:val="FFFFFF"/>
                <w:sz w:val="18"/>
              </w:rPr>
              <w:t>Value used</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mxe.cosaccesskey</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Configured in Manage; value not included here</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mxe.cossecretkey</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Configured in Manage; value not included here</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mxe.cosendpointuri</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https://bhm-pwrsclnfs.lac1.biz:9021</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mxe.cosbucketname</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dr-maximo-bckt</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mxe.attachmentstorage</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com.ibm.tivoli.maximo.oslc.provider.COSAttachmentStorage</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mxe.doclink.securedAttachment</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true</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mxe.doclink.doctypes.defpath</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cos:doclinks/default</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mxe.doclink.doctypes.topLevelPaths</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cos:doclinks</w:t>
            </w:r>
          </w:p>
        </w:tc>
      </w:tr>
      <w:tr>
        <w:tc>
          <w:tcPr>
            <w:tcW w:type="dxa" w:w="4824"/>
            <w:tcW w:w="3500" w:type="dxa"/>
            <w:tcMar>
              <w:top w:w="100" w:type="dxa"/>
              <w:start w:w="110" w:type="dxa"/>
              <w:bottom w:w="100" w:type="dxa"/>
              <w:end w:w="110" w:type="dxa"/>
            </w:tcMar>
            <w:vAlign w:val="center"/>
          </w:tcPr>
          <w:p>
            <w:pPr>
              <w:spacing w:after="0" w:line="252" w:lineRule="auto"/>
            </w:pPr>
            <w:r/>
            <w:r>
              <w:rPr>
                <w:rFonts w:ascii="Arial" w:hAnsi="Arial"/>
                <w:b w:val="0"/>
                <w:color w:val="111111"/>
                <w:sz w:val="18"/>
              </w:rPr>
              <w:t>mxe.doclink.path01</w:t>
            </w:r>
          </w:p>
        </w:tc>
        <w:tc>
          <w:tcPr>
            <w:tcW w:type="dxa" w:w="4824"/>
            <w:tcW w:w="6100" w:type="dxa"/>
            <w:tcMar>
              <w:top w:w="100" w:type="dxa"/>
              <w:start w:w="110" w:type="dxa"/>
              <w:bottom w:w="100" w:type="dxa"/>
              <w:end w:w="110" w:type="dxa"/>
            </w:tcMar>
            <w:vAlign w:val="center"/>
          </w:tcPr>
          <w:p>
            <w:pPr>
              <w:spacing w:after="0" w:line="252" w:lineRule="auto"/>
            </w:pPr>
            <w:r/>
            <w:r>
              <w:rPr>
                <w:rFonts w:ascii="Arial" w:hAnsi="Arial"/>
                <w:b w:val="0"/>
                <w:color w:val="111111"/>
                <w:sz w:val="18"/>
              </w:rPr>
              <w:t>cos:doclinks=https://drgitopswks.manage.drgitopsapp.apps.drroc4.lac1.biz/maximo/oslc/cosdoclink</w:t>
            </w:r>
          </w:p>
        </w:tc>
      </w:tr>
    </w:tbl>
    <w:p>
      <w:r>
        <w:br w:type="page"/>
      </w:r>
    </w:p>
    <w:p>
      <w:pPr>
        <w:pStyle w:val="Heading1"/>
      </w:pPr>
      <w:r>
        <w:t>Import the PowerScale S3 certificates</w:t>
      </w:r>
    </w:p>
    <w:p>
      <w:r>
        <w:t>Manage must trust the certificate chain used by the PowerScale HTTPS endpoint. Store the Root CA and SubCA in the configured secret manager and let the GitOps rendering process add them to the Manage truststore. The endpoint supplies the leaf certificate, so only the issuing Root CA and SubCA are imported.</w:t>
      </w:r>
    </w:p>
    <w:p>
      <w:pPr>
        <w:pStyle w:val="Heading2"/>
      </w:pPr>
      <w:r>
        <w:t>1. Check the certificate files</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openssl x509 -in RootCA.cer -noout -subject -issuer -dates</w:t>
            </w:r>
          </w:p>
          <w:p>
            <w:pPr>
              <w:spacing w:after="0" w:line="240" w:lineRule="auto"/>
            </w:pPr>
            <w:r>
              <w:rPr>
                <w:rFonts w:ascii="Courier New" w:hAnsi="Courier New"/>
                <w:color w:val="111111"/>
                <w:sz w:val="16"/>
              </w:rPr>
              <w:t>openssl x509 -in SubCA.cer  -noout -subject -issuer -dates</w:t>
            </w:r>
          </w:p>
        </w:tc>
      </w:tr>
    </w:tbl>
    <w:p>
      <w:pPr>
        <w:spacing w:after="0"/>
      </w:pPr>
    </w:p>
    <w:p>
      <w:r>
        <w:t>The files must be PEM certificates and contain BEGIN CERTIFICATE and END CERTIFICATE lines. Rename them to powerscale-s3-rootca.pem and powerscale-s3-subca.pem after checking them.</w:t>
      </w:r>
    </w:p>
    <w:p>
      <w:pPr>
        <w:pStyle w:val="Heading2"/>
      </w:pPr>
      <w:r>
        <w:t>2. Store the certificates in the secret manager</w:t>
      </w:r>
    </w:p>
    <w:p>
      <w:r>
        <w:t>Update the environment's existing S3 secret record through the approved secret-management process. Keep the field names stable so the same GitOps template works when the secret backend changes. Store the complete PEM text, including the BEGIN CERTIFICATE and END CERTIFICATE lines.</w:t>
      </w:r>
    </w:p>
    <w:p>
      <w:pPr>
        <w:spacing w:after="80"/>
        <w:ind w:left="547" w:hanging="274"/>
        <w:numPr>
          <w:ilvl w:val="0"/>
          <w:numId w:val="30"/>
        </w:numPr>
      </w:pPr>
      <w:r>
        <w:t>powerscale_s3_subca: complete subordinate CA certificate in PEM format.</w:t>
      </w:r>
    </w:p>
    <w:p>
      <w:pPr>
        <w:spacing w:after="80"/>
        <w:ind w:left="547" w:hanging="274"/>
        <w:numPr>
          <w:ilvl w:val="0"/>
          <w:numId w:val="30"/>
        </w:numPr>
      </w:pPr>
      <w:r>
        <w:t>powerscale_s3_rootca: complete root CA certificate in PEM format.</w:t>
      </w:r>
    </w:p>
    <w:p>
      <w:pPr>
        <w:spacing w:after="80"/>
        <w:ind w:left="547" w:hanging="274"/>
        <w:numPr>
          <w:ilvl w:val="0"/>
          <w:numId w:val="30"/>
        </w:numPr>
      </w:pPr>
      <w:r>
        <w:t>Keep the S3 endpoint, bucket, access key, and secret key in the same protected environment record or in separately controlled secret records.</w:t>
      </w:r>
    </w:p>
    <w:p>
      <w:pPr>
        <w:spacing w:after="80"/>
        <w:ind w:left="547" w:hanging="274"/>
        <w:numPr>
          <w:ilvl w:val="0"/>
          <w:numId w:val="30"/>
        </w:numPr>
      </w:pPr>
      <w:r>
        <w:t>Do not place certificate contents, access keys, secret keys, or secret-manager tokens in Git.</w:t>
      </w:r>
    </w:p>
    <w:p>
      <w:pPr>
        <w:pStyle w:val="Heading2"/>
      </w:pPr>
      <w:r>
        <w:t>3. Reference the certificates in Manage</w:t>
      </w:r>
    </w:p>
    <w:p>
      <w:r>
        <w:t>Map the two secret fields into the importedCerts section of the rendered ManageWorkspace configuration. The placeholders below represent values supplied by the configured secret integration; they must resolve to the PEM text before the resource is applied.</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settings:</w:t>
            </w:r>
          </w:p>
          <w:p>
            <w:pPr>
              <w:spacing w:after="0" w:line="240" w:lineRule="auto"/>
            </w:pPr>
            <w:r>
              <w:rPr>
                <w:rFonts w:ascii="Courier New" w:hAnsi="Courier New"/>
                <w:color w:val="111111"/>
                <w:sz w:val="16"/>
              </w:rPr>
              <w:t xml:space="preserve">  deployment:</w:t>
            </w:r>
          </w:p>
          <w:p>
            <w:pPr>
              <w:spacing w:after="0" w:line="240" w:lineRule="auto"/>
            </w:pPr>
            <w:r>
              <w:rPr>
                <w:rFonts w:ascii="Courier New" w:hAnsi="Courier New"/>
                <w:color w:val="111111"/>
                <w:sz w:val="16"/>
              </w:rPr>
              <w:t xml:space="preserve">    importedCerts:</w:t>
            </w:r>
          </w:p>
          <w:p>
            <w:pPr>
              <w:spacing w:after="0" w:line="240" w:lineRule="auto"/>
            </w:pPr>
            <w:r>
              <w:rPr>
                <w:rFonts w:ascii="Courier New" w:hAnsi="Courier New"/>
                <w:color w:val="111111"/>
                <w:sz w:val="16"/>
              </w:rPr>
              <w:t xml:space="preserve">      - alias: powerscale-s3-subca</w:t>
            </w:r>
          </w:p>
          <w:p>
            <w:pPr>
              <w:spacing w:after="0" w:line="240" w:lineRule="auto"/>
            </w:pPr>
            <w:r>
              <w:rPr>
                <w:rFonts w:ascii="Courier New" w:hAnsi="Courier New"/>
                <w:color w:val="111111"/>
                <w:sz w:val="16"/>
              </w:rPr>
              <w:t xml:space="preserve">        crt: |</w:t>
            </w:r>
          </w:p>
          <w:p>
            <w:pPr>
              <w:spacing w:after="0" w:line="240" w:lineRule="auto"/>
            </w:pPr>
            <w:r>
              <w:rPr>
                <w:rFonts w:ascii="Courier New" w:hAnsi="Courier New"/>
                <w:color w:val="111111"/>
                <w:sz w:val="16"/>
              </w:rPr>
              <w:t xml:space="preserve">          ${POWERSCALE_S3_SUBCA_PEM}</w:t>
            </w:r>
          </w:p>
          <w:p>
            <w:pPr>
              <w:spacing w:after="0" w:line="240" w:lineRule="auto"/>
            </w:pPr>
            <w:r>
              <w:rPr>
                <w:rFonts w:ascii="Courier New" w:hAnsi="Courier New"/>
                <w:color w:val="111111"/>
                <w:sz w:val="16"/>
              </w:rPr>
              <w:t xml:space="preserve">      - alias: powerscale-s3-rootca</w:t>
            </w:r>
          </w:p>
          <w:p>
            <w:pPr>
              <w:spacing w:after="0" w:line="240" w:lineRule="auto"/>
            </w:pPr>
            <w:r>
              <w:rPr>
                <w:rFonts w:ascii="Courier New" w:hAnsi="Courier New"/>
                <w:color w:val="111111"/>
                <w:sz w:val="16"/>
              </w:rPr>
              <w:t xml:space="preserve">        crt: |</w:t>
            </w:r>
          </w:p>
          <w:p>
            <w:pPr>
              <w:spacing w:after="0" w:line="240" w:lineRule="auto"/>
            </w:pPr>
            <w:r>
              <w:rPr>
                <w:rFonts w:ascii="Courier New" w:hAnsi="Courier New"/>
                <w:color w:val="111111"/>
                <w:sz w:val="16"/>
              </w:rPr>
              <w:t xml:space="preserve">          ${POWERSCALE_S3_ROOTCA_PEM}</w:t>
            </w:r>
          </w:p>
        </w:tc>
      </w:tr>
    </w:tbl>
    <w:p>
      <w:pPr>
        <w:spacing w:after="0"/>
      </w:pPr>
    </w:p>
    <w:p>
      <w:r>
        <w:t>The current secret integration can resolve these values from its own backend. When the backend changes, update only the secret mapping or renderer, not the ManageWorkspace structure. Use MANAGE_ATTACHMENT_PROVIDER=s3-migration while the NFS migration and rollback window are open. Render and commit the configuration, then allow Argo CD to synchronize it.</w:t>
      </w:r>
    </w:p>
    <w:p>
      <w:pPr>
        <w:pStyle w:val="Heading2"/>
      </w:pPr>
      <w:r>
        <w:t>4. Verify the imported certificate aliases</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export INSTANCE_ID=drgitopsapp</w:t>
            </w:r>
          </w:p>
          <w:p>
            <w:pPr>
              <w:spacing w:after="0" w:line="240" w:lineRule="auto"/>
            </w:pPr>
            <w:r>
              <w:rPr>
                <w:rFonts w:ascii="Courier New" w:hAnsi="Courier New"/>
                <w:color w:val="111111"/>
                <w:sz w:val="16"/>
              </w:rPr>
              <w:t>export WORKSPACE_ID=drgitopswks</w:t>
            </w:r>
          </w:p>
          <w:p>
            <w:pPr>
              <w:spacing w:after="0" w:line="240" w:lineRule="auto"/>
            </w:pPr>
            <w:r>
              <w:rPr>
                <w:rFonts w:ascii="Courier New" w:hAnsi="Courier New"/>
                <w:color w:val="111111"/>
                <w:sz w:val="16"/>
              </w:rPr>
              <w:t>export MANAGE_NS=mas-${INSTANCE_ID}-manage</w:t>
            </w:r>
          </w:p>
          <w:p>
            <w:pPr>
              <w:spacing w:after="0" w:line="240" w:lineRule="auto"/>
            </w:pPr>
            <w:r>
              <w:rPr>
                <w:rFonts w:ascii="Courier New" w:hAnsi="Courier New"/>
                <w:color w:val="111111"/>
                <w:sz w:val="16"/>
              </w:rPr>
              <w:t>export MANAGEWORKSPACE=${INSTANCE_ID}-${WORKSPACE_ID}</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oc get manageworkspace "$MANAGEWORKSPACE" -n "$MANAGE_NS" \</w:t>
            </w:r>
          </w:p>
          <w:p>
            <w:pPr>
              <w:spacing w:after="0" w:line="240" w:lineRule="auto"/>
            </w:pPr>
            <w:r>
              <w:rPr>
                <w:rFonts w:ascii="Courier New" w:hAnsi="Courier New"/>
                <w:color w:val="111111"/>
                <w:sz w:val="16"/>
              </w:rPr>
              <w:t xml:space="preserve">  -o jsonpath='{.spec.settings.deployment.importedCerts[*].alias}{"\n"}'</w:t>
            </w:r>
          </w:p>
        </w:tc>
      </w:tr>
    </w:tbl>
    <w:p>
      <w:pPr>
        <w:spacing w:after="0"/>
      </w:pPr>
    </w:p>
    <w:p>
      <w:r>
        <w:t>The output should contain powerscale-s3-subca and powerscale-s3-rootca. A successful attachment upload to the HTTPS S3 endpoint also confirms that the running Manage workload trusts the chain.</w:t>
      </w:r>
    </w:p>
    <w:p>
      <w:pPr>
        <w:pStyle w:val="Heading1"/>
      </w:pPr>
      <w:r>
        <w:t>Test result</w:t>
      </w:r>
    </w:p>
    <w:p>
      <w:r>
        <w:t>After the restart, we uploaded a new attachment from Manage. The attachment was created in the PowerScale S3 bucket instead of the NFS /doclinks location. This confirms that new attachment writes are using S3.</w:t>
      </w:r>
    </w:p>
    <w:p>
      <w:pPr>
        <w:spacing w:after="80"/>
        <w:ind w:left="547" w:hanging="274"/>
        <w:numPr>
          <w:ilvl w:val="0"/>
          <w:numId w:val="30"/>
        </w:numPr>
      </w:pPr>
      <w:r>
        <w:t>The attachment upload completed in Manage.</w:t>
      </w:r>
    </w:p>
    <w:p>
      <w:pPr>
        <w:spacing w:after="80"/>
        <w:ind w:left="547" w:hanging="274"/>
        <w:numPr>
          <w:ilvl w:val="0"/>
          <w:numId w:val="30"/>
        </w:numPr>
      </w:pPr>
      <w:r>
        <w:t>The new object was visible in dr-maximo-bckt.</w:t>
      </w:r>
    </w:p>
    <w:p>
      <w:pPr>
        <w:spacing w:after="80"/>
        <w:ind w:left="547" w:hanging="274"/>
        <w:numPr>
          <w:ilvl w:val="0"/>
          <w:numId w:val="30"/>
        </w:numPr>
      </w:pPr>
      <w:r>
        <w:t>The database reference uses the cos:doclinks path.</w:t>
      </w:r>
    </w:p>
    <w:p>
      <w:pPr>
        <w:pStyle w:val="Heading1"/>
      </w:pPr>
      <w:r>
        <w:t>Notes</w:t>
      </w:r>
    </w:p>
    <w:p>
      <w:pPr>
        <w:spacing w:after="80"/>
        <w:ind w:left="547" w:hanging="274"/>
        <w:numPr>
          <w:ilvl w:val="0"/>
          <w:numId w:val="30"/>
        </w:numPr>
      </w:pPr>
      <w:r>
        <w:t>Access keys, secret keys, secret-manager tokens, and private keys are not included in this document.</w:t>
      </w:r>
    </w:p>
    <w:p>
      <w:pPr>
        <w:spacing w:after="80"/>
        <w:ind w:left="547" w:hanging="274"/>
        <w:numPr>
          <w:ilvl w:val="0"/>
          <w:numId w:val="30"/>
        </w:numPr>
      </w:pPr>
      <w:r>
        <w:t>Use the Manage System Properties application for routine property changes. Direct database updates should be limited to controlled testing or recovery.</w:t>
      </w:r>
    </w:p>
    <w:p>
      <w:pPr>
        <w:spacing w:after="80"/>
        <w:ind w:left="547" w:hanging="274"/>
        <w:numPr>
          <w:ilvl w:val="0"/>
          <w:numId w:val="30"/>
        </w:numPr>
      </w:pPr>
      <w:r>
        <w:t>mxe.cosnestedfile is not needed for this sample because the migrated object names were stored at the bucket root.</w:t>
      </w:r>
    </w:p>
    <w:p>
      <w:pPr>
        <w:pStyle w:val="Heading1"/>
      </w:pPr>
      <w:r>
        <w:t>Two ways to update the properties</w:t>
      </w:r>
    </w:p>
    <w:p>
      <w:r>
        <w:t>Both methods update the same global values. The Manage UI is easier for normal administration. DBeaver is useful for a controlled test or recovery when the existing rows are already present.</w:t>
      </w:r>
    </w:p>
    <w:p>
      <w:pPr>
        <w:pStyle w:val="Heading2"/>
      </w:pPr>
      <w:r>
        <w:t>Option 1 - Manage System Properties</w:t>
      </w:r>
    </w:p>
    <w:p>
      <w:pPr>
        <w:spacing w:after="80"/>
        <w:ind w:left="547" w:hanging="274"/>
        <w:numPr>
          <w:ilvl w:val="0"/>
          <w:numId w:val="31"/>
        </w:numPr>
      </w:pPr>
      <w:r>
        <w:t>Open System Configuration &gt; Platform Configuration &gt; System Properties.</w:t>
      </w:r>
    </w:p>
    <w:p>
      <w:pPr>
        <w:spacing w:after="80"/>
        <w:ind w:left="547" w:hanging="274"/>
        <w:numPr>
          <w:ilvl w:val="0"/>
          <w:numId w:val="31"/>
        </w:numPr>
      </w:pPr>
      <w:r>
        <w:t>Search for mxe.cos, mxe.attachmentstorage, and mxe.doclink.</w:t>
      </w:r>
    </w:p>
    <w:p>
      <w:pPr>
        <w:spacing w:after="80"/>
        <w:ind w:left="547" w:hanging="274"/>
        <w:numPr>
          <w:ilvl w:val="0"/>
          <w:numId w:val="31"/>
        </w:numPr>
      </w:pPr>
      <w:r>
        <w:t>Open each property and enter the Global Value shown in the table above.</w:t>
      </w:r>
    </w:p>
    <w:p>
      <w:pPr>
        <w:spacing w:after="80"/>
        <w:ind w:left="547" w:hanging="274"/>
        <w:numPr>
          <w:ilvl w:val="0"/>
          <w:numId w:val="31"/>
        </w:numPr>
      </w:pPr>
      <w:r>
        <w:t>Save each property. Do not record the access key or secret key in notes or screenshots.</w:t>
      </w:r>
    </w:p>
    <w:p>
      <w:pPr>
        <w:spacing w:after="80"/>
        <w:ind w:left="547" w:hanging="274"/>
        <w:numPr>
          <w:ilvl w:val="0"/>
          <w:numId w:val="31"/>
        </w:numPr>
      </w:pPr>
      <w:r>
        <w:t>Restart all Manage server bundle pods and confirm the Current Value is updated.</w:t>
      </w:r>
    </w:p>
    <w:p>
      <w:pPr>
        <w:pStyle w:val="Heading2"/>
      </w:pPr>
      <w:r>
        <w:t>Option 2 - DBeaver</w:t>
      </w:r>
    </w:p>
    <w:p>
      <w:r>
        <w:t>Turn Auto-commit off before starting. These commands update existing COMMON rows only. They do not create missing properties and they do not encrypt the access key or secret key. DBeaver prompts for the two credential parameters.</w:t>
      </w:r>
    </w:p>
    <w:p>
      <w:pPr>
        <w:pStyle w:val="Heading2"/>
      </w:pPr>
      <w:r>
        <w:t>Check the property flags and current values</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SELECT propname, encrypted, masked</w:t>
            </w:r>
          </w:p>
          <w:p>
            <w:pPr>
              <w:spacing w:after="0" w:line="240" w:lineRule="auto"/>
            </w:pPr>
            <w:r>
              <w:rPr>
                <w:rFonts w:ascii="Courier New" w:hAnsi="Courier New"/>
                <w:color w:val="111111"/>
                <w:sz w:val="16"/>
              </w:rPr>
              <w:t>FROM maximo.maxprop</w:t>
            </w:r>
          </w:p>
          <w:p>
            <w:pPr>
              <w:spacing w:after="0" w:line="240" w:lineRule="auto"/>
            </w:pPr>
            <w:r>
              <w:rPr>
                <w:rFonts w:ascii="Courier New" w:hAnsi="Courier New"/>
                <w:color w:val="111111"/>
                <w:sz w:val="16"/>
              </w:rPr>
              <w:t>WHERE LOWER(propname) IN ('mxe.cosaccesskey', 'mxe.cossecretkey');</w:t>
            </w:r>
          </w:p>
        </w:tc>
      </w:tr>
    </w:tbl>
    <w:p>
      <w:pPr>
        <w:spacing w:after="0"/>
      </w:pPr>
    </w:p>
    <w:p>
      <w:pPr>
        <w:pStyle w:val="Heading2"/>
      </w:pPr>
      <w:r>
        <w:t>Read the current values</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SELECT propname,</w:t>
            </w:r>
          </w:p>
          <w:p>
            <w:pPr>
              <w:spacing w:after="0" w:line="240" w:lineRule="auto"/>
            </w:pPr>
            <w:r>
              <w:rPr>
                <w:rFonts w:ascii="Courier New" w:hAnsi="Courier New"/>
                <w:color w:val="111111"/>
                <w:sz w:val="16"/>
              </w:rPr>
              <w:t xml:space="preserve">       servername,</w:t>
            </w:r>
          </w:p>
          <w:p>
            <w:pPr>
              <w:spacing w:after="0" w:line="240" w:lineRule="auto"/>
            </w:pPr>
            <w:r>
              <w:rPr>
                <w:rFonts w:ascii="Courier New" w:hAnsi="Courier New"/>
                <w:color w:val="111111"/>
                <w:sz w:val="16"/>
              </w:rPr>
              <w:t xml:space="preserve">       CASE</w:t>
            </w:r>
          </w:p>
          <w:p>
            <w:pPr>
              <w:spacing w:after="0" w:line="240" w:lineRule="auto"/>
            </w:pPr>
            <w:r>
              <w:rPr>
                <w:rFonts w:ascii="Courier New" w:hAnsi="Courier New"/>
                <w:color w:val="111111"/>
                <w:sz w:val="16"/>
              </w:rPr>
              <w:t xml:space="preserve">           WHEN LOWER(propname) IN ('mxe.cosaccesskey', 'mxe.cossecretkey')</w:t>
            </w:r>
          </w:p>
          <w:p>
            <w:pPr>
              <w:spacing w:after="0" w:line="240" w:lineRule="auto"/>
            </w:pPr>
            <w:r>
              <w:rPr>
                <w:rFonts w:ascii="Courier New" w:hAnsi="Courier New"/>
                <w:color w:val="111111"/>
                <w:sz w:val="16"/>
              </w:rPr>
              <w:t xml:space="preserve">           THEN '&lt;configured&gt;'</w:t>
            </w:r>
          </w:p>
          <w:p>
            <w:pPr>
              <w:spacing w:after="0" w:line="240" w:lineRule="auto"/>
            </w:pPr>
            <w:r>
              <w:rPr>
                <w:rFonts w:ascii="Courier New" w:hAnsi="Courier New"/>
                <w:color w:val="111111"/>
                <w:sz w:val="16"/>
              </w:rPr>
              <w:t xml:space="preserve">           ELSE propvalue</w:t>
            </w:r>
          </w:p>
          <w:p>
            <w:pPr>
              <w:spacing w:after="0" w:line="240" w:lineRule="auto"/>
            </w:pPr>
            <w:r>
              <w:rPr>
                <w:rFonts w:ascii="Courier New" w:hAnsi="Courier New"/>
                <w:color w:val="111111"/>
                <w:sz w:val="16"/>
              </w:rPr>
              <w:t xml:space="preserve">       END AS propvalue</w:t>
            </w:r>
          </w:p>
          <w:p>
            <w:pPr>
              <w:spacing w:after="0" w:line="240" w:lineRule="auto"/>
            </w:pPr>
            <w:r>
              <w:rPr>
                <w:rFonts w:ascii="Courier New" w:hAnsi="Courier New"/>
                <w:color w:val="111111"/>
                <w:sz w:val="16"/>
              </w:rPr>
              <w:t>FROM maximo.maxpropvalue</w:t>
            </w:r>
          </w:p>
          <w:p>
            <w:pPr>
              <w:spacing w:after="0" w:line="240" w:lineRule="auto"/>
            </w:pPr>
            <w:r>
              <w:rPr>
                <w:rFonts w:ascii="Courier New" w:hAnsi="Courier New"/>
                <w:color w:val="111111"/>
                <w:sz w:val="16"/>
              </w:rPr>
              <w:t>WHERE servername = 'COMMON'</w:t>
            </w:r>
          </w:p>
          <w:p>
            <w:pPr>
              <w:spacing w:after="0" w:line="240" w:lineRule="auto"/>
            </w:pPr>
            <w:r>
              <w:rPr>
                <w:rFonts w:ascii="Courier New" w:hAnsi="Courier New"/>
                <w:color w:val="111111"/>
                <w:sz w:val="16"/>
              </w:rPr>
              <w:t xml:space="preserve">  AND LOWER(propname) IN (</w:t>
            </w:r>
          </w:p>
          <w:p>
            <w:pPr>
              <w:spacing w:after="0" w:line="240" w:lineRule="auto"/>
            </w:pPr>
            <w:r>
              <w:rPr>
                <w:rFonts w:ascii="Courier New" w:hAnsi="Courier New"/>
                <w:color w:val="111111"/>
                <w:sz w:val="16"/>
              </w:rPr>
              <w:t xml:space="preserve">      'mxe.cosaccesskey',</w:t>
            </w:r>
          </w:p>
          <w:p>
            <w:pPr>
              <w:spacing w:after="0" w:line="240" w:lineRule="auto"/>
            </w:pPr>
            <w:r>
              <w:rPr>
                <w:rFonts w:ascii="Courier New" w:hAnsi="Courier New"/>
                <w:color w:val="111111"/>
                <w:sz w:val="16"/>
              </w:rPr>
              <w:t xml:space="preserve">      'mxe.cossecretkey',</w:t>
            </w:r>
          </w:p>
          <w:p>
            <w:pPr>
              <w:spacing w:after="0" w:line="240" w:lineRule="auto"/>
            </w:pPr>
            <w:r>
              <w:rPr>
                <w:rFonts w:ascii="Courier New" w:hAnsi="Courier New"/>
                <w:color w:val="111111"/>
                <w:sz w:val="16"/>
              </w:rPr>
              <w:t xml:space="preserve">      'mxe.cosendpointuri',</w:t>
            </w:r>
          </w:p>
          <w:p>
            <w:pPr>
              <w:spacing w:after="0" w:line="240" w:lineRule="auto"/>
            </w:pPr>
            <w:r>
              <w:rPr>
                <w:rFonts w:ascii="Courier New" w:hAnsi="Courier New"/>
                <w:color w:val="111111"/>
                <w:sz w:val="16"/>
              </w:rPr>
              <w:t xml:space="preserve">      'mxe.cosbucketname',</w:t>
            </w:r>
          </w:p>
          <w:p>
            <w:pPr>
              <w:spacing w:after="0" w:line="240" w:lineRule="auto"/>
            </w:pPr>
            <w:r>
              <w:rPr>
                <w:rFonts w:ascii="Courier New" w:hAnsi="Courier New"/>
                <w:color w:val="111111"/>
                <w:sz w:val="16"/>
              </w:rPr>
              <w:t xml:space="preserve">      'mxe.attachmentstorage',</w:t>
            </w:r>
          </w:p>
          <w:p>
            <w:pPr>
              <w:spacing w:after="0" w:line="240" w:lineRule="auto"/>
            </w:pPr>
            <w:r>
              <w:rPr>
                <w:rFonts w:ascii="Courier New" w:hAnsi="Courier New"/>
                <w:color w:val="111111"/>
                <w:sz w:val="16"/>
              </w:rPr>
              <w:t xml:space="preserve">      'mxe.doclink.securedattachment',</w:t>
            </w:r>
          </w:p>
          <w:p>
            <w:pPr>
              <w:spacing w:after="0" w:line="240" w:lineRule="auto"/>
            </w:pPr>
            <w:r>
              <w:rPr>
                <w:rFonts w:ascii="Courier New" w:hAnsi="Courier New"/>
                <w:color w:val="111111"/>
                <w:sz w:val="16"/>
              </w:rPr>
              <w:t xml:space="preserve">      'mxe.doclink.doctypes.defpath',</w:t>
            </w:r>
          </w:p>
          <w:p>
            <w:pPr>
              <w:spacing w:after="0" w:line="240" w:lineRule="auto"/>
            </w:pPr>
            <w:r>
              <w:rPr>
                <w:rFonts w:ascii="Courier New" w:hAnsi="Courier New"/>
                <w:color w:val="111111"/>
                <w:sz w:val="16"/>
              </w:rPr>
              <w:t xml:space="preserve">      'mxe.doclink.doctypes.toplevelpaths',</w:t>
            </w:r>
          </w:p>
          <w:p>
            <w:pPr>
              <w:spacing w:after="0" w:line="240" w:lineRule="auto"/>
            </w:pPr>
            <w:r>
              <w:rPr>
                <w:rFonts w:ascii="Courier New" w:hAnsi="Courier New"/>
                <w:color w:val="111111"/>
                <w:sz w:val="16"/>
              </w:rPr>
              <w:t xml:space="preserve">      'mxe.doclink.path01'</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ORDER BY propname;</w:t>
            </w:r>
          </w:p>
        </w:tc>
      </w:tr>
    </w:tbl>
    <w:p>
      <w:pPr>
        <w:spacing w:after="0"/>
      </w:pPr>
    </w:p>
    <w:p>
      <w:pPr>
        <w:pStyle w:val="Heading2"/>
      </w:pPr>
      <w:r>
        <w:t>Update the existing rows</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SAVEPOINT before_s3_properties;</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 SET propvalue = :s3_access_key</w:t>
            </w:r>
          </w:p>
          <w:p>
            <w:pPr>
              <w:spacing w:after="0" w:line="240" w:lineRule="auto"/>
            </w:pPr>
            <w:r>
              <w:rPr>
                <w:rFonts w:ascii="Courier New" w:hAnsi="Courier New"/>
                <w:color w:val="111111"/>
                <w:sz w:val="16"/>
              </w:rPr>
              <w:t xml:space="preserve"> WHERE servername = 'COMMON' AND LOWER(propname) = 'mxe.cosaccesskey';</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 SET propvalue = :s3_secret_key</w:t>
            </w:r>
          </w:p>
          <w:p>
            <w:pPr>
              <w:spacing w:after="0" w:line="240" w:lineRule="auto"/>
            </w:pPr>
            <w:r>
              <w:rPr>
                <w:rFonts w:ascii="Courier New" w:hAnsi="Courier New"/>
                <w:color w:val="111111"/>
                <w:sz w:val="16"/>
              </w:rPr>
              <w:t xml:space="preserve"> WHERE servername = 'COMMON' AND LOWER(propname) = 'mxe.cossecretkey';</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 SET propvalue = 'https://bhm-pwrsclnfs.lac1.biz:9021'</w:t>
            </w:r>
          </w:p>
          <w:p>
            <w:pPr>
              <w:spacing w:after="0" w:line="240" w:lineRule="auto"/>
            </w:pPr>
            <w:r>
              <w:rPr>
                <w:rFonts w:ascii="Courier New" w:hAnsi="Courier New"/>
                <w:color w:val="111111"/>
                <w:sz w:val="16"/>
              </w:rPr>
              <w:t xml:space="preserve"> WHERE servername = 'COMMON' AND LOWER(propname) = 'mxe.cosendpointuri';</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 SET propvalue = 'dr-maximo-bckt'</w:t>
            </w:r>
          </w:p>
          <w:p>
            <w:pPr>
              <w:spacing w:after="0" w:line="240" w:lineRule="auto"/>
            </w:pPr>
            <w:r>
              <w:rPr>
                <w:rFonts w:ascii="Courier New" w:hAnsi="Courier New"/>
                <w:color w:val="111111"/>
                <w:sz w:val="16"/>
              </w:rPr>
              <w:t xml:space="preserve"> WHERE servername = 'COMMON' AND LOWER(propname) = 'mxe.cosbucketname';</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w:t>
            </w:r>
          </w:p>
          <w:p>
            <w:pPr>
              <w:spacing w:after="0" w:line="240" w:lineRule="auto"/>
            </w:pPr>
            <w:r>
              <w:rPr>
                <w:rFonts w:ascii="Courier New" w:hAnsi="Courier New"/>
                <w:color w:val="111111"/>
                <w:sz w:val="16"/>
              </w:rPr>
              <w:t xml:space="preserve"> SET propvalue = 'com.ibm.tivoli.maximo.oslc.provider.COSAttachmentStorage'</w:t>
            </w:r>
          </w:p>
          <w:p>
            <w:pPr>
              <w:spacing w:after="0" w:line="240" w:lineRule="auto"/>
            </w:pPr>
            <w:r>
              <w:rPr>
                <w:rFonts w:ascii="Courier New" w:hAnsi="Courier New"/>
                <w:color w:val="111111"/>
                <w:sz w:val="16"/>
              </w:rPr>
              <w:t xml:space="preserve"> WHERE servername = 'COMMON' AND LOWER(propname) = 'mxe.attachmentstorage';</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 SET propvalue = 'true'</w:t>
            </w:r>
          </w:p>
          <w:p>
            <w:pPr>
              <w:spacing w:after="0" w:line="240" w:lineRule="auto"/>
            </w:pPr>
            <w:r>
              <w:rPr>
                <w:rFonts w:ascii="Courier New" w:hAnsi="Courier New"/>
                <w:color w:val="111111"/>
                <w:sz w:val="16"/>
              </w:rPr>
              <w:t xml:space="preserve"> WHERE servername = 'COMMON'</w:t>
            </w:r>
          </w:p>
          <w:p>
            <w:pPr>
              <w:spacing w:after="0" w:line="240" w:lineRule="auto"/>
            </w:pPr>
            <w:r>
              <w:rPr>
                <w:rFonts w:ascii="Courier New" w:hAnsi="Courier New"/>
                <w:color w:val="111111"/>
                <w:sz w:val="16"/>
              </w:rPr>
              <w:t xml:space="preserve">   AND LOWER(propname) = 'mxe.doclink.securedattachment';</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 SET propvalue = 'cos:doclinks/default'</w:t>
            </w:r>
          </w:p>
          <w:p>
            <w:pPr>
              <w:spacing w:after="0" w:line="240" w:lineRule="auto"/>
            </w:pPr>
            <w:r>
              <w:rPr>
                <w:rFonts w:ascii="Courier New" w:hAnsi="Courier New"/>
                <w:color w:val="111111"/>
                <w:sz w:val="16"/>
              </w:rPr>
              <w:t xml:space="preserve"> WHERE servername = 'COMMON'</w:t>
            </w:r>
          </w:p>
          <w:p>
            <w:pPr>
              <w:spacing w:after="0" w:line="240" w:lineRule="auto"/>
            </w:pPr>
            <w:r>
              <w:rPr>
                <w:rFonts w:ascii="Courier New" w:hAnsi="Courier New"/>
                <w:color w:val="111111"/>
                <w:sz w:val="16"/>
              </w:rPr>
              <w:t xml:space="preserve">   AND LOWER(propname) = 'mxe.doclink.doctypes.defpath';</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 SET propvalue = 'cos:doclinks'</w:t>
            </w:r>
          </w:p>
          <w:p>
            <w:pPr>
              <w:spacing w:after="0" w:line="240" w:lineRule="auto"/>
            </w:pPr>
            <w:r>
              <w:rPr>
                <w:rFonts w:ascii="Courier New" w:hAnsi="Courier New"/>
                <w:color w:val="111111"/>
                <w:sz w:val="16"/>
              </w:rPr>
              <w:t xml:space="preserve"> WHERE servername = 'COMMON'</w:t>
            </w:r>
          </w:p>
          <w:p>
            <w:pPr>
              <w:spacing w:after="0" w:line="240" w:lineRule="auto"/>
            </w:pPr>
            <w:r>
              <w:rPr>
                <w:rFonts w:ascii="Courier New" w:hAnsi="Courier New"/>
                <w:color w:val="111111"/>
                <w:sz w:val="16"/>
              </w:rPr>
              <w:t xml:space="preserve">   AND LOWER(propname) = 'mxe.doclink.doctypes.toplevelpaths';</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UPDATE maximo.maxpropvalue</w:t>
            </w:r>
          </w:p>
          <w:p>
            <w:pPr>
              <w:spacing w:after="0" w:line="240" w:lineRule="auto"/>
            </w:pPr>
            <w:r>
              <w:rPr>
                <w:rFonts w:ascii="Courier New" w:hAnsi="Courier New"/>
                <w:color w:val="111111"/>
                <w:sz w:val="16"/>
              </w:rPr>
              <w:t xml:space="preserve"> SET propvalue = 'cos:doclinks=https://drgitopswks.manage.drgitopsapp.apps.drroc4.lac1.biz/maximo/oslc/cosdoclink'</w:t>
            </w:r>
          </w:p>
          <w:p>
            <w:pPr>
              <w:spacing w:after="0" w:line="240" w:lineRule="auto"/>
            </w:pPr>
            <w:r>
              <w:rPr>
                <w:rFonts w:ascii="Courier New" w:hAnsi="Courier New"/>
                <w:color w:val="111111"/>
                <w:sz w:val="16"/>
              </w:rPr>
              <w:t xml:space="preserve"> WHERE servername = 'COMMON' AND LOWER(propname) = 'mxe.doclink.path01';</w:t>
            </w:r>
          </w:p>
        </w:tc>
      </w:tr>
    </w:tbl>
    <w:p>
      <w:pPr>
        <w:spacing w:after="0"/>
      </w:pPr>
    </w:p>
    <w:p>
      <w:pPr>
        <w:pStyle w:val="Heading2"/>
      </w:pPr>
      <w:r>
        <w:t>Verify and commit</w:t>
      </w:r>
    </w:p>
    <w:p>
      <w:r>
        <w:t>DBeaver should report one updated row for each statement. Run the masked SELECT above again and check all nine values before committing. After committing, restart every Manage server bundle. If a property update reports zero rows, roll back and create or update that property through the Manage UI instead of inserting directly into MAXPROP or MAXPROPVALUE.</w:t>
      </w:r>
    </w:p>
    <w:tbl>
      <w:tblPr>
        <w:tblStyle w:val="TableGrid"/>
        <w:tblW w:type="dxa" w:w="9600"/>
        <w:jc w:val="left"/>
        <w:tblLayout w:type="fixed"/>
        <w:tblLook w:firstColumn="1" w:firstRow="1" w:lastColumn="0" w:lastRow="0" w:noHBand="0" w:noVBand="1" w:val="04A0"/>
        <w:tblLayout w:type="fixed"/>
        <w:tblInd w:w="120" w:type="dxa"/>
      </w:tblPr>
      <w:tblGrid>
        <w:gridCol w:w="9600"/>
      </w:tblGrid>
      <w:tr>
        <w:tc>
          <w:tcPr>
            <w:tcW w:type="dxa" w:w="9648"/>
            <w:tcW w:w="9600" w:type="dxa"/>
            <w:tcMar>
              <w:top w:w="100" w:type="dxa"/>
              <w:start w:w="110" w:type="dxa"/>
              <w:bottom w:w="100" w:type="dxa"/>
              <w:end w:w="110" w:type="dxa"/>
            </w:tcMar>
            <w:vAlign w:val="center"/>
            <w:shd w:fill="F4F4F4"/>
          </w:tcPr>
          <w:p>
            <w:pPr>
              <w:spacing w:after="0" w:line="240" w:lineRule="auto"/>
            </w:pPr>
            <w:r/>
            <w:r>
              <w:rPr>
                <w:rFonts w:ascii="Courier New" w:hAnsi="Courier New"/>
                <w:color w:val="111111"/>
                <w:sz w:val="16"/>
              </w:rPr>
              <w:t>COMMIT;</w:t>
            </w:r>
          </w:p>
          <w:p>
            <w:pPr>
              <w:spacing w:after="0" w:line="240" w:lineRule="auto"/>
            </w:pPr>
            <w:r>
              <w:rPr>
                <w:rFonts w:ascii="Courier New" w:hAnsi="Courier New"/>
                <w:color w:val="111111"/>
                <w:sz w:val="16"/>
              </w:rPr>
              <w:t xml:space="preserve"> </w:t>
            </w:r>
          </w:p>
          <w:p>
            <w:pPr>
              <w:spacing w:after="0" w:line="240" w:lineRule="auto"/>
            </w:pPr>
            <w:r>
              <w:rPr>
                <w:rFonts w:ascii="Courier New" w:hAnsi="Courier New"/>
                <w:color w:val="111111"/>
                <w:sz w:val="16"/>
              </w:rPr>
              <w:t>-- Use this instead of COMMIT if the values are wrong:</w:t>
            </w:r>
          </w:p>
          <w:p>
            <w:pPr>
              <w:spacing w:after="0" w:line="240" w:lineRule="auto"/>
            </w:pPr>
            <w:r>
              <w:rPr>
                <w:rFonts w:ascii="Courier New" w:hAnsi="Courier New"/>
                <w:color w:val="111111"/>
                <w:sz w:val="16"/>
              </w:rPr>
              <w:t>-- ROLLBACK TO before_s3_properties;</w:t>
            </w:r>
          </w:p>
          <w:p>
            <w:pPr>
              <w:spacing w:after="0" w:line="240" w:lineRule="auto"/>
            </w:pPr>
            <w:r>
              <w:rPr>
                <w:rFonts w:ascii="Courier New" w:hAnsi="Courier New"/>
                <w:color w:val="111111"/>
                <w:sz w:val="16"/>
              </w:rPr>
              <w:t xml:space="preserve">    </w:t>
            </w:r>
          </w:p>
        </w:tc>
      </w:tr>
    </w:tbl>
    <w:p>
      <w:pPr>
        <w:spacing w:after="0"/>
      </w:pPr>
    </w:p>
    <w:sectPr w:rsidR="00FC693F" w:rsidRPr="0006063C" w:rsidSect="00034616">
      <w:footerReference w:type="default" r:id="rId9"/>
      <w:pgSz w:w="12240" w:h="15840"/>
      <w:pgMar w:top="1152" w:right="1296" w:bottom="1080"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368"/>
        <w:sz w:val="16"/>
      </w:rPr>
      <w:t>Maximo Manage attachment storage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0">
    <w:multiLevelType w:val="singleLevel"/>
    <w:lvl w:ilvl="0">
      <w:start w:val="1"/>
      <w:numFmt w:val="bullet"/>
      <w:lvlText w:val="•"/>
      <w:pPr>
        <w:ind w:left="540" w:hanging="270"/>
      </w:pPr>
    </w:lvl>
  </w:abstractNum>
  <w:num w:numId="30">
    <w:abstractNumId w:val="30"/>
  </w:num>
  <w:abstractNum w:abstractNumId="31">
    <w:multiLevelType w:val="singleLevel"/>
    <w:lvl w:ilvl="0">
      <w:start w:val="1"/>
      <w:numFmt w:val="decimal"/>
      <w:lvlText w:val="%1."/>
      <w:pPr>
        <w:ind w:left="540" w:hanging="270"/>
      </w:pPr>
    </w:lvl>
  </w:abstractNum>
  <w:num w:numId="31">
    <w:abstractNumId w:val="31"/>
  </w:num>
  <w:abstractNum w:abstractNumId="32">
    <w:multiLevelType w:val="singleLevel"/>
    <w:lvl w:ilvl="0">
      <w:start w:val="1"/>
      <w:numFmt w:val="decimal"/>
      <w:lvlText w:val="%1."/>
      <w:pPr>
        <w:ind w:left="540" w:hanging="270"/>
      </w:pPr>
    </w:lvl>
  </w:abstract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244B65"/>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244B6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