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LOGISTICS DELIVERY ANALYSIS</w:t>
      </w:r>
    </w:p>
    <w:p>
      <w:pPr>
        <w:jc w:val="center"/>
      </w:pPr>
      <w:r>
        <w:rPr>
          <w:i/>
        </w:rPr>
        <w:t>Data Analysis, Predictive Modeling &amp; Delivery Segmentation</w:t>
      </w:r>
    </w:p>
    <w:p>
      <w:pPr>
        <w:pStyle w:val="Heading1"/>
      </w:pPr>
      <w:r>
        <w:t>1. Executive Summary</w:t>
      </w:r>
    </w:p>
    <w:p>
      <w:r>
        <w:t>This project analyzes 25,000 logistics delivery records to evaluate delivery performance, predict delivery time, and segment deliveries using K-Means clustering. The analysis combines descriptive KPIs, data preparation, Random Forest regression, and clustering.</w:t>
      </w:r>
    </w:p>
    <w:p>
      <w:r>
        <w:t>The dataset contains 6,669 delayed deliveries, giving a delay rate of 26.68%. The Random Forest model achieved MAE of 1.34 hours, RMSE of 1.69 hours, and R² of 0.704.</w:t>
      </w:r>
    </w:p>
    <w:p>
      <w:pPr>
        <w:pStyle w:val="Heading1"/>
      </w:pPr>
      <w:r>
        <w:t>2. Key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KPI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Total deliveries</w:t>
            </w:r>
          </w:p>
        </w:tc>
        <w:tc>
          <w:tcPr>
            <w:tcW w:type="dxa" w:w="4968"/>
          </w:tcPr>
          <w:p>
            <w:r>
              <w:t>25,000</w:t>
            </w:r>
          </w:p>
        </w:tc>
      </w:tr>
      <w:tr>
        <w:tc>
          <w:tcPr>
            <w:tcW w:type="dxa" w:w="4968"/>
          </w:tcPr>
          <w:p>
            <w:r>
              <w:t>Delayed deliveries</w:t>
            </w:r>
          </w:p>
        </w:tc>
        <w:tc>
          <w:tcPr>
            <w:tcW w:type="dxa" w:w="4968"/>
          </w:tcPr>
          <w:p>
            <w:r>
              <w:t>6,669</w:t>
            </w:r>
          </w:p>
        </w:tc>
      </w:tr>
      <w:tr>
        <w:tc>
          <w:tcPr>
            <w:tcW w:type="dxa" w:w="4968"/>
          </w:tcPr>
          <w:p>
            <w:r>
              <w:t>On-time deliveries</w:t>
            </w:r>
          </w:p>
        </w:tc>
        <w:tc>
          <w:tcPr>
            <w:tcW w:type="dxa" w:w="4968"/>
          </w:tcPr>
          <w:p>
            <w:r>
              <w:t>18,331</w:t>
            </w:r>
          </w:p>
        </w:tc>
      </w:tr>
      <w:tr>
        <w:tc>
          <w:tcPr>
            <w:tcW w:type="dxa" w:w="4968"/>
          </w:tcPr>
          <w:p>
            <w:r>
              <w:t>Delay rate</w:t>
            </w:r>
          </w:p>
        </w:tc>
        <w:tc>
          <w:tcPr>
            <w:tcW w:type="dxa" w:w="4968"/>
          </w:tcPr>
          <w:p>
            <w:r>
              <w:t>26.68%</w:t>
            </w:r>
          </w:p>
        </w:tc>
      </w:tr>
      <w:tr>
        <w:tc>
          <w:tcPr>
            <w:tcW w:type="dxa" w:w="4968"/>
          </w:tcPr>
          <w:p>
            <w:r>
              <w:t>On-time delivery rate</w:t>
            </w:r>
          </w:p>
        </w:tc>
        <w:tc>
          <w:tcPr>
            <w:tcW w:type="dxa" w:w="4968"/>
          </w:tcPr>
          <w:p>
            <w:r>
              <w:t>73.32%</w:t>
            </w:r>
          </w:p>
        </w:tc>
      </w:tr>
      <w:tr>
        <w:tc>
          <w:tcPr>
            <w:tcW w:type="dxa" w:w="4968"/>
          </w:tcPr>
          <w:p>
            <w:r>
              <w:t>Average actual delivery time</w:t>
            </w:r>
          </w:p>
        </w:tc>
        <w:tc>
          <w:tcPr>
            <w:tcW w:type="dxa" w:w="4968"/>
          </w:tcPr>
          <w:p>
            <w:r>
              <w:t>6.25 hours</w:t>
            </w:r>
          </w:p>
        </w:tc>
      </w:tr>
      <w:tr>
        <w:tc>
          <w:tcPr>
            <w:tcW w:type="dxa" w:w="4968"/>
          </w:tcPr>
          <w:p>
            <w:r>
              <w:t>Average expected time</w:t>
            </w:r>
          </w:p>
        </w:tc>
        <w:tc>
          <w:tcPr>
            <w:tcW w:type="dxa" w:w="4968"/>
          </w:tcPr>
          <w:p>
            <w:r>
              <w:t>13.11 hours</w:t>
            </w:r>
          </w:p>
        </w:tc>
      </w:tr>
      <w:tr>
        <w:tc>
          <w:tcPr>
            <w:tcW w:type="dxa" w:w="4968"/>
          </w:tcPr>
          <w:p>
            <w:r>
              <w:t>Average time gap (actual - expected)</w:t>
            </w:r>
          </w:p>
        </w:tc>
        <w:tc>
          <w:tcPr>
            <w:tcW w:type="dxa" w:w="4968"/>
          </w:tcPr>
          <w:p>
            <w:r>
              <w:t>-6.86 hours</w:t>
            </w:r>
          </w:p>
        </w:tc>
      </w:tr>
      <w:tr>
        <w:tc>
          <w:tcPr>
            <w:tcW w:type="dxa" w:w="4968"/>
          </w:tcPr>
          <w:p>
            <w:r>
              <w:t>Average delivery cost</w:t>
            </w:r>
          </w:p>
        </w:tc>
        <w:tc>
          <w:tcPr>
            <w:tcW w:type="dxa" w:w="4968"/>
          </w:tcPr>
          <w:p>
            <w:r>
              <w:t>864.94</w:t>
            </w:r>
          </w:p>
        </w:tc>
      </w:tr>
      <w:tr>
        <w:tc>
          <w:tcPr>
            <w:tcW w:type="dxa" w:w="4968"/>
          </w:tcPr>
          <w:p>
            <w:r>
              <w:t>Average customer rating</w:t>
            </w:r>
          </w:p>
        </w:tc>
        <w:tc>
          <w:tcPr>
            <w:tcW w:type="dxa" w:w="4968"/>
          </w:tcPr>
          <w:p>
            <w:r>
              <w:t>3.67 / 5</w:t>
            </w:r>
          </w:p>
        </w:tc>
      </w:tr>
    </w:tbl>
    <w:p>
      <w:pPr>
        <w:pStyle w:val="Heading1"/>
      </w:pPr>
      <w:r>
        <w:t>3. Data Preparation</w:t>
      </w:r>
    </w:p>
    <w:p>
      <w:pPr>
        <w:pStyle w:val="ListBullet"/>
      </w:pPr>
      <w:r>
        <w:t>Checked dataset structure, column names, data types, missing values, unique values, and zero values.</w:t>
      </w:r>
    </w:p>
    <w:p>
      <w:pPr>
        <w:pStyle w:val="ListBullet"/>
      </w:pPr>
      <w:r>
        <w:t>Corrected delivery-time-related numeric values that were represented in extremely small scientific-notation scale.</w:t>
      </w:r>
    </w:p>
    <w:p>
      <w:pPr>
        <w:pStyle w:val="ListBullet"/>
      </w:pPr>
      <w:r>
        <w:t>Validated delay-related calculations and delivery performance indicators.</w:t>
      </w:r>
    </w:p>
    <w:p>
      <w:pPr>
        <w:pStyle w:val="ListBullet"/>
      </w:pPr>
      <w:r>
        <w:t>Prepared corrected data for predictive modeling and clustering.</w:t>
      </w:r>
    </w:p>
    <w:p>
      <w:pPr>
        <w:pStyle w:val="ListBullet"/>
      </w:pPr>
      <w:r>
        <w:t>Saved the final dataset as Logistics_Delivery_Final.csv.</w:t>
      </w:r>
    </w:p>
    <w:p>
      <w:pPr>
        <w:pStyle w:val="Heading1"/>
      </w:pPr>
      <w:r>
        <w:t>4. Delay Analysis</w:t>
      </w:r>
    </w:p>
    <w:p>
      <w:pPr>
        <w:pStyle w:val="ListBullet"/>
      </w:pPr>
      <w:r>
        <w:t>6,669 of 25,000 deliveries are marked as delayed.</w:t>
      </w:r>
    </w:p>
    <w:p>
      <w:pPr>
        <w:pStyle w:val="ListBullet"/>
      </w:pPr>
      <w:r>
        <w:t>18,331 deliveries are marked as not delayed.</w:t>
      </w:r>
    </w:p>
    <w:p>
      <w:pPr>
        <w:pStyle w:val="ListBullet"/>
      </w:pPr>
      <w:r>
        <w:t>The official delay rate based on the dataset's delayed flag is 26.68%.</w:t>
      </w:r>
    </w:p>
    <w:p>
      <w:pPr>
        <w:pStyle w:val="ListBullet"/>
      </w:pPr>
      <w:r>
        <w:t>The average actual delivery time is 6.25 hours.</w:t>
      </w:r>
    </w:p>
    <w:p>
      <w:pPr>
        <w:pStyle w:val="ListBullet"/>
      </w:pPr>
      <w:r>
        <w:t>The average expected time is 13.11 hours.</w:t>
      </w:r>
    </w:p>
    <w:p>
      <w:pPr>
        <w:pStyle w:val="ListBullet"/>
      </w:pPr>
      <w:r>
        <w:t>The calculated actual-minus-expected time gap is -6.86 hours.</w:t>
      </w:r>
    </w:p>
    <w:p>
      <w:r>
        <w:rPr>
          <w:b/>
        </w:rPr>
        <w:t xml:space="preserve">Interpretation note: </w:t>
      </w:r>
      <w:r>
        <w:t>Because expected_time_hours is higher than actual delivery time on average, the negative time gap should not automatically be called a negative delay. The project's official delay KPI is based on the separate delayed field. The definition of expected_time_hours should be confirmed before using the time gap as an SLA metric.</w:t>
      </w:r>
    </w:p>
    <w:p>
      <w:pPr>
        <w:pStyle w:val="Heading1"/>
      </w:pPr>
      <w:r>
        <w:t>5. Random Forest Regression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MAE</w:t>
            </w:r>
          </w:p>
        </w:tc>
        <w:tc>
          <w:tcPr>
            <w:tcW w:type="dxa" w:w="4968"/>
          </w:tcPr>
          <w:p>
            <w:r>
              <w:t>1.34 hours</w:t>
            </w:r>
          </w:p>
        </w:tc>
      </w:tr>
      <w:tr>
        <w:tc>
          <w:tcPr>
            <w:tcW w:type="dxa" w:w="4968"/>
          </w:tcPr>
          <w:p>
            <w:r>
              <w:t>RMSE</w:t>
            </w:r>
          </w:p>
        </w:tc>
        <w:tc>
          <w:tcPr>
            <w:tcW w:type="dxa" w:w="4968"/>
          </w:tcPr>
          <w:p>
            <w:r>
              <w:t>1.69 hours</w:t>
            </w:r>
          </w:p>
        </w:tc>
      </w:tr>
      <w:tr>
        <w:tc>
          <w:tcPr>
            <w:tcW w:type="dxa" w:w="4968"/>
          </w:tcPr>
          <w:p>
            <w:r>
              <w:t>R²</w:t>
            </w:r>
          </w:p>
        </w:tc>
        <w:tc>
          <w:tcPr>
            <w:tcW w:type="dxa" w:w="4968"/>
          </w:tcPr>
          <w:p>
            <w:r>
              <w:t>0.704</w:t>
            </w:r>
          </w:p>
        </w:tc>
      </w:tr>
    </w:tbl>
    <w:p>
      <w:r>
        <w:t>The model's MAE of 1.34 hours means predictions differ from actual delivery time by about 1.34 hours on average. The R² of 0.704 indicates that the model explains approximately 70.4% of the variation in delivery time on the test data.</w:t>
      </w:r>
    </w:p>
    <w:p>
      <w:pPr>
        <w:pStyle w:val="Heading1"/>
      </w:pPr>
      <w:r>
        <w:t>6. K-Means Clustering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Cluster</w:t>
            </w:r>
          </w:p>
        </w:tc>
        <w:tc>
          <w:tcPr>
            <w:tcW w:type="dxa" w:w="1242"/>
          </w:tcPr>
          <w:p>
            <w:r>
              <w:t>Count</w:t>
            </w:r>
          </w:p>
        </w:tc>
        <w:tc>
          <w:tcPr>
            <w:tcW w:type="dxa" w:w="1242"/>
          </w:tcPr>
          <w:p>
            <w:r>
              <w:t>Actual</w:t>
            </w:r>
          </w:p>
        </w:tc>
        <w:tc>
          <w:tcPr>
            <w:tcW w:type="dxa" w:w="1242"/>
          </w:tcPr>
          <w:p>
            <w:r>
              <w:t>Expected</w:t>
            </w:r>
          </w:p>
        </w:tc>
        <w:tc>
          <w:tcPr>
            <w:tcW w:type="dxa" w:w="1242"/>
          </w:tcPr>
          <w:p>
            <w:r>
              <w:t>Distance</w:t>
            </w:r>
          </w:p>
        </w:tc>
        <w:tc>
          <w:tcPr>
            <w:tcW w:type="dxa" w:w="1242"/>
          </w:tcPr>
          <w:p>
            <w:r>
              <w:t>Cost</w:t>
            </w:r>
          </w:p>
        </w:tc>
        <w:tc>
          <w:tcPr>
            <w:tcW w:type="dxa" w:w="1242"/>
          </w:tcPr>
          <w:p>
            <w:r>
              <w:t>Rating</w:t>
            </w:r>
          </w:p>
        </w:tc>
        <w:tc>
          <w:tcPr>
            <w:tcW w:type="dxa" w:w="1242"/>
          </w:tcPr>
          <w:p>
            <w:r>
              <w:t>Summary</w:t>
            </w:r>
          </w:p>
        </w:tc>
      </w:tr>
      <w:tr>
        <w:tc>
          <w:tcPr>
            <w:tcW w:type="dxa" w:w="1242"/>
          </w:tcPr>
          <w:p>
            <w:r>
              <w:t>0</w:t>
            </w:r>
          </w:p>
        </w:tc>
        <w:tc>
          <w:tcPr>
            <w:tcW w:type="dxa" w:w="1242"/>
          </w:tcPr>
          <w:p>
            <w:r>
              <w:t>5,157</w:t>
            </w:r>
          </w:p>
        </w:tc>
        <w:tc>
          <w:tcPr>
            <w:tcW w:type="dxa" w:w="1242"/>
          </w:tcPr>
          <w:p>
            <w:r>
              <w:t>9.21 h</w:t>
            </w:r>
          </w:p>
        </w:tc>
        <w:tc>
          <w:tcPr>
            <w:tcW w:type="dxa" w:w="1242"/>
          </w:tcPr>
          <w:p>
            <w:r>
              <w:t>7.06 h</w:t>
            </w:r>
          </w:p>
        </w:tc>
        <w:tc>
          <w:tcPr>
            <w:tcW w:type="dxa" w:w="1242"/>
          </w:tcPr>
          <w:p>
            <w:r>
              <w:t>221.43 km</w:t>
            </w:r>
          </w:p>
        </w:tc>
        <w:tc>
          <w:tcPr>
            <w:tcW w:type="dxa" w:w="1242"/>
          </w:tcPr>
          <w:p>
            <w:r>
              <w:t>1252.18</w:t>
            </w:r>
          </w:p>
        </w:tc>
        <w:tc>
          <w:tcPr>
            <w:tcW w:type="dxa" w:w="1242"/>
          </w:tcPr>
          <w:p>
            <w:r>
              <w:t>2.24</w:t>
            </w:r>
          </w:p>
        </w:tc>
        <w:tc>
          <w:tcPr>
            <w:tcW w:type="dxa" w:w="1242"/>
          </w:tcPr>
          <w:p>
            <w:r>
              <w:t>High-cost, longer-time, low-rating</w:t>
            </w:r>
          </w:p>
        </w:tc>
      </w:tr>
      <w:tr>
        <w:tc>
          <w:tcPr>
            <w:tcW w:type="dxa" w:w="1242"/>
          </w:tcPr>
          <w:p>
            <w:r>
              <w:t>1</w:t>
            </w:r>
          </w:p>
        </w:tc>
        <w:tc>
          <w:tcPr>
            <w:tcW w:type="dxa" w:w="1242"/>
          </w:tcPr>
          <w:p>
            <w:r>
              <w:t>6,073</w:t>
            </w:r>
          </w:p>
        </w:tc>
        <w:tc>
          <w:tcPr>
            <w:tcW w:type="dxa" w:w="1242"/>
          </w:tcPr>
          <w:p>
            <w:r>
              <w:t>3.98 h</w:t>
            </w:r>
          </w:p>
        </w:tc>
        <w:tc>
          <w:tcPr>
            <w:tcW w:type="dxa" w:w="1242"/>
          </w:tcPr>
          <w:p>
            <w:r>
              <w:t>5.56 h</w:t>
            </w:r>
          </w:p>
        </w:tc>
        <w:tc>
          <w:tcPr>
            <w:tcW w:type="dxa" w:w="1242"/>
          </w:tcPr>
          <w:p>
            <w:r>
              <w:t>76.89 km</w:t>
            </w:r>
          </w:p>
        </w:tc>
        <w:tc>
          <w:tcPr>
            <w:tcW w:type="dxa" w:w="1242"/>
          </w:tcPr>
          <w:p>
            <w:r>
              <w:t>533.60</w:t>
            </w:r>
          </w:p>
        </w:tc>
        <w:tc>
          <w:tcPr>
            <w:tcW w:type="dxa" w:w="1242"/>
          </w:tcPr>
          <w:p>
            <w:r>
              <w:t>3.54</w:t>
            </w:r>
          </w:p>
        </w:tc>
        <w:tc>
          <w:tcPr>
            <w:tcW w:type="dxa" w:w="1242"/>
          </w:tcPr>
          <w:p>
            <w:r>
              <w:t>Fast and relatively low-cost</w:t>
            </w:r>
          </w:p>
        </w:tc>
      </w:tr>
      <w:tr>
        <w:tc>
          <w:tcPr>
            <w:tcW w:type="dxa" w:w="1242"/>
          </w:tcPr>
          <w:p>
            <w:r>
              <w:t>2</w:t>
            </w:r>
          </w:p>
        </w:tc>
        <w:tc>
          <w:tcPr>
            <w:tcW w:type="dxa" w:w="1242"/>
          </w:tcPr>
          <w:p>
            <w:r>
              <w:t>7,566</w:t>
            </w:r>
          </w:p>
        </w:tc>
        <w:tc>
          <w:tcPr>
            <w:tcW w:type="dxa" w:w="1242"/>
          </w:tcPr>
          <w:p>
            <w:r>
              <w:t>7.74 h</w:t>
            </w:r>
          </w:p>
        </w:tc>
        <w:tc>
          <w:tcPr>
            <w:tcW w:type="dxa" w:w="1242"/>
          </w:tcPr>
          <w:p>
            <w:r>
              <w:t>17.55 h</w:t>
            </w:r>
          </w:p>
        </w:tc>
        <w:tc>
          <w:tcPr>
            <w:tcW w:type="dxa" w:w="1242"/>
          </w:tcPr>
          <w:p>
            <w:r>
              <w:t>222.37 km</w:t>
            </w:r>
          </w:p>
        </w:tc>
        <w:tc>
          <w:tcPr>
            <w:tcW w:type="dxa" w:w="1242"/>
          </w:tcPr>
          <w:p>
            <w:r>
              <w:t>1205.40</w:t>
            </w:r>
          </w:p>
        </w:tc>
        <w:tc>
          <w:tcPr>
            <w:tcW w:type="dxa" w:w="1242"/>
          </w:tcPr>
          <w:p>
            <w:r>
              <w:t>4.30</w:t>
            </w:r>
          </w:p>
        </w:tc>
        <w:tc>
          <w:tcPr>
            <w:tcW w:type="dxa" w:w="1242"/>
          </w:tcPr>
          <w:p>
            <w:r>
              <w:t>Long-distance, high-rating</w:t>
            </w:r>
          </w:p>
        </w:tc>
      </w:tr>
      <w:tr>
        <w:tc>
          <w:tcPr>
            <w:tcW w:type="dxa" w:w="1242"/>
          </w:tcPr>
          <w:p>
            <w:r>
              <w:t>3</w:t>
            </w:r>
          </w:p>
        </w:tc>
        <w:tc>
          <w:tcPr>
            <w:tcW w:type="dxa" w:w="1242"/>
          </w:tcPr>
          <w:p>
            <w:r>
              <w:t>6,204</w:t>
            </w:r>
          </w:p>
        </w:tc>
        <w:tc>
          <w:tcPr>
            <w:tcW w:type="dxa" w:w="1242"/>
          </w:tcPr>
          <w:p>
            <w:r>
              <w:t>4.19 h</w:t>
            </w:r>
          </w:p>
        </w:tc>
        <w:tc>
          <w:tcPr>
            <w:tcW w:type="dxa" w:w="1242"/>
          </w:tcPr>
          <w:p>
            <w:r>
              <w:t>20.11 h</w:t>
            </w:r>
          </w:p>
        </w:tc>
        <w:tc>
          <w:tcPr>
            <w:tcW w:type="dxa" w:w="1242"/>
          </w:tcPr>
          <w:p>
            <w:r>
              <w:t>75.50 km</w:t>
            </w:r>
          </w:p>
        </w:tc>
        <w:tc>
          <w:tcPr>
            <w:tcW w:type="dxa" w:w="1242"/>
          </w:tcPr>
          <w:p>
            <w:r>
              <w:t>452.20</w:t>
            </w:r>
          </w:p>
        </w:tc>
        <w:tc>
          <w:tcPr>
            <w:tcW w:type="dxa" w:w="1242"/>
          </w:tcPr>
          <w:p>
            <w:r>
              <w:t>4.20</w:t>
            </w:r>
          </w:p>
        </w:tc>
        <w:tc>
          <w:tcPr>
            <w:tcW w:type="dxa" w:w="1242"/>
          </w:tcPr>
          <w:p>
            <w:r>
              <w:t>Fast, low-cost, high-rating</w:t>
            </w:r>
          </w:p>
        </w:tc>
      </w:tr>
    </w:tbl>
    <w:p>
      <w:pPr>
        <w:pStyle w:val="Heading1"/>
      </w:pPr>
      <w:r>
        <w:t>7. Business Findings</w:t>
      </w:r>
    </w:p>
    <w:p>
      <w:pPr>
        <w:pStyle w:val="ListBullet"/>
      </w:pPr>
      <w:r>
        <w:t>Cluster 0 is the highest-priority segment because it has the lowest customer rating and relatively high delivery time and cost.</w:t>
      </w:r>
    </w:p>
    <w:p>
      <w:pPr>
        <w:pStyle w:val="ListBullet"/>
      </w:pPr>
      <w:r>
        <w:t>Clusters 1 and 3 show comparatively efficient delivery patterns and can be used as operational benchmarks.</w:t>
      </w:r>
    </w:p>
    <w:p>
      <w:pPr>
        <w:pStyle w:val="ListBullet"/>
      </w:pPr>
      <w:r>
        <w:t>Clusters 0 and 2 contain long-distance deliveries, with average distance above 220 km.</w:t>
      </w:r>
    </w:p>
    <w:p>
      <w:pPr>
        <w:pStyle w:val="ListBullet"/>
      </w:pPr>
      <w:r>
        <w:t>The overall delay rate of 26.68% represents a significant opportunity for operational improvement.</w:t>
      </w:r>
    </w:p>
    <w:p>
      <w:pPr>
        <w:pStyle w:val="ListBullet"/>
      </w:pPr>
      <w:r>
        <w:t>Customer experience differs strongly across clusters, with Cluster 0 having a rating of 2.24 compared with 4.30 in Cluster 2.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Investigate Cluster 0 by delivery partner, route, vehicle type, region, and weather condition.</w:t>
      </w:r>
    </w:p>
    <w:p>
      <w:pPr>
        <w:pStyle w:val="ListBullet"/>
      </w:pPr>
      <w:r>
        <w:t>Study the practices of Clusters 1 and 3 and use them as benchmarks for speed and cost efficiency.</w:t>
      </w:r>
    </w:p>
    <w:p>
      <w:pPr>
        <w:pStyle w:val="ListBullet"/>
      </w:pPr>
      <w:r>
        <w:t>Optimize long-distance routes and vehicle allocation for Clusters 0 and 2.</w:t>
      </w:r>
    </w:p>
    <w:p>
      <w:pPr>
        <w:pStyle w:val="ListBullet"/>
      </w:pPr>
      <w:r>
        <w:t>Use the Random Forest model to support proactive identification of deliveries likely to require longer delivery times.</w:t>
      </w:r>
    </w:p>
    <w:p>
      <w:pPr>
        <w:pStyle w:val="ListBullet"/>
      </w:pPr>
      <w:r>
        <w:t>Monitor delay rate, on-time rate, delivery time, cost, and customer rating as recurring logistics KPIs.</w:t>
      </w:r>
    </w:p>
    <w:p>
      <w:pPr>
        <w:pStyle w:val="ListBullet"/>
      </w:pPr>
      <w:r>
        <w:t>Confirm the business definition of expected_time_hours before treating actual-minus-expected time as a formal delay/SLA measure.</w:t>
      </w:r>
    </w:p>
    <w:p>
      <w:pPr>
        <w:pStyle w:val="Heading1"/>
      </w:pPr>
      <w:r>
        <w:t>9. Conclusion</w:t>
      </w:r>
    </w:p>
    <w:p>
      <w:r>
        <w:t>The project demonstrates how Python-based analytics and machine learning can be applied to logistics operations. The analysis identified a 26.68% delay rate, four delivery segments, and a Random Forest model with R² of 0.704. The results support targeted improvement of high-cost and low-rating deliveries, long-distance operations, and predictive delivery-time planning.</w:t>
      </w:r>
    </w:p>
    <w:p>
      <w:pPr>
        <w:pStyle w:val="Heading1"/>
      </w:pPr>
      <w:r>
        <w:t>10. Tools &amp; Technologies</w:t>
      </w:r>
    </w:p>
    <w:p>
      <w:r>
        <w:t>Python, Pandas, NumPy, Matplotlib, Seaborn, Scikit-learn, Random Forest Regression, K-Means Clustering, Google Colab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