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200"/>
              <w:left w:type="dxa" w:w="200"/>
              <w:bottom w:type="dxa" w:w="200"/>
              <w:right w:type="dxa" w:w="200"/>
            </w:tcMar>
          </w:tcPr>
          <w:p>
            <w:pPr>
              <w:spacing w:after="80" w:before="200"/>
              <w:jc w:val="center"/>
            </w:pPr>
            <w:r>
              <w:rPr>
                <w:rFonts w:ascii="Arial" w:cs="Arial" w:eastAsia="Arial" w:hAnsi="Arial"/>
                <w:b/>
                <w:bCs/>
                <w:i w:val="false"/>
                <w:iCs w:val="false"/>
                <w:color w:val="FFFFFF"/>
                <w:sz w:val="52"/>
                <w:szCs w:val="52"/>
              </w:rPr>
              <w:t xml:space="preserve">PROJECT H</w:t>
            </w:r>
          </w:p>
          <w:p>
            <w:pPr>
              <w:spacing w:after="60" w:before="0"/>
              <w:jc w:val="center"/>
            </w:pPr>
            <w:r>
              <w:rPr>
                <w:rFonts w:ascii="Arial" w:cs="Arial" w:eastAsia="Arial" w:hAnsi="Arial"/>
                <w:b/>
                <w:bCs/>
                <w:i w:val="false"/>
                <w:iCs w:val="false"/>
                <w:color w:val="B0D8D8"/>
                <w:sz w:val="32"/>
                <w:szCs w:val="32"/>
              </w:rPr>
              <w:t xml:space="preserve">AI Governance Framework</w:t>
            </w:r>
          </w:p>
          <w:p>
            <w:pPr>
              <w:spacing w:after="200" w:before="0"/>
              <w:jc w:val="center"/>
            </w:pPr>
            <w:r>
              <w:rPr>
                <w:rFonts w:ascii="Arial" w:cs="Arial" w:eastAsia="Arial" w:hAnsi="Arial"/>
                <w:b w:val="false"/>
                <w:bCs w:val="false"/>
                <w:i w:val="false"/>
                <w:iCs w:val="false"/>
                <w:color w:val="7EC8C8"/>
                <w:sz w:val="22"/>
                <w:szCs w:val="22"/>
              </w:rPr>
              <w:t xml:space="preserve">Responsible AI for a Clinical Environment</w:t>
            </w:r>
          </w:p>
        </w:tc>
      </w:tr>
      <w:tr>
        <w:tc>
          <w:tcPr>
            <w:tcW w:type="dxa" w:w="9360"/>
            <w:tcBorders>
              <w:top w:val="none" w:color="FFFFFF" w:sz="0"/>
              <w:left w:val="none" w:color="FFFFFF" w:sz="0"/>
              <w:bottom w:val="none" w:color="FFFFFF" w:sz="0"/>
              <w:right w:val="none" w:color="FFFFFF" w:sz="0"/>
            </w:tcBorders>
            <w:shd w:fill="F3F4F6" w:val="clear"/>
            <w:tcMar>
              <w:top w:type="dxa" w:w="80"/>
              <w:left w:type="dxa" w:w="120"/>
              <w:bottom w:type="dxa" w:w="80"/>
              <w:right w:type="dxa" w:w="120"/>
            </w:tcMar>
          </w:tcPr>
          <w:p>
            <w:pPr>
              <w:spacing w:after="60" w:before="60"/>
              <w:jc w:val="center"/>
            </w:pPr>
            <w:r>
              <w:rPr>
                <w:rFonts w:ascii="Arial" w:cs="Arial" w:eastAsia="Arial" w:hAnsi="Arial"/>
                <w:b w:val="false"/>
                <w:bCs w:val="false"/>
                <w:i w:val="false"/>
                <w:iCs w:val="false"/>
                <w:color w:val="6B7280"/>
                <w:sz w:val="18"/>
                <w:szCs w:val="18"/>
              </w:rPr>
              <w:t xml:space="preserve">Internal Confidential  ·  Version 1.0  ·  Spectrum.Life  ·  April 2026</w:t>
            </w:r>
          </w:p>
        </w:tc>
      </w:tr>
    </w:tbl>
    <w:p>
      <w:pPr>
        <w:spacing w:after="80" w:before="0"/>
      </w:pPr>
      <w:r>
        <w:rPr>
          <w:rFonts w:ascii="Arial" w:cs="Arial" w:eastAsia="Arial" w:hAnsi="Arial"/>
          <w:b w:val="false"/>
          <w:bCs w:val="false"/>
          <w:i w:val="false"/>
          <w:iCs w:val="false"/>
          <w:color w:val="000000"/>
          <w:sz w:val="20"/>
          <w:szCs w:val="20"/>
        </w:rPr>
        <w:t xml:space="preserve"/>
      </w:r>
    </w:p>
    <w:p>
      <w:pPr>
        <w:spacing w:after="80" w:before="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0D8D8" w:sz="1"/>
              <w:left w:val="single" w:color="B0D8D8" w:sz="1"/>
              <w:bottom w:val="single" w:color="B0D8D8" w:sz="1"/>
              <w:right w:val="single" w:color="B0D8D8" w:sz="1"/>
            </w:tcBorders>
            <w:shd w:fill="E8F5F5" w:val="clear"/>
            <w:tcMar>
              <w:top w:type="dxa" w:w="80"/>
              <w:left w:type="dxa" w:w="120"/>
              <w:bottom w:type="dxa" w:w="80"/>
              <w:right w:type="dxa" w:w="120"/>
            </w:tcMar>
          </w:tcPr>
          <w:p>
            <w:pPr>
              <w:spacing w:after="40" w:before="80"/>
              <w:jc w:val="center"/>
            </w:pPr>
            <w:r>
              <w:rPr>
                <w:rFonts w:ascii="Arial" w:cs="Arial" w:eastAsia="Arial" w:hAnsi="Arial"/>
                <w:b/>
                <w:bCs/>
                <w:i w:val="false"/>
                <w:iCs w:val="false"/>
                <w:color w:val="0D7A7A"/>
                <w:sz w:val="32"/>
                <w:szCs w:val="32"/>
              </w:rPr>
              <w:t xml:space="preserve">6</w:t>
            </w:r>
          </w:p>
          <w:p>
            <w:pPr>
              <w:spacing w:after="80" w:before="0"/>
              <w:jc w:val="center"/>
            </w:pPr>
            <w:r>
              <w:rPr>
                <w:rFonts w:ascii="Arial" w:cs="Arial" w:eastAsia="Arial" w:hAnsi="Arial"/>
                <w:b w:val="false"/>
                <w:bCs w:val="false"/>
                <w:i w:val="false"/>
                <w:iCs w:val="false"/>
                <w:color w:val="6B7280"/>
                <w:sz w:val="16"/>
                <w:szCs w:val="16"/>
              </w:rPr>
              <w:t xml:space="preserve">Governing Principles</w:t>
            </w:r>
          </w:p>
        </w:tc>
        <w:tc>
          <w:tcPr>
            <w:tcW w:type="dxa" w:w="2340"/>
            <w:tcBorders>
              <w:top w:val="single" w:color="B0D8D8" w:sz="1"/>
              <w:left w:val="single" w:color="B0D8D8" w:sz="1"/>
              <w:bottom w:val="single" w:color="B0D8D8" w:sz="1"/>
              <w:right w:val="single" w:color="B0D8D8" w:sz="1"/>
            </w:tcBorders>
            <w:shd w:fill="E8F5F5" w:val="clear"/>
            <w:tcMar>
              <w:top w:type="dxa" w:w="80"/>
              <w:left w:type="dxa" w:w="120"/>
              <w:bottom w:type="dxa" w:w="80"/>
              <w:right w:type="dxa" w:w="120"/>
            </w:tcMar>
          </w:tcPr>
          <w:p>
            <w:pPr>
              <w:spacing w:after="40" w:before="80"/>
              <w:jc w:val="center"/>
            </w:pPr>
            <w:r>
              <w:rPr>
                <w:rFonts w:ascii="Arial" w:cs="Arial" w:eastAsia="Arial" w:hAnsi="Arial"/>
                <w:b/>
                <w:bCs/>
                <w:i w:val="false"/>
                <w:iCs w:val="false"/>
                <w:color w:val="0D7A7A"/>
                <w:sz w:val="32"/>
                <w:szCs w:val="32"/>
              </w:rPr>
              <w:t xml:space="preserve">4</w:t>
            </w:r>
          </w:p>
          <w:p>
            <w:pPr>
              <w:spacing w:after="80" w:before="0"/>
              <w:jc w:val="center"/>
            </w:pPr>
            <w:r>
              <w:rPr>
                <w:rFonts w:ascii="Arial" w:cs="Arial" w:eastAsia="Arial" w:hAnsi="Arial"/>
                <w:b w:val="false"/>
                <w:bCs w:val="false"/>
                <w:i w:val="false"/>
                <w:iCs w:val="false"/>
                <w:color w:val="6B7280"/>
                <w:sz w:val="16"/>
                <w:szCs w:val="16"/>
              </w:rPr>
              <w:t xml:space="preserve">Risk Tiers</w:t>
            </w:r>
          </w:p>
        </w:tc>
        <w:tc>
          <w:tcPr>
            <w:tcW w:type="dxa" w:w="2340"/>
            <w:tcBorders>
              <w:top w:val="single" w:color="B0D8D8" w:sz="1"/>
              <w:left w:val="single" w:color="B0D8D8" w:sz="1"/>
              <w:bottom w:val="single" w:color="B0D8D8" w:sz="1"/>
              <w:right w:val="single" w:color="B0D8D8" w:sz="1"/>
            </w:tcBorders>
            <w:shd w:fill="E8F5F5" w:val="clear"/>
            <w:tcMar>
              <w:top w:type="dxa" w:w="80"/>
              <w:left w:type="dxa" w:w="120"/>
              <w:bottom w:type="dxa" w:w="80"/>
              <w:right w:type="dxa" w:w="120"/>
            </w:tcMar>
          </w:tcPr>
          <w:p>
            <w:pPr>
              <w:spacing w:after="40" w:before="80"/>
              <w:jc w:val="center"/>
            </w:pPr>
            <w:r>
              <w:rPr>
                <w:rFonts w:ascii="Arial" w:cs="Arial" w:eastAsia="Arial" w:hAnsi="Arial"/>
                <w:b/>
                <w:bCs/>
                <w:i w:val="false"/>
                <w:iCs w:val="false"/>
                <w:color w:val="0D7A7A"/>
                <w:sz w:val="32"/>
                <w:szCs w:val="32"/>
              </w:rPr>
              <w:t xml:space="preserve">10</w:t>
            </w:r>
          </w:p>
          <w:p>
            <w:pPr>
              <w:spacing w:after="80" w:before="0"/>
              <w:jc w:val="center"/>
            </w:pPr>
            <w:r>
              <w:rPr>
                <w:rFonts w:ascii="Arial" w:cs="Arial" w:eastAsia="Arial" w:hAnsi="Arial"/>
                <w:b w:val="false"/>
                <w:bCs w:val="false"/>
                <w:i w:val="false"/>
                <w:iCs w:val="false"/>
                <w:color w:val="6B7280"/>
                <w:sz w:val="16"/>
                <w:szCs w:val="16"/>
              </w:rPr>
              <w:t xml:space="preserve">Sections</w:t>
            </w:r>
          </w:p>
        </w:tc>
        <w:tc>
          <w:tcPr>
            <w:tcW w:type="dxa" w:w="2340"/>
            <w:tcBorders>
              <w:top w:val="single" w:color="B0D8D8" w:sz="1"/>
              <w:left w:val="single" w:color="B0D8D8" w:sz="1"/>
              <w:bottom w:val="single" w:color="B0D8D8" w:sz="1"/>
              <w:right w:val="single" w:color="B0D8D8" w:sz="1"/>
            </w:tcBorders>
            <w:shd w:fill="E8F5F5" w:val="clear"/>
            <w:tcMar>
              <w:top w:type="dxa" w:w="80"/>
              <w:left w:type="dxa" w:w="120"/>
              <w:bottom w:type="dxa" w:w="80"/>
              <w:right w:type="dxa" w:w="120"/>
            </w:tcMar>
          </w:tcPr>
          <w:p>
            <w:pPr>
              <w:spacing w:after="40" w:before="80"/>
              <w:jc w:val="center"/>
            </w:pPr>
            <w:r>
              <w:rPr>
                <w:rFonts w:ascii="Arial" w:cs="Arial" w:eastAsia="Arial" w:hAnsi="Arial"/>
                <w:b/>
                <w:bCs/>
                <w:i w:val="false"/>
                <w:iCs w:val="false"/>
                <w:color w:val="0D7A7A"/>
                <w:sz w:val="32"/>
                <w:szCs w:val="32"/>
              </w:rPr>
              <w:t xml:space="preserve">5</w:t>
            </w:r>
          </w:p>
          <w:p>
            <w:pPr>
              <w:spacing w:after="80" w:before="0"/>
              <w:jc w:val="center"/>
            </w:pPr>
            <w:r>
              <w:rPr>
                <w:rFonts w:ascii="Arial" w:cs="Arial" w:eastAsia="Arial" w:hAnsi="Arial"/>
                <w:b w:val="false"/>
                <w:bCs w:val="false"/>
                <w:i w:val="false"/>
                <w:iCs w:val="false"/>
                <w:color w:val="6B7280"/>
                <w:sz w:val="16"/>
                <w:szCs w:val="16"/>
              </w:rPr>
              <w:t xml:space="preserve">Maturity Levels</w:t>
            </w:r>
          </w:p>
        </w:tc>
      </w:tr>
    </w:tbl>
    <w:p>
      <w:pPr>
        <w:spacing w:after="80" w:before="0"/>
      </w:pPr>
      <w:r>
        <w:rPr>
          <w:rFonts w:ascii="Arial" w:cs="Arial" w:eastAsia="Arial" w:hAnsi="Arial"/>
          <w:b w:val="false"/>
          <w:bCs w:val="false"/>
          <w:i w:val="false"/>
          <w:iCs w:val="false"/>
          <w:color w:val="000000"/>
          <w:sz w:val="20"/>
          <w:szCs w:val="20"/>
        </w:rPr>
        <w:t xml:space="preserve"/>
      </w:r>
    </w:p>
    <w:p>
      <w:pPr>
        <w:spacing w:after="80" w:before="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4"/>
              <w:left w:val="single" w:color="C9A84C" w:sz="4"/>
              <w:bottom w:val="single" w:color="C9A84C" w:sz="4"/>
              <w:right w:val="single" w:color="C9A84C" w:sz="4"/>
            </w:tcBorders>
            <w:shd w:fill="FDF8EE" w:val="clear"/>
            <w:tcMar>
              <w:top w:type="dxa" w:w="140"/>
              <w:left w:type="dxa" w:w="180"/>
              <w:bottom w:type="dxa" w:w="140"/>
              <w:right w:type="dxa" w:w="180"/>
            </w:tcMar>
          </w:tcPr>
          <w:p>
            <w:pPr>
              <w:spacing w:after="60" w:before="40"/>
            </w:pPr>
            <w:r>
              <w:rPr>
                <w:rFonts w:ascii="Arial" w:cs="Arial" w:eastAsia="Arial" w:hAnsi="Arial"/>
                <w:b/>
                <w:bCs/>
                <w:i w:val="false"/>
                <w:iCs w:val="false"/>
                <w:color w:val="0D7A7A"/>
                <w:sz w:val="20"/>
                <w:szCs w:val="20"/>
              </w:rPr>
              <w:t xml:space="preserve">Governing principle</w:t>
            </w:r>
          </w:p>
          <w:p>
            <w:pPr>
              <w:spacing w:after="40" w:before="0"/>
            </w:pPr>
            <w:r>
              <w:rPr>
                <w:rFonts w:ascii="Arial" w:cs="Arial" w:eastAsia="Arial" w:hAnsi="Arial"/>
                <w:b w:val="false"/>
                <w:bCs w:val="false"/>
                <w:i w:val="false"/>
                <w:iCs w:val="false"/>
                <w:color w:val="1B2A4A"/>
                <w:sz w:val="19"/>
                <w:szCs w:val="19"/>
              </w:rPr>
              <w:t xml:space="preserve">AI at Spectrum.Life exists to serve people — the members, the staff, and the organisation. Every governance rule in this framework exists to protect that purpose and the people it serves.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20"/>
              <w:left w:type="dxa" w:w="160"/>
              <w:bottom w:type="dxa" w:w="120"/>
              <w:right w:type="dxa" w:w="160"/>
            </w:tcMar>
          </w:tcPr>
          <w:p>
            <w:pPr>
              <w:spacing w:after="80" w:before="80"/>
              <w:jc w:val="left"/>
            </w:pPr>
            <w:r>
              <w:rPr>
                <w:rFonts w:ascii="Arial" w:cs="Arial" w:eastAsia="Arial" w:hAnsi="Arial"/>
                <w:b/>
                <w:bCs/>
                <w:i w:val="false"/>
                <w:iCs w:val="false"/>
                <w:color w:val="FFFFFF"/>
                <w:sz w:val="26"/>
                <w:szCs w:val="26"/>
              </w:rPr>
              <w:t xml:space="preserve">Section 1 — Purpose, Scope, and Context</w:t>
            </w:r>
          </w:p>
        </w:tc>
      </w:tr>
    </w:tbl>
    <w:p>
      <w:pPr>
        <w:spacing w:after="80" w:before="0"/>
      </w:pPr>
      <w:r>
        <w:rPr>
          <w:rFonts w:ascii="Arial" w:cs="Arial" w:eastAsia="Arial" w:hAnsi="Arial"/>
          <w:b w:val="false"/>
          <w:bCs w:val="false"/>
          <w:i w:val="false"/>
          <w:iCs w:val="false"/>
          <w:color w:val="000000"/>
          <w:sz w:val="20"/>
          <w:szCs w:val="20"/>
        </w:rPr>
        <w:t xml:space="preserve"/>
      </w:r>
    </w:p>
    <w:p>
      <w:pPr>
        <w:spacing w:after="60" w:before="60"/>
        <w:jc w:val="left"/>
      </w:pPr>
      <w:r>
        <w:rPr>
          <w:rFonts w:ascii="Arial" w:cs="Arial" w:eastAsia="Arial" w:hAnsi="Arial"/>
          <w:b w:val="false"/>
          <w:bCs w:val="false"/>
          <w:i w:val="false"/>
          <w:iCs w:val="false"/>
          <w:color w:val="000000"/>
          <w:sz w:val="19"/>
          <w:szCs w:val="19"/>
        </w:rPr>
        <w:t xml:space="preserve">Spectrum.Life already has world-class external AI governance. Cara is CE Class I certified, validated in a randomised controlled trial, and EU AI Act aligned. This framework brings that same standard inside — covering all internal AI use from a Case Manager's first Claude prompt to a fully autonomous Agentforce agent.</w:t>
      </w:r>
    </w:p>
    <w:p>
      <w:pPr>
        <w:spacing w:after="80" w:before="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7A7A" w:val="clear"/>
            <w:tcMar>
              <w:top w:type="dxa" w:w="120"/>
              <w:left w:type="dxa" w:w="160"/>
              <w:bottom w:type="dxa" w:w="120"/>
              <w:right w:type="dxa" w:w="160"/>
            </w:tcMar>
          </w:tcPr>
          <w:p>
            <w:pPr>
              <w:spacing w:after="80" w:before="80"/>
              <w:jc w:val="left"/>
            </w:pPr>
            <w:r>
              <w:rPr>
                <w:rFonts w:ascii="Arial" w:cs="Arial" w:eastAsia="Arial" w:hAnsi="Arial"/>
                <w:b/>
                <w:bCs/>
                <w:i w:val="false"/>
                <w:iCs w:val="false"/>
                <w:color w:val="FFFFFF"/>
                <w:sz w:val="26"/>
                <w:szCs w:val="26"/>
              </w:rPr>
              <w:t xml:space="preserve">Scope</w:t>
            </w:r>
          </w:p>
        </w:tc>
      </w:tr>
    </w:tbl>
    <w:p>
      <w:pPr>
        <w:spacing w:after="80" w:before="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spacing w:after="60" w:before="60"/>
            </w:pPr>
            <w:r>
              <w:rPr>
                <w:rFonts w:ascii="Arial" w:cs="Arial" w:eastAsia="Arial" w:hAnsi="Arial"/>
                <w:b/>
                <w:bCs/>
                <w:i w:val="false"/>
                <w:iCs w:val="false"/>
                <w:color w:val="FFFFFF"/>
                <w:sz w:val="18"/>
                <w:szCs w:val="18"/>
              </w:rPr>
              <w:t xml:space="preserve">In Scope</w:t>
            </w:r>
          </w:p>
        </w:tc>
        <w:tc>
          <w:tcPr>
            <w:tcW w:type="dxa" w:w="468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spacing w:after="60" w:before="60"/>
            </w:pPr>
            <w:r>
              <w:rPr>
                <w:rFonts w:ascii="Arial" w:cs="Arial" w:eastAsia="Arial" w:hAnsi="Arial"/>
                <w:b/>
                <w:bCs/>
                <w:i w:val="false"/>
                <w:iCs w:val="false"/>
                <w:color w:val="FFFFFF"/>
                <w:sz w:val="18"/>
                <w:szCs w:val="18"/>
              </w:rPr>
              <w:t xml:space="preserve">Out of Scope</w:t>
            </w:r>
          </w:p>
        </w:tc>
      </w:tr>
      <w:tr>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All Claude use by Spectrum.Life staff (claude.ai, Teams, API)</w:t>
            </w:r>
          </w:p>
        </w:tc>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Cara — governed under its separate clinical governance framework</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All Agentforce agent deployments in Salesforce DHOS</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Healthily AI partnership — governed under commercial agreement</w:t>
            </w:r>
          </w:p>
        </w:tc>
      </w:tr>
      <w:tr>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Any third-party AI tool adopted for internal use</w:t>
            </w:r>
          </w:p>
        </w:tc>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AI tools used by clients or members of Spectrum.Life's platform</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Prompt libraries, Claude Projects, Skills, and Artifacts</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
            </w:r>
          </w:p>
        </w:tc>
      </w:tr>
      <w:tr>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AI-generated outputs used in clinical, HR, sales, finance, governance</w:t>
            </w:r>
          </w:p>
        </w:tc>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
            </w:r>
          </w:p>
        </w:tc>
      </w:tr>
    </w:tbl>
    <w:p>
      <w:pPr>
        <w:spacing w:after="80" w:before="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c>
          <w:tcPr>
            <w:tcW w:type="dxa" w:w="28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spacing w:after="60" w:before="60"/>
            </w:pPr>
            <w:r>
              <w:rPr>
                <w:rFonts w:ascii="Arial" w:cs="Arial" w:eastAsia="Arial" w:hAnsi="Arial"/>
                <w:b/>
                <w:bCs/>
                <w:i w:val="false"/>
                <w:iCs w:val="false"/>
                <w:color w:val="FFFFFF"/>
                <w:sz w:val="18"/>
                <w:szCs w:val="18"/>
              </w:rPr>
              <w:t xml:space="preserve">Owner</w:t>
            </w:r>
          </w:p>
        </w:tc>
        <w:tc>
          <w:tcPr>
            <w:tcW w:type="dxa" w:w="24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spacing w:after="60" w:before="60"/>
            </w:pPr>
            <w:r>
              <w:rPr>
                <w:rFonts w:ascii="Arial" w:cs="Arial" w:eastAsia="Arial" w:hAnsi="Arial"/>
                <w:b/>
                <w:bCs/>
                <w:i w:val="false"/>
                <w:iCs w:val="false"/>
                <w:color w:val="FFFFFF"/>
                <w:sz w:val="18"/>
                <w:szCs w:val="18"/>
              </w:rPr>
              <w:t xml:space="preserve">Person</w:t>
            </w:r>
          </w:p>
        </w:tc>
        <w:tc>
          <w:tcPr>
            <w:tcW w:type="dxa" w:w="41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spacing w:after="60" w:before="60"/>
            </w:pPr>
            <w:r>
              <w:rPr>
                <w:rFonts w:ascii="Arial" w:cs="Arial" w:eastAsia="Arial" w:hAnsi="Arial"/>
                <w:b/>
                <w:bCs/>
                <w:i w:val="false"/>
                <w:iCs w:val="false"/>
                <w:color w:val="FFFFFF"/>
                <w:sz w:val="18"/>
                <w:szCs w:val="18"/>
              </w:rPr>
              <w:t xml:space="preserve">Responsibility</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Framework Owner</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AI Transformation Partner</w:t>
            </w:r>
          </w:p>
        </w:tc>
        <w:tc>
          <w:tcPr>
            <w:tcW w:type="dxa" w:w="4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Day-to-day governance, maintenance, incident response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Executive Sponsor</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CPO (Lynda)</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Strategic oversight, policy decisions, people AI governance</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Clinical Sign-off Authority</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CCO (Dr. Sarah O'Neill)</w:t>
            </w:r>
          </w:p>
        </w:tc>
        <w:tc>
          <w:tcPr>
            <w:tcW w:type="dxa" w:w="4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Sign-off on all Tier 4 deployments, clinical incident response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Strategic Oversight</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CEO (Stephen Costello)</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AI vision alignment, board-level reporting, major risk decisions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20"/>
              <w:left w:type="dxa" w:w="160"/>
              <w:bottom w:type="dxa" w:w="120"/>
              <w:right w:type="dxa" w:w="160"/>
            </w:tcMar>
          </w:tcPr>
          <w:p>
            <w:pPr>
              <w:spacing w:after="80" w:before="80"/>
              <w:jc w:val="left"/>
            </w:pPr>
            <w:r>
              <w:rPr>
                <w:rFonts w:ascii="Arial" w:cs="Arial" w:eastAsia="Arial" w:hAnsi="Arial"/>
                <w:b/>
                <w:bCs/>
                <w:i w:val="false"/>
                <w:iCs w:val="false"/>
                <w:color w:val="FFFFFF"/>
                <w:sz w:val="26"/>
                <w:szCs w:val="26"/>
              </w:rPr>
              <w:t xml:space="preserve">Section 2 — AI Governance Principles</w:t>
            </w:r>
          </w:p>
        </w:tc>
      </w:tr>
    </w:tbl>
    <w:p>
      <w:pPr>
        <w:spacing w:after="80" w:before="0"/>
      </w:pPr>
      <w:r>
        <w:rPr>
          <w:rFonts w:ascii="Arial" w:cs="Arial" w:eastAsia="Arial" w:hAnsi="Arial"/>
          <w:b w:val="false"/>
          <w:bCs w:val="false"/>
          <w:i w:val="false"/>
          <w:iCs w:val="false"/>
          <w:color w:val="000000"/>
          <w:sz w:val="20"/>
          <w:szCs w:val="20"/>
        </w:rPr>
        <w:t xml:space="preserve"/>
      </w:r>
    </w:p>
    <w:p>
      <w:pPr>
        <w:spacing w:after="60" w:before="60"/>
        <w:jc w:val="left"/>
      </w:pPr>
      <w:r>
        <w:rPr>
          <w:rFonts w:ascii="Arial" w:cs="Arial" w:eastAsia="Arial" w:hAnsi="Arial"/>
          <w:b w:val="false"/>
          <w:bCs w:val="false"/>
          <w:i w:val="false"/>
          <w:iCs w:val="false"/>
          <w:color w:val="000000"/>
          <w:sz w:val="19"/>
          <w:szCs w:val="19"/>
        </w:rPr>
        <w:t xml:space="preserve">Six principles govern every AI decision at Spectrum.Life. These are operational commitments — not aspirational statements.</w:t>
      </w:r>
    </w:p>
    <w:p>
      <w:pPr>
        <w:spacing w:after="80" w:before="0"/>
      </w:pPr>
      <w:r>
        <w:rPr>
          <w:rFonts w:ascii="Arial" w:cs="Arial" w:eastAsia="Arial" w:hAnsi="Arial"/>
          <w:b w:val="false"/>
          <w:bCs w:val="false"/>
          <w:i w:val="false"/>
          <w:iCs w:val="false"/>
          <w:color w:val="000000"/>
          <w:sz w:val="20"/>
          <w:szCs w:val="20"/>
        </w:rPr>
        <w:t xml:space="preserve"/>
      </w:r>
    </w:p>
    <w:p>
      <w:pPr>
        <w:spacing w:after="80" w:before="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0D7A7A" w:val="clear"/>
            <w:tcMar>
              <w:top w:type="dxa" w:w="80"/>
              <w:left w:type="dxa" w:w="120"/>
              <w:bottom w:type="dxa" w:w="80"/>
              <w:right w:type="dxa" w:w="120"/>
            </w:tcMar>
          </w:tcPr>
          <w:p>
            <w:pPr>
              <w:spacing w:after="80" w:before="80"/>
              <w:jc w:val="center"/>
            </w:pPr>
            <w:r>
              <w:rPr>
                <w:rFonts w:ascii="Arial" w:cs="Arial" w:eastAsia="Arial" w:hAnsi="Arial"/>
                <w:b/>
                <w:bCs/>
                <w:i w:val="false"/>
                <w:iCs w:val="false"/>
                <w:color w:val="FFFFFF"/>
                <w:sz w:val="26"/>
                <w:szCs w:val="26"/>
              </w:rPr>
              <w:t xml:space="preserve">P1</w:t>
            </w:r>
          </w:p>
        </w:tc>
        <w:tc>
          <w:tcPr>
            <w:tcW w:type="dxa" w:w="7920"/>
            <w:tcBorders>
              <w:top w:val="none" w:color="FFFFFF" w:sz="0"/>
              <w:left w:val="none" w:color="FFFFFF" w:sz="0"/>
              <w:bottom w:val="none" w:color="FFFFFF" w:sz="0"/>
              <w:right w:val="none" w:color="FFFFFF" w:sz="0"/>
            </w:tcBorders>
            <w:shd w:fill="E8F5F5" w:val="clear"/>
            <w:tcMar>
              <w:top w:type="dxa" w:w="100"/>
              <w:left w:type="dxa" w:w="160"/>
              <w:bottom w:type="dxa" w:w="100"/>
              <w:right w:type="dxa" w:w="120"/>
            </w:tcMar>
          </w:tcPr>
          <w:p>
            <w:pPr>
              <w:spacing w:after="20" w:before="60"/>
            </w:pPr>
            <w:r>
              <w:rPr>
                <w:rFonts w:ascii="Arial" w:cs="Arial" w:eastAsia="Arial" w:hAnsi="Arial"/>
                <w:b/>
                <w:bCs/>
                <w:i w:val="false"/>
                <w:iCs w:val="false"/>
                <w:color w:val="1B2A4A"/>
                <w:sz w:val="22"/>
                <w:szCs w:val="22"/>
              </w:rPr>
              <w:t xml:space="preserve">Human Oversight</w:t>
            </w:r>
          </w:p>
          <w:p>
            <w:pPr>
              <w:spacing w:after="60" w:before="0"/>
            </w:pPr>
            <w:r>
              <w:rPr>
                <w:rFonts w:ascii="Arial" w:cs="Arial" w:eastAsia="Arial" w:hAnsi="Arial"/>
                <w:b w:val="false"/>
                <w:bCs w:val="false"/>
                <w:i/>
                <w:iCs/>
                <w:color w:val="0D7A7A"/>
                <w:sz w:val="19"/>
                <w:szCs w:val="19"/>
              </w:rPr>
              <w:t xml:space="preserve">"A human is always responsible for every AI output that affects a person, a clinical decision, or a financial commitment."</w:t>
            </w:r>
          </w:p>
        </w:tc>
      </w:tr>
    </w:tbl>
    <w:p>
      <w:pPr>
        <w:spacing w:after="80" w:before="0"/>
      </w:pPr>
      <w:r>
        <w:rPr>
          <w:rFonts w:ascii="Arial" w:cs="Arial" w:eastAsia="Arial" w:hAnsi="Arial"/>
          <w:b w:val="false"/>
          <w:bCs w:val="false"/>
          <w:i w:val="false"/>
          <w:iCs w:val="false"/>
          <w:color w:val="000000"/>
          <w:sz w:val="20"/>
          <w:szCs w:val="20"/>
        </w:rPr>
        <w:t xml:space="preserve"/>
      </w:r>
    </w:p>
    <w:p>
      <w:pPr>
        <w:spacing w:after="60" w:before="60"/>
        <w:jc w:val="left"/>
      </w:pPr>
      <w:r>
        <w:rPr>
          <w:rFonts w:ascii="Arial" w:cs="Arial" w:eastAsia="Arial" w:hAnsi="Arial"/>
          <w:b/>
          <w:bCs/>
          <w:i w:val="false"/>
          <w:iCs w:val="false"/>
          <w:color w:val="1B2A4A"/>
          <w:sz w:val="19"/>
          <w:szCs w:val="19"/>
        </w:rPr>
        <w:t xml:space="preserve">What this means in practice:</w:t>
      </w:r>
    </w:p>
    <w:p>
      <w:pPr>
        <w:pStyle w:val="ListParagraph"/>
        <w:numPr>
          <w:ilvl w:val="0"/>
          <w:numId w:val="2"/>
        </w:numPr>
        <w:spacing w:after="40" w:before="40"/>
        <w:jc w:val="left"/>
      </w:pPr>
      <w:r>
        <w:rPr>
          <w:rFonts w:ascii="Arial" w:cs="Arial" w:eastAsia="Arial" w:hAnsi="Arial"/>
          <w:b w:val="false"/>
          <w:bCs w:val="false"/>
          <w:i w:val="false"/>
          <w:iCs w:val="false"/>
          <w:color w:val="1B2A4A"/>
          <w:sz w:val="19"/>
          <w:szCs w:val="19"/>
        </w:rPr>
        <w:t xml:space="preserve">No AI output affecting clinical care, HR decisions, or financial commitments is filed, sent, or acted upon without human review</w:t>
      </w:r>
    </w:p>
    <w:p>
      <w:pPr>
        <w:pStyle w:val="ListParagraph"/>
        <w:numPr>
          <w:ilvl w:val="0"/>
          <w:numId w:val="2"/>
        </w:numPr>
        <w:spacing w:after="40" w:before="40"/>
        <w:jc w:val="left"/>
      </w:pPr>
      <w:r>
        <w:rPr>
          <w:rFonts w:ascii="Arial" w:cs="Arial" w:eastAsia="Arial" w:hAnsi="Arial"/>
          <w:b w:val="false"/>
          <w:bCs w:val="false"/>
          <w:i w:val="false"/>
          <w:iCs w:val="false"/>
          <w:color w:val="1B2A4A"/>
          <w:sz w:val="19"/>
          <w:szCs w:val="19"/>
        </w:rPr>
        <w:t xml:space="preserve">Agentforce agents operate within defined boundaries — anything outside routes to a human automatically</w:t>
      </w:r>
    </w:p>
    <w:p>
      <w:pPr>
        <w:pStyle w:val="ListParagraph"/>
        <w:numPr>
          <w:ilvl w:val="0"/>
          <w:numId w:val="2"/>
        </w:numPr>
        <w:spacing w:after="40" w:before="40"/>
        <w:jc w:val="left"/>
      </w:pPr>
      <w:r>
        <w:rPr>
          <w:rFonts w:ascii="Arial" w:cs="Arial" w:eastAsia="Arial" w:hAnsi="Arial"/>
          <w:b w:val="false"/>
          <w:bCs w:val="false"/>
          <w:i w:val="false"/>
          <w:iCs w:val="false"/>
          <w:color w:val="1B2A4A"/>
          <w:sz w:val="19"/>
          <w:szCs w:val="19"/>
        </w:rPr>
        <w:t xml:space="preserve">Case Managers retain full clinical responsibility — Claude and Agentforce are tools, not decision-makers</w:t>
      </w:r>
    </w:p>
    <w:p>
      <w:pPr>
        <w:pStyle w:val="ListParagraph"/>
        <w:numPr>
          <w:ilvl w:val="0"/>
          <w:numId w:val="2"/>
        </w:numPr>
        <w:spacing w:after="40" w:before="40"/>
        <w:jc w:val="left"/>
      </w:pPr>
      <w:r>
        <w:rPr>
          <w:rFonts w:ascii="Arial" w:cs="Arial" w:eastAsia="Arial" w:hAnsi="Arial"/>
          <w:b w:val="false"/>
          <w:bCs w:val="false"/>
          <w:i w:val="false"/>
          <w:iCs w:val="false"/>
          <w:color w:val="1B2A4A"/>
          <w:sz w:val="19"/>
          <w:szCs w:val="19"/>
        </w:rPr>
        <w:t xml:space="preserve">Override capability is always available and using it is actively encouraged when judgement differs from AI output</w:t>
      </w:r>
    </w:p>
    <w:p>
      <w:pPr>
        <w:spacing w:after="80" w:before="0"/>
      </w:pPr>
      <w:r>
        <w:rPr>
          <w:rFonts w:ascii="Arial" w:cs="Arial" w:eastAsia="Arial" w:hAnsi="Arial"/>
          <w:b w:val="false"/>
          <w:bCs w:val="false"/>
          <w:i w:val="false"/>
          <w:iCs w:val="false"/>
          <w:color w:val="000000"/>
          <w:sz w:val="20"/>
          <w:szCs w:val="20"/>
        </w:rPr>
        <w:t xml:space="preserve"/>
      </w:r>
    </w:p>
    <w:p>
      <w:pPr>
        <w:spacing w:after="60" w:before="60"/>
        <w:jc w:val="left"/>
      </w:pPr>
      <w:r>
        <w:rPr>
          <w:rFonts w:ascii="Arial" w:cs="Arial" w:eastAsia="Arial" w:hAnsi="Arial"/>
          <w:b/>
          <w:bCs/>
          <w:i/>
          <w:iCs/>
          <w:color w:val="6B7280"/>
          <w:sz w:val="18"/>
          <w:szCs w:val="18"/>
        </w:rPr>
        <w:t xml:space="preserve">What this does not mean: </w:t>
      </w:r>
      <w:r>
        <w:rPr>
          <w:rFonts w:ascii="Arial" w:cs="Arial" w:eastAsia="Arial" w:hAnsi="Arial"/>
          <w:b w:val="false"/>
          <w:bCs w:val="false"/>
          <w:i/>
          <w:iCs/>
          <w:color w:val="6B7280"/>
          <w:sz w:val="18"/>
          <w:szCs w:val="18"/>
        </w:rPr>
        <w:t xml:space="preserve">It does not mean every Claude output needs formal sign-off. A staff member using Claude to draft an internal email does not need a reviewer. Human oversight is proportionate to the impact of the output.</w:t>
      </w:r>
    </w:p>
    <w:p>
      <w:pPr>
        <w:spacing w:after="80" w:before="0"/>
      </w:pPr>
      <w:r>
        <w:rPr>
          <w:rFonts w:ascii="Arial" w:cs="Arial" w:eastAsia="Arial" w:hAnsi="Arial"/>
          <w:b w:val="false"/>
          <w:bCs w:val="false"/>
          <w:i w:val="false"/>
          <w:iCs w:val="false"/>
          <w:color w:val="000000"/>
          <w:sz w:val="20"/>
          <w:szCs w:val="20"/>
        </w:rPr>
        <w:t xml:space="preserve"/>
      </w:r>
    </w:p>
    <w:p>
      <w:pPr>
        <w:spacing w:after="80" w:before="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0D7A7A" w:val="clear"/>
            <w:tcMar>
              <w:top w:type="dxa" w:w="80"/>
              <w:left w:type="dxa" w:w="120"/>
              <w:bottom w:type="dxa" w:w="80"/>
              <w:right w:type="dxa" w:w="120"/>
            </w:tcMar>
          </w:tcPr>
          <w:p>
            <w:pPr>
              <w:spacing w:after="80" w:before="80"/>
              <w:jc w:val="center"/>
            </w:pPr>
            <w:r>
              <w:rPr>
                <w:rFonts w:ascii="Arial" w:cs="Arial" w:eastAsia="Arial" w:hAnsi="Arial"/>
                <w:b/>
                <w:bCs/>
                <w:i w:val="false"/>
                <w:iCs w:val="false"/>
                <w:color w:val="FFFFFF"/>
                <w:sz w:val="26"/>
                <w:szCs w:val="26"/>
              </w:rPr>
              <w:t xml:space="preserve">P2</w:t>
            </w:r>
          </w:p>
        </w:tc>
        <w:tc>
          <w:tcPr>
            <w:tcW w:type="dxa" w:w="7920"/>
            <w:tcBorders>
              <w:top w:val="none" w:color="FFFFFF" w:sz="0"/>
              <w:left w:val="none" w:color="FFFFFF" w:sz="0"/>
              <w:bottom w:val="none" w:color="FFFFFF" w:sz="0"/>
              <w:right w:val="none" w:color="FFFFFF" w:sz="0"/>
            </w:tcBorders>
            <w:shd w:fill="E8F5F5" w:val="clear"/>
            <w:tcMar>
              <w:top w:type="dxa" w:w="100"/>
              <w:left w:type="dxa" w:w="160"/>
              <w:bottom w:type="dxa" w:w="100"/>
              <w:right w:type="dxa" w:w="120"/>
            </w:tcMar>
          </w:tcPr>
          <w:p>
            <w:pPr>
              <w:spacing w:after="20" w:before="60"/>
            </w:pPr>
            <w:r>
              <w:rPr>
                <w:rFonts w:ascii="Arial" w:cs="Arial" w:eastAsia="Arial" w:hAnsi="Arial"/>
                <w:b/>
                <w:bCs/>
                <w:i w:val="false"/>
                <w:iCs w:val="false"/>
                <w:color w:val="1B2A4A"/>
                <w:sz w:val="22"/>
                <w:szCs w:val="22"/>
              </w:rPr>
              <w:t xml:space="preserve">Clinical Safety First</w:t>
            </w:r>
          </w:p>
          <w:p>
            <w:pPr>
              <w:spacing w:after="60" w:before="0"/>
            </w:pPr>
            <w:r>
              <w:rPr>
                <w:rFonts w:ascii="Arial" w:cs="Arial" w:eastAsia="Arial" w:hAnsi="Arial"/>
                <w:b w:val="false"/>
                <w:bCs w:val="false"/>
                <w:i/>
                <w:iCs/>
                <w:color w:val="0D7A7A"/>
                <w:sz w:val="19"/>
                <w:szCs w:val="19"/>
              </w:rPr>
              <w:t xml:space="preserve">"In any conflict between operational efficiency and clinical safety, clinical safety wins. Always."</w:t>
            </w:r>
          </w:p>
        </w:tc>
      </w:tr>
    </w:tbl>
    <w:p>
      <w:pPr>
        <w:spacing w:after="80" w:before="0"/>
      </w:pPr>
      <w:r>
        <w:rPr>
          <w:rFonts w:ascii="Arial" w:cs="Arial" w:eastAsia="Arial" w:hAnsi="Arial"/>
          <w:b w:val="false"/>
          <w:bCs w:val="false"/>
          <w:i w:val="false"/>
          <w:iCs w:val="false"/>
          <w:color w:val="000000"/>
          <w:sz w:val="20"/>
          <w:szCs w:val="20"/>
        </w:rPr>
        <w:t xml:space="preserve"/>
      </w:r>
    </w:p>
    <w:p>
      <w:pPr>
        <w:spacing w:after="60" w:before="60"/>
        <w:jc w:val="left"/>
      </w:pPr>
      <w:r>
        <w:rPr>
          <w:rFonts w:ascii="Arial" w:cs="Arial" w:eastAsia="Arial" w:hAnsi="Arial"/>
          <w:b/>
          <w:bCs/>
          <w:i w:val="false"/>
          <w:iCs w:val="false"/>
          <w:color w:val="1B2A4A"/>
          <w:sz w:val="19"/>
          <w:szCs w:val="19"/>
        </w:rPr>
        <w:t xml:space="preserve">What this means in practice:</w:t>
      </w:r>
    </w:p>
    <w:p>
      <w:pPr>
        <w:pStyle w:val="ListParagraph"/>
        <w:numPr>
          <w:ilvl w:val="0"/>
          <w:numId w:val="2"/>
        </w:numPr>
        <w:spacing w:after="40" w:before="40"/>
        <w:jc w:val="left"/>
      </w:pPr>
      <w:r>
        <w:rPr>
          <w:rFonts w:ascii="Arial" w:cs="Arial" w:eastAsia="Arial" w:hAnsi="Arial"/>
          <w:b w:val="false"/>
          <w:bCs w:val="false"/>
          <w:i w:val="false"/>
          <w:iCs w:val="false"/>
          <w:color w:val="1B2A4A"/>
          <w:sz w:val="19"/>
          <w:szCs w:val="19"/>
        </w:rPr>
        <w:t xml:space="preserve">No automation reduces the quality or accessibility of clinical support to members</w:t>
      </w:r>
    </w:p>
    <w:p>
      <w:pPr>
        <w:pStyle w:val="ListParagraph"/>
        <w:numPr>
          <w:ilvl w:val="0"/>
          <w:numId w:val="2"/>
        </w:numPr>
        <w:spacing w:after="40" w:before="40"/>
        <w:jc w:val="left"/>
      </w:pPr>
      <w:r>
        <w:rPr>
          <w:rFonts w:ascii="Arial" w:cs="Arial" w:eastAsia="Arial" w:hAnsi="Arial"/>
          <w:b w:val="false"/>
          <w:bCs w:val="false"/>
          <w:i w:val="false"/>
          <w:iCs w:val="false"/>
          <w:color w:val="1B2A4A"/>
          <w:sz w:val="19"/>
          <w:szCs w:val="19"/>
        </w:rPr>
        <w:t xml:space="preserve">Clinical triage, risk assessment, and therapeutic judgement remain with qualified clinicians — regardless of AI capability</w:t>
      </w:r>
    </w:p>
    <w:p>
      <w:pPr>
        <w:pStyle w:val="ListParagraph"/>
        <w:numPr>
          <w:ilvl w:val="0"/>
          <w:numId w:val="2"/>
        </w:numPr>
        <w:spacing w:after="40" w:before="40"/>
        <w:jc w:val="left"/>
      </w:pPr>
      <w:r>
        <w:rPr>
          <w:rFonts w:ascii="Arial" w:cs="Arial" w:eastAsia="Arial" w:hAnsi="Arial"/>
          <w:b w:val="false"/>
          <w:bCs w:val="false"/>
          <w:i w:val="false"/>
          <w:iCs w:val="false"/>
          <w:color w:val="1B2A4A"/>
          <w:sz w:val="19"/>
          <w:szCs w:val="19"/>
        </w:rPr>
        <w:t xml:space="preserve">Any AI tool touching the member care pathway requires clinical governance sign-off before deployment</w:t>
      </w:r>
    </w:p>
    <w:p>
      <w:pPr>
        <w:pStyle w:val="ListParagraph"/>
        <w:numPr>
          <w:ilvl w:val="0"/>
          <w:numId w:val="2"/>
        </w:numPr>
        <w:spacing w:after="40" w:before="40"/>
        <w:jc w:val="left"/>
      </w:pPr>
      <w:r>
        <w:rPr>
          <w:rFonts w:ascii="Arial" w:cs="Arial" w:eastAsia="Arial" w:hAnsi="Arial"/>
          <w:b w:val="false"/>
          <w:bCs w:val="false"/>
          <w:i w:val="false"/>
          <w:iCs w:val="false"/>
          <w:color w:val="1B2A4A"/>
          <w:sz w:val="19"/>
          <w:szCs w:val="19"/>
        </w:rPr>
        <w:t xml:space="preserve">Standard question before any clinical AI deployment: If this tool fails, what happens to a member who needed help?</w:t>
      </w:r>
    </w:p>
    <w:p>
      <w:pPr>
        <w:spacing w:after="80" w:before="0"/>
      </w:pPr>
      <w:r>
        <w:rPr>
          <w:rFonts w:ascii="Arial" w:cs="Arial" w:eastAsia="Arial" w:hAnsi="Arial"/>
          <w:b w:val="false"/>
          <w:bCs w:val="false"/>
          <w:i w:val="false"/>
          <w:iCs w:val="false"/>
          <w:color w:val="000000"/>
          <w:sz w:val="20"/>
          <w:szCs w:val="20"/>
        </w:rPr>
        <w:t xml:space="preserve"/>
      </w:r>
    </w:p>
    <w:p>
      <w:pPr>
        <w:spacing w:after="80" w:before="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0D7A7A" w:val="clear"/>
            <w:tcMar>
              <w:top w:type="dxa" w:w="80"/>
              <w:left w:type="dxa" w:w="120"/>
              <w:bottom w:type="dxa" w:w="80"/>
              <w:right w:type="dxa" w:w="120"/>
            </w:tcMar>
          </w:tcPr>
          <w:p>
            <w:pPr>
              <w:spacing w:after="80" w:before="80"/>
              <w:jc w:val="center"/>
            </w:pPr>
            <w:r>
              <w:rPr>
                <w:rFonts w:ascii="Arial" w:cs="Arial" w:eastAsia="Arial" w:hAnsi="Arial"/>
                <w:b/>
                <w:bCs/>
                <w:i w:val="false"/>
                <w:iCs w:val="false"/>
                <w:color w:val="FFFFFF"/>
                <w:sz w:val="26"/>
                <w:szCs w:val="26"/>
              </w:rPr>
              <w:t xml:space="preserve">P3</w:t>
            </w:r>
          </w:p>
        </w:tc>
        <w:tc>
          <w:tcPr>
            <w:tcW w:type="dxa" w:w="7920"/>
            <w:tcBorders>
              <w:top w:val="none" w:color="FFFFFF" w:sz="0"/>
              <w:left w:val="none" w:color="FFFFFF" w:sz="0"/>
              <w:bottom w:val="none" w:color="FFFFFF" w:sz="0"/>
              <w:right w:val="none" w:color="FFFFFF" w:sz="0"/>
            </w:tcBorders>
            <w:shd w:fill="E8F5F5" w:val="clear"/>
            <w:tcMar>
              <w:top w:type="dxa" w:w="100"/>
              <w:left w:type="dxa" w:w="160"/>
              <w:bottom w:type="dxa" w:w="100"/>
              <w:right w:type="dxa" w:w="120"/>
            </w:tcMar>
          </w:tcPr>
          <w:p>
            <w:pPr>
              <w:spacing w:after="20" w:before="60"/>
            </w:pPr>
            <w:r>
              <w:rPr>
                <w:rFonts w:ascii="Arial" w:cs="Arial" w:eastAsia="Arial" w:hAnsi="Arial"/>
                <w:b/>
                <w:bCs/>
                <w:i w:val="false"/>
                <w:iCs w:val="false"/>
                <w:color w:val="1B2A4A"/>
                <w:sz w:val="22"/>
                <w:szCs w:val="22"/>
              </w:rPr>
              <w:t xml:space="preserve">Data Minimisation and Protection</w:t>
            </w:r>
          </w:p>
          <w:p>
            <w:pPr>
              <w:spacing w:after="60" w:before="0"/>
            </w:pPr>
            <w:r>
              <w:rPr>
                <w:rFonts w:ascii="Arial" w:cs="Arial" w:eastAsia="Arial" w:hAnsi="Arial"/>
                <w:b w:val="false"/>
                <w:bCs w:val="false"/>
                <w:i/>
                <w:iCs/>
                <w:color w:val="0D7A7A"/>
                <w:sz w:val="19"/>
                <w:szCs w:val="19"/>
              </w:rPr>
              <w:t xml:space="preserve">"AI tools access only the data they need to perform their specific function. No more."</w:t>
            </w:r>
          </w:p>
        </w:tc>
      </w:tr>
    </w:tbl>
    <w:p>
      <w:pPr>
        <w:spacing w:after="80" w:before="0"/>
      </w:pPr>
      <w:r>
        <w:rPr>
          <w:rFonts w:ascii="Arial" w:cs="Arial" w:eastAsia="Arial" w:hAnsi="Arial"/>
          <w:b w:val="false"/>
          <w:bCs w:val="false"/>
          <w:i w:val="false"/>
          <w:iCs w:val="false"/>
          <w:color w:val="000000"/>
          <w:sz w:val="20"/>
          <w:szCs w:val="20"/>
        </w:rPr>
        <w:t xml:space="preserve"/>
      </w:r>
    </w:p>
    <w:p>
      <w:pPr>
        <w:spacing w:after="60" w:before="60"/>
        <w:jc w:val="left"/>
      </w:pPr>
      <w:r>
        <w:rPr>
          <w:rFonts w:ascii="Arial" w:cs="Arial" w:eastAsia="Arial" w:hAnsi="Arial"/>
          <w:b/>
          <w:bCs/>
          <w:i w:val="false"/>
          <w:iCs w:val="false"/>
          <w:color w:val="1B2A4A"/>
          <w:sz w:val="19"/>
          <w:szCs w:val="19"/>
        </w:rPr>
        <w:t xml:space="preserve">What this means in practice:</w:t>
      </w:r>
    </w:p>
    <w:p>
      <w:pPr>
        <w:pStyle w:val="ListParagraph"/>
        <w:numPr>
          <w:ilvl w:val="0"/>
          <w:numId w:val="2"/>
        </w:numPr>
        <w:spacing w:after="40" w:before="40"/>
        <w:jc w:val="left"/>
      </w:pPr>
      <w:r>
        <w:rPr>
          <w:rFonts w:ascii="Arial" w:cs="Arial" w:eastAsia="Arial" w:hAnsi="Arial"/>
          <w:b w:val="false"/>
          <w:bCs w:val="false"/>
          <w:i w:val="false"/>
          <w:iCs w:val="false"/>
          <w:color w:val="1B2A4A"/>
          <w:sz w:val="19"/>
          <w:szCs w:val="19"/>
        </w:rPr>
        <w:t xml:space="preserve">GDPR Article 9 governs all AI interactions involving member health information</w:t>
      </w:r>
    </w:p>
    <w:p>
      <w:pPr>
        <w:pStyle w:val="ListParagraph"/>
        <w:numPr>
          <w:ilvl w:val="0"/>
          <w:numId w:val="2"/>
        </w:numPr>
        <w:spacing w:after="40" w:before="40"/>
        <w:jc w:val="left"/>
      </w:pPr>
      <w:r>
        <w:rPr>
          <w:rFonts w:ascii="Arial" w:cs="Arial" w:eastAsia="Arial" w:hAnsi="Arial"/>
          <w:b w:val="false"/>
          <w:bCs w:val="false"/>
          <w:i w:val="false"/>
          <w:iCs w:val="false"/>
          <w:color w:val="1B2A4A"/>
          <w:sz w:val="19"/>
          <w:szCs w:val="19"/>
        </w:rPr>
        <w:t xml:space="preserve">Prompts sent to Claude contain minimum data required — never identifiable member information without confirmed DPA</w:t>
      </w:r>
    </w:p>
    <w:p>
      <w:pPr>
        <w:pStyle w:val="ListParagraph"/>
        <w:numPr>
          <w:ilvl w:val="0"/>
          <w:numId w:val="2"/>
        </w:numPr>
        <w:spacing w:after="40" w:before="40"/>
        <w:jc w:val="left"/>
      </w:pPr>
      <w:r>
        <w:rPr>
          <w:rFonts w:ascii="Arial" w:cs="Arial" w:eastAsia="Arial" w:hAnsi="Arial"/>
          <w:b w:val="false"/>
          <w:bCs w:val="false"/>
          <w:i w:val="false"/>
          <w:iCs w:val="false"/>
          <w:color w:val="1B2A4A"/>
          <w:sz w:val="19"/>
          <w:szCs w:val="19"/>
        </w:rPr>
        <w:t xml:space="preserve">Agentforce agents configured with minimum Salesforce permissions for their specific function</w:t>
      </w:r>
    </w:p>
    <w:p>
      <w:pPr>
        <w:pStyle w:val="ListParagraph"/>
        <w:numPr>
          <w:ilvl w:val="0"/>
          <w:numId w:val="2"/>
        </w:numPr>
        <w:spacing w:after="40" w:before="40"/>
        <w:jc w:val="left"/>
      </w:pPr>
      <w:r>
        <w:rPr>
          <w:rFonts w:ascii="Arial" w:cs="Arial" w:eastAsia="Arial" w:hAnsi="Arial"/>
          <w:b w:val="false"/>
          <w:bCs w:val="false"/>
          <w:i w:val="false"/>
          <w:iCs w:val="false"/>
          <w:color w:val="1B2A4A"/>
          <w:sz w:val="19"/>
          <w:szCs w:val="19"/>
        </w:rPr>
        <w:t xml:space="preserve">Data passed to external AI APIs subject to confirmed Data Processing Agreements before any deployment</w:t>
      </w:r>
    </w:p>
    <w:p>
      <w:pPr>
        <w:pStyle w:val="ListParagraph"/>
        <w:numPr>
          <w:ilvl w:val="0"/>
          <w:numId w:val="2"/>
        </w:numPr>
        <w:spacing w:after="40" w:before="40"/>
        <w:jc w:val="left"/>
      </w:pPr>
      <w:r>
        <w:rPr>
          <w:rFonts w:ascii="Arial" w:cs="Arial" w:eastAsia="Arial" w:hAnsi="Arial"/>
          <w:b w:val="false"/>
          <w:bCs w:val="false"/>
          <w:i w:val="false"/>
          <w:iCs w:val="false"/>
          <w:color w:val="1B2A4A"/>
          <w:sz w:val="19"/>
          <w:szCs w:val="19"/>
        </w:rPr>
        <w:t xml:space="preserve">Staff trained on what data can and cannot go into Claude — and why</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0D7A7A" w:val="clear"/>
            <w:tcMar>
              <w:top w:type="dxa" w:w="80"/>
              <w:left w:type="dxa" w:w="120"/>
              <w:bottom w:type="dxa" w:w="80"/>
              <w:right w:type="dxa" w:w="120"/>
            </w:tcMar>
          </w:tcPr>
          <w:p>
            <w:pPr>
              <w:spacing w:after="80" w:before="80"/>
              <w:jc w:val="center"/>
            </w:pPr>
            <w:r>
              <w:rPr>
                <w:rFonts w:ascii="Arial" w:cs="Arial" w:eastAsia="Arial" w:hAnsi="Arial"/>
                <w:b/>
                <w:bCs/>
                <w:i w:val="false"/>
                <w:iCs w:val="false"/>
                <w:color w:val="FFFFFF"/>
                <w:sz w:val="26"/>
                <w:szCs w:val="26"/>
              </w:rPr>
              <w:t xml:space="preserve">P4</w:t>
            </w:r>
          </w:p>
        </w:tc>
        <w:tc>
          <w:tcPr>
            <w:tcW w:type="dxa" w:w="7920"/>
            <w:tcBorders>
              <w:top w:val="none" w:color="FFFFFF" w:sz="0"/>
              <w:left w:val="none" w:color="FFFFFF" w:sz="0"/>
              <w:bottom w:val="none" w:color="FFFFFF" w:sz="0"/>
              <w:right w:val="none" w:color="FFFFFF" w:sz="0"/>
            </w:tcBorders>
            <w:shd w:fill="E8F5F5" w:val="clear"/>
            <w:tcMar>
              <w:top w:type="dxa" w:w="100"/>
              <w:left w:type="dxa" w:w="160"/>
              <w:bottom w:type="dxa" w:w="100"/>
              <w:right w:type="dxa" w:w="120"/>
            </w:tcMar>
          </w:tcPr>
          <w:p>
            <w:pPr>
              <w:spacing w:after="20" w:before="60"/>
            </w:pPr>
            <w:r>
              <w:rPr>
                <w:rFonts w:ascii="Arial" w:cs="Arial" w:eastAsia="Arial" w:hAnsi="Arial"/>
                <w:b/>
                <w:bCs/>
                <w:i w:val="false"/>
                <w:iCs w:val="false"/>
                <w:color w:val="1B2A4A"/>
                <w:sz w:val="22"/>
                <w:szCs w:val="22"/>
              </w:rPr>
              <w:t xml:space="preserve">Transparency</w:t>
            </w:r>
          </w:p>
          <w:p>
            <w:pPr>
              <w:spacing w:after="60" w:before="0"/>
            </w:pPr>
            <w:r>
              <w:rPr>
                <w:rFonts w:ascii="Arial" w:cs="Arial" w:eastAsia="Arial" w:hAnsi="Arial"/>
                <w:b w:val="false"/>
                <w:bCs w:val="false"/>
                <w:i/>
                <w:iCs/>
                <w:color w:val="0D7A7A"/>
                <w:sz w:val="19"/>
                <w:szCs w:val="19"/>
              </w:rPr>
              <w:t xml:space="preserve">"Staff know when AI is involved in a process. Members know when AI is involved in their care pathway."</w:t>
            </w:r>
          </w:p>
        </w:tc>
      </w:tr>
    </w:tbl>
    <w:p>
      <w:pPr>
        <w:spacing w:after="80" w:before="0"/>
      </w:pPr>
      <w:r>
        <w:rPr>
          <w:rFonts w:ascii="Arial" w:cs="Arial" w:eastAsia="Arial" w:hAnsi="Arial"/>
          <w:b w:val="false"/>
          <w:bCs w:val="false"/>
          <w:i w:val="false"/>
          <w:iCs w:val="false"/>
          <w:color w:val="000000"/>
          <w:sz w:val="20"/>
          <w:szCs w:val="20"/>
        </w:rPr>
        <w:t xml:space="preserve"/>
      </w:r>
    </w:p>
    <w:p>
      <w:pPr>
        <w:spacing w:after="60" w:before="60"/>
        <w:jc w:val="left"/>
      </w:pPr>
      <w:r>
        <w:rPr>
          <w:rFonts w:ascii="Arial" w:cs="Arial" w:eastAsia="Arial" w:hAnsi="Arial"/>
          <w:b/>
          <w:bCs/>
          <w:i w:val="false"/>
          <w:iCs w:val="false"/>
          <w:color w:val="1B2A4A"/>
          <w:sz w:val="19"/>
          <w:szCs w:val="19"/>
        </w:rPr>
        <w:t xml:space="preserve">What this means in practice:</w:t>
      </w:r>
    </w:p>
    <w:p>
      <w:pPr>
        <w:pStyle w:val="ListParagraph"/>
        <w:numPr>
          <w:ilvl w:val="0"/>
          <w:numId w:val="2"/>
        </w:numPr>
        <w:spacing w:after="40" w:before="40"/>
        <w:jc w:val="left"/>
      </w:pPr>
      <w:r>
        <w:rPr>
          <w:rFonts w:ascii="Arial" w:cs="Arial" w:eastAsia="Arial" w:hAnsi="Arial"/>
          <w:b w:val="false"/>
          <w:bCs w:val="false"/>
          <w:i w:val="false"/>
          <w:iCs w:val="false"/>
          <w:color w:val="1B2A4A"/>
          <w:sz w:val="19"/>
          <w:szCs w:val="19"/>
        </w:rPr>
        <w:t xml:space="preserve">Staff are informed when a process they interact with involves AI-generated outputs</w:t>
      </w:r>
    </w:p>
    <w:p>
      <w:pPr>
        <w:pStyle w:val="ListParagraph"/>
        <w:numPr>
          <w:ilvl w:val="0"/>
          <w:numId w:val="2"/>
        </w:numPr>
        <w:spacing w:after="40" w:before="40"/>
        <w:jc w:val="left"/>
      </w:pPr>
      <w:r>
        <w:rPr>
          <w:rFonts w:ascii="Arial" w:cs="Arial" w:eastAsia="Arial" w:hAnsi="Arial"/>
          <w:b w:val="false"/>
          <w:bCs w:val="false"/>
          <w:i w:val="false"/>
          <w:iCs w:val="false"/>
          <w:color w:val="1B2A4A"/>
          <w:sz w:val="19"/>
          <w:szCs w:val="19"/>
        </w:rPr>
        <w:t xml:space="preserve">Members are informed when AI plays a role in their EAP journey — consistent with Cara's transparency standards</w:t>
      </w:r>
    </w:p>
    <w:p>
      <w:pPr>
        <w:pStyle w:val="ListParagraph"/>
        <w:numPr>
          <w:ilvl w:val="0"/>
          <w:numId w:val="2"/>
        </w:numPr>
        <w:spacing w:after="40" w:before="40"/>
        <w:jc w:val="left"/>
      </w:pPr>
      <w:r>
        <w:rPr>
          <w:rFonts w:ascii="Arial" w:cs="Arial" w:eastAsia="Arial" w:hAnsi="Arial"/>
          <w:b w:val="false"/>
          <w:bCs w:val="false"/>
          <w:i w:val="false"/>
          <w:iCs w:val="false"/>
          <w:color w:val="1B2A4A"/>
          <w:sz w:val="19"/>
          <w:szCs w:val="19"/>
        </w:rPr>
        <w:t xml:space="preserve">AI-generated documents, reports, and communications are flagged as such in Salesforce — not hidden</w:t>
      </w:r>
    </w:p>
    <w:p>
      <w:pPr>
        <w:pStyle w:val="ListParagraph"/>
        <w:numPr>
          <w:ilvl w:val="0"/>
          <w:numId w:val="2"/>
        </w:numPr>
        <w:spacing w:after="40" w:before="40"/>
        <w:jc w:val="left"/>
      </w:pPr>
      <w:r>
        <w:rPr>
          <w:rFonts w:ascii="Arial" w:cs="Arial" w:eastAsia="Arial" w:hAnsi="Arial"/>
          <w:b w:val="false"/>
          <w:bCs w:val="false"/>
          <w:i w:val="false"/>
          <w:iCs w:val="false"/>
          <w:color w:val="1B2A4A"/>
          <w:sz w:val="19"/>
          <w:szCs w:val="19"/>
        </w:rPr>
        <w:t xml:space="preserve">The organisation can answer at any time: which AI tools are in use, doing what, with whose data?</w:t>
      </w:r>
    </w:p>
    <w:p>
      <w:pPr>
        <w:spacing w:after="80" w:before="0"/>
      </w:pPr>
      <w:r>
        <w:rPr>
          <w:rFonts w:ascii="Arial" w:cs="Arial" w:eastAsia="Arial" w:hAnsi="Arial"/>
          <w:b w:val="false"/>
          <w:bCs w:val="false"/>
          <w:i w:val="false"/>
          <w:iCs w:val="false"/>
          <w:color w:val="000000"/>
          <w:sz w:val="20"/>
          <w:szCs w:val="20"/>
        </w:rPr>
        <w:t xml:space="preserve"/>
      </w:r>
    </w:p>
    <w:p>
      <w:pPr>
        <w:spacing w:after="80" w:before="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0D7A7A" w:val="clear"/>
            <w:tcMar>
              <w:top w:type="dxa" w:w="80"/>
              <w:left w:type="dxa" w:w="120"/>
              <w:bottom w:type="dxa" w:w="80"/>
              <w:right w:type="dxa" w:w="120"/>
            </w:tcMar>
          </w:tcPr>
          <w:p>
            <w:pPr>
              <w:spacing w:after="80" w:before="80"/>
              <w:jc w:val="center"/>
            </w:pPr>
            <w:r>
              <w:rPr>
                <w:rFonts w:ascii="Arial" w:cs="Arial" w:eastAsia="Arial" w:hAnsi="Arial"/>
                <w:b/>
                <w:bCs/>
                <w:i w:val="false"/>
                <w:iCs w:val="false"/>
                <w:color w:val="FFFFFF"/>
                <w:sz w:val="26"/>
                <w:szCs w:val="26"/>
              </w:rPr>
              <w:t xml:space="preserve">P5</w:t>
            </w:r>
          </w:p>
        </w:tc>
        <w:tc>
          <w:tcPr>
            <w:tcW w:type="dxa" w:w="7920"/>
            <w:tcBorders>
              <w:top w:val="none" w:color="FFFFFF" w:sz="0"/>
              <w:left w:val="none" w:color="FFFFFF" w:sz="0"/>
              <w:bottom w:val="none" w:color="FFFFFF" w:sz="0"/>
              <w:right w:val="none" w:color="FFFFFF" w:sz="0"/>
            </w:tcBorders>
            <w:shd w:fill="E8F5F5" w:val="clear"/>
            <w:tcMar>
              <w:top w:type="dxa" w:w="100"/>
              <w:left w:type="dxa" w:w="160"/>
              <w:bottom w:type="dxa" w:w="100"/>
              <w:right w:type="dxa" w:w="120"/>
            </w:tcMar>
          </w:tcPr>
          <w:p>
            <w:pPr>
              <w:spacing w:after="20" w:before="60"/>
            </w:pPr>
            <w:r>
              <w:rPr>
                <w:rFonts w:ascii="Arial" w:cs="Arial" w:eastAsia="Arial" w:hAnsi="Arial"/>
                <w:b/>
                <w:bCs/>
                <w:i w:val="false"/>
                <w:iCs w:val="false"/>
                <w:color w:val="1B2A4A"/>
                <w:sz w:val="22"/>
                <w:szCs w:val="22"/>
              </w:rPr>
              <w:t xml:space="preserve">Accountability</w:t>
            </w:r>
          </w:p>
          <w:p>
            <w:pPr>
              <w:spacing w:after="60" w:before="0"/>
            </w:pPr>
            <w:r>
              <w:rPr>
                <w:rFonts w:ascii="Arial" w:cs="Arial" w:eastAsia="Arial" w:hAnsi="Arial"/>
                <w:b w:val="false"/>
                <w:bCs w:val="false"/>
                <w:i/>
                <w:iCs/>
                <w:color w:val="0D7A7A"/>
                <w:sz w:val="19"/>
                <w:szCs w:val="19"/>
              </w:rPr>
              <w:t xml:space="preserve">"Every AI deployment has a named owner. When something goes wrong, there is no ambiguity about who is responsible."</w:t>
            </w:r>
          </w:p>
        </w:tc>
      </w:tr>
    </w:tbl>
    <w:p>
      <w:pPr>
        <w:spacing w:after="80" w:before="0"/>
      </w:pPr>
      <w:r>
        <w:rPr>
          <w:rFonts w:ascii="Arial" w:cs="Arial" w:eastAsia="Arial" w:hAnsi="Arial"/>
          <w:b w:val="false"/>
          <w:bCs w:val="false"/>
          <w:i w:val="false"/>
          <w:iCs w:val="false"/>
          <w:color w:val="000000"/>
          <w:sz w:val="20"/>
          <w:szCs w:val="20"/>
        </w:rPr>
        <w:t xml:space="preserve"/>
      </w:r>
    </w:p>
    <w:p>
      <w:pPr>
        <w:spacing w:after="60" w:before="60"/>
        <w:jc w:val="left"/>
      </w:pPr>
      <w:r>
        <w:rPr>
          <w:rFonts w:ascii="Arial" w:cs="Arial" w:eastAsia="Arial" w:hAnsi="Arial"/>
          <w:b/>
          <w:bCs/>
          <w:i w:val="false"/>
          <w:iCs w:val="false"/>
          <w:color w:val="1B2A4A"/>
          <w:sz w:val="19"/>
          <w:szCs w:val="19"/>
        </w:rPr>
        <w:t xml:space="preserve">What this means in practice:</w:t>
      </w:r>
    </w:p>
    <w:p>
      <w:pPr>
        <w:pStyle w:val="ListParagraph"/>
        <w:numPr>
          <w:ilvl w:val="0"/>
          <w:numId w:val="2"/>
        </w:numPr>
        <w:spacing w:after="40" w:before="40"/>
        <w:jc w:val="left"/>
      </w:pPr>
      <w:r>
        <w:rPr>
          <w:rFonts w:ascii="Arial" w:cs="Arial" w:eastAsia="Arial" w:hAnsi="Arial"/>
          <w:b w:val="false"/>
          <w:bCs w:val="false"/>
          <w:i w:val="false"/>
          <w:iCs w:val="false"/>
          <w:color w:val="1B2A4A"/>
          <w:sz w:val="19"/>
          <w:szCs w:val="19"/>
        </w:rPr>
        <w:t xml:space="preserve">Every Claude Project, Agentforce agent, and AI tool has a named Business Owner and Technical Owner</w:t>
      </w:r>
    </w:p>
    <w:p>
      <w:pPr>
        <w:pStyle w:val="ListParagraph"/>
        <w:numPr>
          <w:ilvl w:val="0"/>
          <w:numId w:val="2"/>
        </w:numPr>
        <w:spacing w:after="40" w:before="40"/>
        <w:jc w:val="left"/>
      </w:pPr>
      <w:r>
        <w:rPr>
          <w:rFonts w:ascii="Arial" w:cs="Arial" w:eastAsia="Arial" w:hAnsi="Arial"/>
          <w:b w:val="false"/>
          <w:bCs w:val="false"/>
          <w:i w:val="false"/>
          <w:iCs w:val="false"/>
          <w:color w:val="1B2A4A"/>
          <w:sz w:val="19"/>
          <w:szCs w:val="19"/>
        </w:rPr>
        <w:t xml:space="preserve">The AI Transformation Partner is accountable for the framework and its implementation</w:t>
      </w:r>
    </w:p>
    <w:p>
      <w:pPr>
        <w:pStyle w:val="ListParagraph"/>
        <w:numPr>
          <w:ilvl w:val="0"/>
          <w:numId w:val="2"/>
        </w:numPr>
        <w:spacing w:after="40" w:before="40"/>
        <w:jc w:val="left"/>
      </w:pPr>
      <w:r>
        <w:rPr>
          <w:rFonts w:ascii="Arial" w:cs="Arial" w:eastAsia="Arial" w:hAnsi="Arial"/>
          <w:b w:val="false"/>
          <w:bCs w:val="false"/>
          <w:i w:val="false"/>
          <w:iCs w:val="false"/>
          <w:color w:val="1B2A4A"/>
          <w:sz w:val="19"/>
          <w:szCs w:val="19"/>
        </w:rPr>
        <w:t xml:space="preserve">The CCO is accountable for any AI use in the clinical care pathway</w:t>
      </w:r>
    </w:p>
    <w:p>
      <w:pPr>
        <w:pStyle w:val="ListParagraph"/>
        <w:numPr>
          <w:ilvl w:val="0"/>
          <w:numId w:val="2"/>
        </w:numPr>
        <w:spacing w:after="40" w:before="40"/>
        <w:jc w:val="left"/>
      </w:pPr>
      <w:r>
        <w:rPr>
          <w:rFonts w:ascii="Arial" w:cs="Arial" w:eastAsia="Arial" w:hAnsi="Arial"/>
          <w:b w:val="false"/>
          <w:bCs w:val="false"/>
          <w:i w:val="false"/>
          <w:iCs w:val="false"/>
          <w:color w:val="1B2A4A"/>
          <w:sz w:val="19"/>
          <w:szCs w:val="19"/>
        </w:rPr>
        <w:t xml:space="preserve">Accountability does not transfer to the AI — it remains with the person who deployed and approved the tool</w:t>
      </w:r>
    </w:p>
    <w:p>
      <w:pPr>
        <w:spacing w:after="80" w:before="0"/>
      </w:pPr>
      <w:r>
        <w:rPr>
          <w:rFonts w:ascii="Arial" w:cs="Arial" w:eastAsia="Arial" w:hAnsi="Arial"/>
          <w:b w:val="false"/>
          <w:bCs w:val="false"/>
          <w:i w:val="false"/>
          <w:iCs w:val="false"/>
          <w:color w:val="000000"/>
          <w:sz w:val="20"/>
          <w:szCs w:val="20"/>
        </w:rPr>
        <w:t xml:space="preserve"/>
      </w:r>
    </w:p>
    <w:p>
      <w:pPr>
        <w:spacing w:after="80" w:before="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7920"/>
      </w:tblGrid>
      <w:tr>
        <w:tc>
          <w:tcPr>
            <w:tcW w:type="dxa" w:w="1440"/>
            <w:tcBorders>
              <w:top w:val="none" w:color="FFFFFF" w:sz="0"/>
              <w:left w:val="none" w:color="FFFFFF" w:sz="0"/>
              <w:bottom w:val="none" w:color="FFFFFF" w:sz="0"/>
              <w:right w:val="none" w:color="FFFFFF" w:sz="0"/>
            </w:tcBorders>
            <w:shd w:fill="0D7A7A" w:val="clear"/>
            <w:tcMar>
              <w:top w:type="dxa" w:w="80"/>
              <w:left w:type="dxa" w:w="120"/>
              <w:bottom w:type="dxa" w:w="80"/>
              <w:right w:type="dxa" w:w="120"/>
            </w:tcMar>
          </w:tcPr>
          <w:p>
            <w:pPr>
              <w:spacing w:after="80" w:before="80"/>
              <w:jc w:val="center"/>
            </w:pPr>
            <w:r>
              <w:rPr>
                <w:rFonts w:ascii="Arial" w:cs="Arial" w:eastAsia="Arial" w:hAnsi="Arial"/>
                <w:b/>
                <w:bCs/>
                <w:i w:val="false"/>
                <w:iCs w:val="false"/>
                <w:color w:val="FFFFFF"/>
                <w:sz w:val="26"/>
                <w:szCs w:val="26"/>
              </w:rPr>
              <w:t xml:space="preserve">P6</w:t>
            </w:r>
          </w:p>
        </w:tc>
        <w:tc>
          <w:tcPr>
            <w:tcW w:type="dxa" w:w="7920"/>
            <w:tcBorders>
              <w:top w:val="none" w:color="FFFFFF" w:sz="0"/>
              <w:left w:val="none" w:color="FFFFFF" w:sz="0"/>
              <w:bottom w:val="none" w:color="FFFFFF" w:sz="0"/>
              <w:right w:val="none" w:color="FFFFFF" w:sz="0"/>
            </w:tcBorders>
            <w:shd w:fill="E8F5F5" w:val="clear"/>
            <w:tcMar>
              <w:top w:type="dxa" w:w="100"/>
              <w:left w:type="dxa" w:w="160"/>
              <w:bottom w:type="dxa" w:w="100"/>
              <w:right w:type="dxa" w:w="120"/>
            </w:tcMar>
          </w:tcPr>
          <w:p>
            <w:pPr>
              <w:spacing w:after="20" w:before="60"/>
            </w:pPr>
            <w:r>
              <w:rPr>
                <w:rFonts w:ascii="Arial" w:cs="Arial" w:eastAsia="Arial" w:hAnsi="Arial"/>
                <w:b/>
                <w:bCs/>
                <w:i w:val="false"/>
                <w:iCs w:val="false"/>
                <w:color w:val="1B2A4A"/>
                <w:sz w:val="22"/>
                <w:szCs w:val="22"/>
              </w:rPr>
              <w:t xml:space="preserve">Continuous Improvement</w:t>
            </w:r>
          </w:p>
          <w:p>
            <w:pPr>
              <w:spacing w:after="60" w:before="0"/>
            </w:pPr>
            <w:r>
              <w:rPr>
                <w:rFonts w:ascii="Arial" w:cs="Arial" w:eastAsia="Arial" w:hAnsi="Arial"/>
                <w:b w:val="false"/>
                <w:bCs w:val="false"/>
                <w:i/>
                <w:iCs/>
                <w:color w:val="0D7A7A"/>
                <w:sz w:val="19"/>
                <w:szCs w:val="19"/>
              </w:rPr>
              <w:t xml:space="preserve">"AI governance at Spectrum.Life improves as the AI landscape evolves. The framework is a living document, not a filed policy."</w:t>
            </w:r>
          </w:p>
        </w:tc>
      </w:tr>
    </w:tbl>
    <w:p>
      <w:pPr>
        <w:spacing w:after="80" w:before="0"/>
      </w:pPr>
      <w:r>
        <w:rPr>
          <w:rFonts w:ascii="Arial" w:cs="Arial" w:eastAsia="Arial" w:hAnsi="Arial"/>
          <w:b w:val="false"/>
          <w:bCs w:val="false"/>
          <w:i w:val="false"/>
          <w:iCs w:val="false"/>
          <w:color w:val="000000"/>
          <w:sz w:val="20"/>
          <w:szCs w:val="20"/>
        </w:rPr>
        <w:t xml:space="preserve"/>
      </w:r>
    </w:p>
    <w:p>
      <w:pPr>
        <w:spacing w:after="60" w:before="60"/>
        <w:jc w:val="left"/>
      </w:pPr>
      <w:r>
        <w:rPr>
          <w:rFonts w:ascii="Arial" w:cs="Arial" w:eastAsia="Arial" w:hAnsi="Arial"/>
          <w:b/>
          <w:bCs/>
          <w:i w:val="false"/>
          <w:iCs w:val="false"/>
          <w:color w:val="1B2A4A"/>
          <w:sz w:val="19"/>
          <w:szCs w:val="19"/>
        </w:rPr>
        <w:t xml:space="preserve">What this means in practice:</w:t>
      </w:r>
    </w:p>
    <w:p>
      <w:pPr>
        <w:pStyle w:val="ListParagraph"/>
        <w:numPr>
          <w:ilvl w:val="0"/>
          <w:numId w:val="2"/>
        </w:numPr>
        <w:spacing w:after="40" w:before="40"/>
        <w:jc w:val="left"/>
      </w:pPr>
      <w:r>
        <w:rPr>
          <w:rFonts w:ascii="Arial" w:cs="Arial" w:eastAsia="Arial" w:hAnsi="Arial"/>
          <w:b w:val="false"/>
          <w:bCs w:val="false"/>
          <w:i w:val="false"/>
          <w:iCs w:val="false"/>
          <w:color w:val="1B2A4A"/>
          <w:sz w:val="19"/>
          <w:szCs w:val="19"/>
        </w:rPr>
        <w:t xml:space="preserve">Quarterly reviews assess what is working and what needs updating</w:t>
      </w:r>
    </w:p>
    <w:p>
      <w:pPr>
        <w:pStyle w:val="ListParagraph"/>
        <w:numPr>
          <w:ilvl w:val="0"/>
          <w:numId w:val="2"/>
        </w:numPr>
        <w:spacing w:after="40" w:before="40"/>
        <w:jc w:val="left"/>
      </w:pPr>
      <w:r>
        <w:rPr>
          <w:rFonts w:ascii="Arial" w:cs="Arial" w:eastAsia="Arial" w:hAnsi="Arial"/>
          <w:b w:val="false"/>
          <w:bCs w:val="false"/>
          <w:i w:val="false"/>
          <w:iCs w:val="false"/>
          <w:color w:val="1B2A4A"/>
          <w:sz w:val="19"/>
          <w:szCs w:val="19"/>
        </w:rPr>
        <w:t xml:space="preserve">Every AI incident generates a lessons learned — framework updated accordingly</w:t>
      </w:r>
    </w:p>
    <w:p>
      <w:pPr>
        <w:pStyle w:val="ListParagraph"/>
        <w:numPr>
          <w:ilvl w:val="0"/>
          <w:numId w:val="2"/>
        </w:numPr>
        <w:spacing w:after="40" w:before="40"/>
        <w:jc w:val="left"/>
      </w:pPr>
      <w:r>
        <w:rPr>
          <w:rFonts w:ascii="Arial" w:cs="Arial" w:eastAsia="Arial" w:hAnsi="Arial"/>
          <w:b w:val="false"/>
          <w:bCs w:val="false"/>
          <w:i w:val="false"/>
          <w:iCs w:val="false"/>
          <w:color w:val="1B2A4A"/>
          <w:sz w:val="19"/>
          <w:szCs w:val="19"/>
        </w:rPr>
        <w:t xml:space="preserve">Prompt libraries are version-controlled and improved based on output quality monitoring</w:t>
      </w:r>
    </w:p>
    <w:p>
      <w:pPr>
        <w:pStyle w:val="ListParagraph"/>
        <w:numPr>
          <w:ilvl w:val="0"/>
          <w:numId w:val="2"/>
        </w:numPr>
        <w:spacing w:after="40" w:before="40"/>
        <w:jc w:val="left"/>
      </w:pPr>
      <w:r>
        <w:rPr>
          <w:rFonts w:ascii="Arial" w:cs="Arial" w:eastAsia="Arial" w:hAnsi="Arial"/>
          <w:b w:val="false"/>
          <w:bCs w:val="false"/>
          <w:i w:val="false"/>
          <w:iCs w:val="false"/>
          <w:color w:val="1B2A4A"/>
          <w:sz w:val="19"/>
          <w:szCs w:val="19"/>
        </w:rPr>
        <w:t xml:space="preserve">The Maturity Roadmap (Section 10) tracks governance development over time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20"/>
              <w:left w:type="dxa" w:w="160"/>
              <w:bottom w:type="dxa" w:w="120"/>
              <w:right w:type="dxa" w:w="160"/>
            </w:tcMar>
          </w:tcPr>
          <w:p>
            <w:pPr>
              <w:spacing w:after="80" w:before="80"/>
              <w:jc w:val="left"/>
            </w:pPr>
            <w:r>
              <w:rPr>
                <w:rFonts w:ascii="Arial" w:cs="Arial" w:eastAsia="Arial" w:hAnsi="Arial"/>
                <w:b/>
                <w:bCs/>
                <w:i w:val="false"/>
                <w:iCs w:val="false"/>
                <w:color w:val="FFFFFF"/>
                <w:sz w:val="26"/>
                <w:szCs w:val="26"/>
              </w:rPr>
              <w:t xml:space="preserve">Section 3 — AI Risk Classification</w:t>
            </w:r>
          </w:p>
        </w:tc>
      </w:tr>
    </w:tbl>
    <w:p>
      <w:pPr>
        <w:spacing w:after="80" w:before="0"/>
      </w:pPr>
      <w:r>
        <w:rPr>
          <w:rFonts w:ascii="Arial" w:cs="Arial" w:eastAsia="Arial" w:hAnsi="Arial"/>
          <w:b w:val="false"/>
          <w:bCs w:val="false"/>
          <w:i w:val="false"/>
          <w:iCs w:val="false"/>
          <w:color w:val="000000"/>
          <w:sz w:val="20"/>
          <w:szCs w:val="20"/>
        </w:rPr>
        <w:t xml:space="preserve"/>
      </w:r>
    </w:p>
    <w:p>
      <w:pPr>
        <w:spacing w:after="60" w:before="60"/>
        <w:jc w:val="left"/>
      </w:pPr>
      <w:r>
        <w:rPr>
          <w:rFonts w:ascii="Arial" w:cs="Arial" w:eastAsia="Arial" w:hAnsi="Arial"/>
          <w:b w:val="false"/>
          <w:bCs w:val="false"/>
          <w:i w:val="false"/>
          <w:iCs w:val="false"/>
          <w:color w:val="000000"/>
          <w:sz w:val="19"/>
          <w:szCs w:val="19"/>
        </w:rPr>
        <w:t xml:space="preserve">Every AI use case at Spectrum.Life is classified into one of four risk tiers. The tier determines governance requirements, approval process, and oversight level.</w:t>
      </w:r>
    </w:p>
    <w:p>
      <w:pPr>
        <w:spacing w:after="80" w:before="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4160"/>
        <w:gridCol w:w="3760"/>
      </w:tblGrid>
      <w:tr>
        <w:tc>
          <w:tcPr>
            <w:tcW w:type="dxa" w:w="144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spacing w:after="60" w:before="60"/>
            </w:pPr>
            <w:r>
              <w:rPr>
                <w:rFonts w:ascii="Arial" w:cs="Arial" w:eastAsia="Arial" w:hAnsi="Arial"/>
                <w:b/>
                <w:bCs/>
                <w:i w:val="false"/>
                <w:iCs w:val="false"/>
                <w:color w:val="FFFFFF"/>
                <w:sz w:val="18"/>
                <w:szCs w:val="18"/>
              </w:rPr>
              <w:t xml:space="preserve">Tier</w:t>
            </w:r>
          </w:p>
        </w:tc>
        <w:tc>
          <w:tcPr>
            <w:tcW w:type="dxa" w:w="41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spacing w:after="60" w:before="60"/>
            </w:pPr>
            <w:r>
              <w:rPr>
                <w:rFonts w:ascii="Arial" w:cs="Arial" w:eastAsia="Arial" w:hAnsi="Arial"/>
                <w:b/>
                <w:bCs/>
                <w:i w:val="false"/>
                <w:iCs w:val="false"/>
                <w:color w:val="FFFFFF"/>
                <w:sz w:val="18"/>
                <w:szCs w:val="18"/>
              </w:rPr>
              <w:t xml:space="preserve">Description</w:t>
            </w:r>
          </w:p>
        </w:tc>
        <w:tc>
          <w:tcPr>
            <w:tcW w:type="dxa" w:w="37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spacing w:after="60" w:before="60"/>
            </w:pPr>
            <w:r>
              <w:rPr>
                <w:rFonts w:ascii="Arial" w:cs="Arial" w:eastAsia="Arial" w:hAnsi="Arial"/>
                <w:b/>
                <w:bCs/>
                <w:i w:val="false"/>
                <w:iCs w:val="false"/>
                <w:color w:val="FFFFFF"/>
                <w:sz w:val="18"/>
                <w:szCs w:val="18"/>
              </w:rPr>
              <w:t xml:space="preserve">Examples</w:t>
            </w:r>
          </w:p>
        </w:tc>
      </w:tr>
      <w:tr>
        <w:tc>
          <w:tcPr>
            <w:tcW w:type="dxa" w:w="1440"/>
            <w:tcBorders>
              <w:top w:val="single" w:color="0D7A7A" w:sz="1"/>
              <w:left w:val="single" w:color="0D7A7A" w:sz="1"/>
              <w:bottom w:val="single" w:color="0D7A7A" w:sz="1"/>
              <w:right w:val="single" w:color="0D7A7A" w:sz="1"/>
            </w:tcBorders>
            <w:shd w:fill="0D7A7A" w:val="clear"/>
            <w:tcMar>
              <w:top w:type="dxa" w:w="80"/>
              <w:left w:type="dxa" w:w="120"/>
              <w:bottom w:type="dxa" w:w="80"/>
              <w:right w:type="dxa" w:w="120"/>
            </w:tcMar>
          </w:tcPr>
          <w:p>
            <w:pPr>
              <w:spacing w:after="20" w:before="60"/>
              <w:jc w:val="center"/>
            </w:pPr>
            <w:r>
              <w:rPr>
                <w:rFonts w:ascii="Arial" w:cs="Arial" w:eastAsia="Arial" w:hAnsi="Arial"/>
                <w:b/>
                <w:bCs/>
                <w:i w:val="false"/>
                <w:iCs w:val="false"/>
                <w:color w:val="FFFFFF"/>
                <w:sz w:val="19"/>
                <w:szCs w:val="19"/>
              </w:rPr>
              <w:t xml:space="preserve">Tier 1</w:t>
            </w:r>
          </w:p>
          <w:p>
            <w:pPr>
              <w:spacing w:after="60" w:before="0"/>
              <w:jc w:val="center"/>
            </w:pPr>
            <w:r>
              <w:rPr>
                <w:rFonts w:ascii="Arial" w:cs="Arial" w:eastAsia="Arial" w:hAnsi="Arial"/>
                <w:b w:val="false"/>
                <w:bCs w:val="false"/>
                <w:i w:val="false"/>
                <w:iCs w:val="false"/>
                <w:color w:val="E8F5F5"/>
                <w:sz w:val="17"/>
                <w:szCs w:val="17"/>
              </w:rPr>
              <w:t xml:space="preserve">Low Risk</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AI assists with internal admin tasks. Output does not directly affect members, clinical decisions, or financial commitments.</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Drafting internal email, summarising a meeting, generating a first-draft blog post</w:t>
            </w:r>
          </w:p>
        </w:tc>
      </w:tr>
      <w:tr>
        <w:tc>
          <w:tcPr>
            <w:tcW w:type="dxa" w:w="1440"/>
            <w:tcBorders>
              <w:top w:val="single" w:color="1B6B8A" w:sz="1"/>
              <w:left w:val="single" w:color="1B6B8A" w:sz="1"/>
              <w:bottom w:val="single" w:color="1B6B8A" w:sz="1"/>
              <w:right w:val="single" w:color="1B6B8A" w:sz="1"/>
            </w:tcBorders>
            <w:shd w:fill="1B6B8A" w:val="clear"/>
            <w:tcMar>
              <w:top w:type="dxa" w:w="80"/>
              <w:left w:type="dxa" w:w="120"/>
              <w:bottom w:type="dxa" w:w="80"/>
              <w:right w:type="dxa" w:w="120"/>
            </w:tcMar>
          </w:tcPr>
          <w:p>
            <w:pPr>
              <w:spacing w:after="20" w:before="60"/>
              <w:jc w:val="center"/>
            </w:pPr>
            <w:r>
              <w:rPr>
                <w:rFonts w:ascii="Arial" w:cs="Arial" w:eastAsia="Arial" w:hAnsi="Arial"/>
                <w:b/>
                <w:bCs/>
                <w:i w:val="false"/>
                <w:iCs w:val="false"/>
                <w:color w:val="FFFFFF"/>
                <w:sz w:val="19"/>
                <w:szCs w:val="19"/>
              </w:rPr>
              <w:t xml:space="preserve">Tier 2</w:t>
            </w:r>
          </w:p>
          <w:p>
            <w:pPr>
              <w:spacing w:after="60" w:before="0"/>
              <w:jc w:val="center"/>
            </w:pPr>
            <w:r>
              <w:rPr>
                <w:rFonts w:ascii="Arial" w:cs="Arial" w:eastAsia="Arial" w:hAnsi="Arial"/>
                <w:b w:val="false"/>
                <w:bCs w:val="false"/>
                <w:i w:val="false"/>
                <w:iCs w:val="false"/>
                <w:color w:val="E8F5F5"/>
                <w:sz w:val="17"/>
                <w:szCs w:val="17"/>
              </w:rPr>
              <w:t xml:space="preserve">Medium Risk</w:t>
            </w:r>
          </w:p>
        </w:tc>
        <w:tc>
          <w:tcPr>
            <w:tcW w:type="dxa" w:w="4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AI assists with operational tasks affecting staff, clients, or business processes. Output reviewed before action.</w:t>
            </w:r>
          </w:p>
        </w:tc>
        <w:tc>
          <w:tcPr>
            <w:tcW w:type="dxa" w:w="3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Generating job description, drafting client proposal, producing monthly report</w:t>
            </w:r>
          </w:p>
        </w:tc>
      </w:tr>
      <w:tr>
        <w:tc>
          <w:tcPr>
            <w:tcW w:type="dxa" w:w="1440"/>
            <w:tcBorders>
              <w:top w:val="single" w:color="E87C2B" w:sz="1"/>
              <w:left w:val="single" w:color="E87C2B" w:sz="1"/>
              <w:bottom w:val="single" w:color="E87C2B" w:sz="1"/>
              <w:right w:val="single" w:color="E87C2B" w:sz="1"/>
            </w:tcBorders>
            <w:shd w:fill="E87C2B" w:val="clear"/>
            <w:tcMar>
              <w:top w:type="dxa" w:w="80"/>
              <w:left w:type="dxa" w:w="120"/>
              <w:bottom w:type="dxa" w:w="80"/>
              <w:right w:type="dxa" w:w="120"/>
            </w:tcMar>
          </w:tcPr>
          <w:p>
            <w:pPr>
              <w:spacing w:after="20" w:before="60"/>
              <w:jc w:val="center"/>
            </w:pPr>
            <w:r>
              <w:rPr>
                <w:rFonts w:ascii="Arial" w:cs="Arial" w:eastAsia="Arial" w:hAnsi="Arial"/>
                <w:b/>
                <w:bCs/>
                <w:i w:val="false"/>
                <w:iCs w:val="false"/>
                <w:color w:val="FFFFFF"/>
                <w:sz w:val="19"/>
                <w:szCs w:val="19"/>
              </w:rPr>
              <w:t xml:space="preserve">Tier 3</w:t>
            </w:r>
          </w:p>
          <w:p>
            <w:pPr>
              <w:spacing w:after="60" w:before="0"/>
              <w:jc w:val="center"/>
            </w:pPr>
            <w:r>
              <w:rPr>
                <w:rFonts w:ascii="Arial" w:cs="Arial" w:eastAsia="Arial" w:hAnsi="Arial"/>
                <w:b w:val="false"/>
                <w:bCs w:val="false"/>
                <w:i w:val="false"/>
                <w:iCs w:val="false"/>
                <w:color w:val="E8F5F5"/>
                <w:sz w:val="17"/>
                <w:szCs w:val="17"/>
              </w:rPr>
              <w:t xml:space="preserve">High Risk</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AI assists with tasks affecting member experience, HR decisions, or significant financial commitments. Formal human review and approval required.</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HR onboarding comms, EAP participation reports, renewal proposals, case notes</w:t>
            </w:r>
          </w:p>
        </w:tc>
      </w:tr>
      <w:tr>
        <w:tc>
          <w:tcPr>
            <w:tcW w:type="dxa" w:w="1440"/>
            <w:tcBorders>
              <w:top w:val="single" w:color="C0392B" w:sz="1"/>
              <w:left w:val="single" w:color="C0392B" w:sz="1"/>
              <w:bottom w:val="single" w:color="C0392B" w:sz="1"/>
              <w:right w:val="single" w:color="C0392B" w:sz="1"/>
            </w:tcBorders>
            <w:shd w:fill="C0392B" w:val="clear"/>
            <w:tcMar>
              <w:top w:type="dxa" w:w="80"/>
              <w:left w:type="dxa" w:w="120"/>
              <w:bottom w:type="dxa" w:w="80"/>
              <w:right w:type="dxa" w:w="120"/>
            </w:tcMar>
          </w:tcPr>
          <w:p>
            <w:pPr>
              <w:spacing w:after="20" w:before="60"/>
              <w:jc w:val="center"/>
            </w:pPr>
            <w:r>
              <w:rPr>
                <w:rFonts w:ascii="Arial" w:cs="Arial" w:eastAsia="Arial" w:hAnsi="Arial"/>
                <w:b/>
                <w:bCs/>
                <w:i w:val="false"/>
                <w:iCs w:val="false"/>
                <w:color w:val="FFFFFF"/>
                <w:sz w:val="19"/>
                <w:szCs w:val="19"/>
              </w:rPr>
              <w:t xml:space="preserve">Tier 4</w:t>
            </w:r>
          </w:p>
          <w:p>
            <w:pPr>
              <w:spacing w:after="60" w:before="0"/>
              <w:jc w:val="center"/>
            </w:pPr>
            <w:r>
              <w:rPr>
                <w:rFonts w:ascii="Arial" w:cs="Arial" w:eastAsia="Arial" w:hAnsi="Arial"/>
                <w:b w:val="false"/>
                <w:bCs w:val="false"/>
                <w:i w:val="false"/>
                <w:iCs w:val="false"/>
                <w:color w:val="E8F5F5"/>
                <w:sz w:val="17"/>
                <w:szCs w:val="17"/>
              </w:rPr>
              <w:t xml:space="preserve">Critical Risk</w:t>
            </w:r>
          </w:p>
        </w:tc>
        <w:tc>
          <w:tcPr>
            <w:tcW w:type="dxa" w:w="4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AI involved in any step of clinical care pathway. Clinical governance sign-off required. Full audit trail mandatory.</w:t>
            </w:r>
          </w:p>
        </w:tc>
        <w:tc>
          <w:tcPr>
            <w:tcW w:type="dxa" w:w="3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Clinical triage routing, risk flag monitoring, any Agentforce agent touching clinical data</w:t>
            </w:r>
          </w:p>
        </w:tc>
      </w:tr>
    </w:tbl>
    <w:p>
      <w:pPr>
        <w:spacing w:after="80" w:before="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7A7A" w:val="clear"/>
            <w:tcMar>
              <w:top w:type="dxa" w:w="120"/>
              <w:left w:type="dxa" w:w="160"/>
              <w:bottom w:type="dxa" w:w="120"/>
              <w:right w:type="dxa" w:w="160"/>
            </w:tcMar>
          </w:tcPr>
          <w:p>
            <w:pPr>
              <w:spacing w:after="80" w:before="80"/>
              <w:jc w:val="left"/>
            </w:pPr>
            <w:r>
              <w:rPr>
                <w:rFonts w:ascii="Arial" w:cs="Arial" w:eastAsia="Arial" w:hAnsi="Arial"/>
                <w:b/>
                <w:bCs/>
                <w:i w:val="false"/>
                <w:iCs w:val="false"/>
                <w:color w:val="FFFFFF"/>
                <w:sz w:val="26"/>
                <w:szCs w:val="26"/>
              </w:rPr>
              <w:t xml:space="preserve">Governance Requirements by Tier</w:t>
            </w:r>
          </w:p>
        </w:tc>
      </w:tr>
    </w:tbl>
    <w:p>
      <w:pPr>
        <w:spacing w:after="80" w:before="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40"/>
        <w:gridCol w:w="1440"/>
        <w:gridCol w:w="1440"/>
        <w:gridCol w:w="2240"/>
      </w:tblGrid>
      <w:tr>
        <w:tc>
          <w:tcPr>
            <w:tcW w:type="dxa" w:w="28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spacing w:after="60" w:before="60"/>
            </w:pPr>
            <w:r>
              <w:rPr>
                <w:rFonts w:ascii="Arial" w:cs="Arial" w:eastAsia="Arial" w:hAnsi="Arial"/>
                <w:b/>
                <w:bCs/>
                <w:i w:val="false"/>
                <w:iCs w:val="false"/>
                <w:color w:val="FFFFFF"/>
                <w:sz w:val="18"/>
                <w:szCs w:val="18"/>
              </w:rPr>
              <w:t xml:space="preserve">Requirement</w:t>
            </w:r>
          </w:p>
        </w:tc>
        <w:tc>
          <w:tcPr>
            <w:tcW w:type="dxa" w:w="144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spacing w:after="60" w:before="60"/>
            </w:pPr>
            <w:r>
              <w:rPr>
                <w:rFonts w:ascii="Arial" w:cs="Arial" w:eastAsia="Arial" w:hAnsi="Arial"/>
                <w:b/>
                <w:bCs/>
                <w:i w:val="false"/>
                <w:iCs w:val="false"/>
                <w:color w:val="FFFFFF"/>
                <w:sz w:val="18"/>
                <w:szCs w:val="18"/>
              </w:rPr>
              <w:t xml:space="preserve">Tier 1</w:t>
            </w:r>
          </w:p>
        </w:tc>
        <w:tc>
          <w:tcPr>
            <w:tcW w:type="dxa" w:w="144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spacing w:after="60" w:before="60"/>
            </w:pPr>
            <w:r>
              <w:rPr>
                <w:rFonts w:ascii="Arial" w:cs="Arial" w:eastAsia="Arial" w:hAnsi="Arial"/>
                <w:b/>
                <w:bCs/>
                <w:i w:val="false"/>
                <w:iCs w:val="false"/>
                <w:color w:val="FFFFFF"/>
                <w:sz w:val="18"/>
                <w:szCs w:val="18"/>
              </w:rPr>
              <w:t xml:space="preserve">Tier 2</w:t>
            </w:r>
          </w:p>
        </w:tc>
        <w:tc>
          <w:tcPr>
            <w:tcW w:type="dxa" w:w="144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spacing w:after="60" w:before="60"/>
            </w:pPr>
            <w:r>
              <w:rPr>
                <w:rFonts w:ascii="Arial" w:cs="Arial" w:eastAsia="Arial" w:hAnsi="Arial"/>
                <w:b/>
                <w:bCs/>
                <w:i w:val="false"/>
                <w:iCs w:val="false"/>
                <w:color w:val="FFFFFF"/>
                <w:sz w:val="18"/>
                <w:szCs w:val="18"/>
              </w:rPr>
              <w:t xml:space="preserve">Tier 3</w:t>
            </w:r>
          </w:p>
        </w:tc>
        <w:tc>
          <w:tcPr>
            <w:tcW w:type="dxa" w:w="224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spacing w:after="60" w:before="60"/>
            </w:pPr>
            <w:r>
              <w:rPr>
                <w:rFonts w:ascii="Arial" w:cs="Arial" w:eastAsia="Arial" w:hAnsi="Arial"/>
                <w:b/>
                <w:bCs/>
                <w:i w:val="false"/>
                <w:iCs w:val="false"/>
                <w:color w:val="FFFFFF"/>
                <w:sz w:val="18"/>
                <w:szCs w:val="18"/>
              </w:rPr>
              <w:t xml:space="preserve">Tier 4</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Human review before action</w:t>
            </w:r>
          </w:p>
        </w:tc>
        <w:tc>
          <w:tcPr>
            <w:tcW w:type="dxa" w:w="14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Recommended</w:t>
            </w:r>
          </w:p>
        </w:tc>
        <w:tc>
          <w:tcPr>
            <w:tcW w:type="dxa" w:w="14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Required</w:t>
            </w:r>
          </w:p>
        </w:tc>
        <w:tc>
          <w:tcPr>
            <w:tcW w:type="dxa" w:w="14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Required</w:t>
            </w:r>
          </w:p>
        </w:tc>
        <w:tc>
          <w:tcPr>
            <w:tcW w:type="dxa" w:w="22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Mandatory — qualified professional</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Audit trail in Salesforce</w:t>
            </w:r>
          </w:p>
        </w:tc>
        <w:tc>
          <w:tcPr>
            <w:tcW w:type="dxa" w:w="1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Not required</w:t>
            </w:r>
          </w:p>
        </w:tc>
        <w:tc>
          <w:tcPr>
            <w:tcW w:type="dxa" w:w="1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Recommended</w:t>
            </w:r>
          </w:p>
        </w:tc>
        <w:tc>
          <w:tcPr>
            <w:tcW w:type="dxa" w:w="1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Required</w:t>
            </w:r>
          </w:p>
        </w:tc>
        <w:tc>
          <w:tcPr>
            <w:tcW w:type="dxa" w:w="2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Mandatory</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GDPR Article 9 assessment</w:t>
            </w:r>
          </w:p>
        </w:tc>
        <w:tc>
          <w:tcPr>
            <w:tcW w:type="dxa" w:w="14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Not required</w:t>
            </w:r>
          </w:p>
        </w:tc>
        <w:tc>
          <w:tcPr>
            <w:tcW w:type="dxa" w:w="14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Not required</w:t>
            </w:r>
          </w:p>
        </w:tc>
        <w:tc>
          <w:tcPr>
            <w:tcW w:type="dxa" w:w="14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Required if health data</w:t>
            </w:r>
          </w:p>
        </w:tc>
        <w:tc>
          <w:tcPr>
            <w:tcW w:type="dxa" w:w="22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Mandatory</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DPA with AI provider</w:t>
            </w:r>
          </w:p>
        </w:tc>
        <w:tc>
          <w:tcPr>
            <w:tcW w:type="dxa" w:w="1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Not required</w:t>
            </w:r>
          </w:p>
        </w:tc>
        <w:tc>
          <w:tcPr>
            <w:tcW w:type="dxa" w:w="1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Not required</w:t>
            </w:r>
          </w:p>
        </w:tc>
        <w:tc>
          <w:tcPr>
            <w:tcW w:type="dxa" w:w="1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Required</w:t>
            </w:r>
          </w:p>
        </w:tc>
        <w:tc>
          <w:tcPr>
            <w:tcW w:type="dxa" w:w="2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Mandatory</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Clinical governance sign-off</w:t>
            </w:r>
          </w:p>
        </w:tc>
        <w:tc>
          <w:tcPr>
            <w:tcW w:type="dxa" w:w="14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Not required</w:t>
            </w:r>
          </w:p>
        </w:tc>
        <w:tc>
          <w:tcPr>
            <w:tcW w:type="dxa" w:w="14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Not required</w:t>
            </w:r>
          </w:p>
        </w:tc>
        <w:tc>
          <w:tcPr>
            <w:tcW w:type="dxa" w:w="14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Not required</w:t>
            </w:r>
          </w:p>
        </w:tc>
        <w:tc>
          <w:tcPr>
            <w:tcW w:type="dxa" w:w="22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Mandatory — CCO</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EU AI Act assessment</w:t>
            </w:r>
          </w:p>
        </w:tc>
        <w:tc>
          <w:tcPr>
            <w:tcW w:type="dxa" w:w="1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Not required</w:t>
            </w:r>
          </w:p>
        </w:tc>
        <w:tc>
          <w:tcPr>
            <w:tcW w:type="dxa" w:w="1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Not required</w:t>
            </w:r>
          </w:p>
        </w:tc>
        <w:tc>
          <w:tcPr>
            <w:tcW w:type="dxa" w:w="1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Required</w:t>
            </w:r>
          </w:p>
        </w:tc>
        <w:tc>
          <w:tcPr>
            <w:tcW w:type="dxa" w:w="2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Mandatory</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Incident reporting if failure</w:t>
            </w:r>
          </w:p>
        </w:tc>
        <w:tc>
          <w:tcPr>
            <w:tcW w:type="dxa" w:w="14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Best efforts</w:t>
            </w:r>
          </w:p>
        </w:tc>
        <w:tc>
          <w:tcPr>
            <w:tcW w:type="dxa" w:w="14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Required</w:t>
            </w:r>
          </w:p>
        </w:tc>
        <w:tc>
          <w:tcPr>
            <w:tcW w:type="dxa" w:w="14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Required</w:t>
            </w:r>
          </w:p>
        </w:tc>
        <w:tc>
          <w:tcPr>
            <w:tcW w:type="dxa" w:w="22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Mandatory — immediate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20"/>
              <w:left w:type="dxa" w:w="160"/>
              <w:bottom w:type="dxa" w:w="120"/>
              <w:right w:type="dxa" w:w="160"/>
            </w:tcMar>
          </w:tcPr>
          <w:p>
            <w:pPr>
              <w:spacing w:after="80" w:before="80"/>
              <w:jc w:val="left"/>
            </w:pPr>
            <w:r>
              <w:rPr>
                <w:rFonts w:ascii="Arial" w:cs="Arial" w:eastAsia="Arial" w:hAnsi="Arial"/>
                <w:b/>
                <w:bCs/>
                <w:i w:val="false"/>
                <w:iCs w:val="false"/>
                <w:color w:val="FFFFFF"/>
                <w:sz w:val="26"/>
                <w:szCs w:val="26"/>
              </w:rPr>
              <w:t xml:space="preserve">Section 4 — Acceptable Use Policy</w:t>
            </w:r>
          </w:p>
        </w:tc>
      </w:tr>
    </w:tbl>
    <w:p>
      <w:pPr>
        <w:spacing w:after="80" w:before="0"/>
      </w:pPr>
      <w:r>
        <w:rPr>
          <w:rFonts w:ascii="Arial" w:cs="Arial" w:eastAsia="Arial" w:hAnsi="Arial"/>
          <w:b w:val="false"/>
          <w:bCs w:val="false"/>
          <w:i w:val="false"/>
          <w:iCs w:val="false"/>
          <w:color w:val="000000"/>
          <w:sz w:val="20"/>
          <w:szCs w:val="20"/>
        </w:rPr>
        <w:t xml:space="preserve"/>
      </w:r>
    </w:p>
    <w:p>
      <w:pPr>
        <w:spacing w:after="60" w:before="60"/>
        <w:jc w:val="left"/>
      </w:pPr>
      <w:r>
        <w:rPr>
          <w:rFonts w:ascii="Arial" w:cs="Arial" w:eastAsia="Arial" w:hAnsi="Arial"/>
          <w:b/>
          <w:bCs/>
          <w:i w:val="false"/>
          <w:iCs w:val="false"/>
          <w:color w:val="1B2A4A"/>
          <w:sz w:val="22"/>
          <w:szCs w:val="22"/>
        </w:rPr>
        <w:t xml:space="preserve">Approved Uses</w:t>
      </w:r>
    </w:p>
    <w:p>
      <w:pPr>
        <w:spacing w:after="80" w:before="0"/>
      </w:pPr>
      <w:r>
        <w:rPr>
          <w:rFonts w:ascii="Arial" w:cs="Arial" w:eastAsia="Arial" w:hAnsi="Arial"/>
          <w:b w:val="false"/>
          <w:bCs w:val="false"/>
          <w:i w:val="false"/>
          <w:iCs w:val="false"/>
          <w:color w:val="000000"/>
          <w:sz w:val="20"/>
          <w:szCs w:val="20"/>
        </w:rPr>
        <w:t xml:space="preserve"/>
      </w:r>
    </w:p>
    <w:p>
      <w:pPr>
        <w:spacing w:after="60" w:before="60"/>
        <w:jc w:val="left"/>
      </w:pPr>
      <w:r>
        <w:rPr>
          <w:rFonts w:ascii="Arial" w:cs="Arial" w:eastAsia="Arial" w:hAnsi="Arial"/>
          <w:b w:val="false"/>
          <w:bCs w:val="false"/>
          <w:i w:val="false"/>
          <w:iCs w:val="false"/>
          <w:color w:val="000000"/>
          <w:sz w:val="19"/>
          <w:szCs w:val="19"/>
        </w:rPr>
        <w:t xml:space="preserve">Staff at Spectrum.Life are encouraged to use Claude and approved AI tools to make their work faster, simpler, and less repetitive. The following uses are approved:</w:t>
      </w:r>
    </w:p>
    <w:p>
      <w:pPr>
        <w:spacing w:after="80" w:before="0"/>
      </w:pPr>
      <w:r>
        <w:rPr>
          <w:rFonts w:ascii="Arial" w:cs="Arial" w:eastAsia="Arial" w:hAnsi="Arial"/>
          <w:b w:val="false"/>
          <w:bCs w:val="false"/>
          <w:i w:val="false"/>
          <w:iCs w:val="false"/>
          <w:color w:val="000000"/>
          <w:sz w:val="20"/>
          <w:szCs w:val="20"/>
        </w:rPr>
        <w:t xml:space="preserve"/>
      </w:r>
    </w:p>
    <w:p>
      <w:pPr>
        <w:pStyle w:val="ListParagraph"/>
        <w:numPr>
          <w:ilvl w:val="0"/>
          <w:numId w:val="2"/>
        </w:numPr>
        <w:spacing w:after="40" w:before="40"/>
        <w:jc w:val="left"/>
      </w:pPr>
      <w:r>
        <w:rPr>
          <w:rFonts w:ascii="Arial" w:cs="Arial" w:eastAsia="Arial" w:hAnsi="Arial"/>
          <w:b w:val="false"/>
          <w:bCs w:val="false"/>
          <w:i w:val="false"/>
          <w:iCs w:val="false"/>
          <w:color w:val="1B2A4A"/>
          <w:sz w:val="19"/>
          <w:szCs w:val="19"/>
        </w:rPr>
        <w:t xml:space="preserve">Drafting and writing: first-draft communications, emails, reports, case notes (from brief summaries using approved CRAFT prompts), job descriptions, proposals</w:t>
      </w:r>
    </w:p>
    <w:p>
      <w:pPr>
        <w:pStyle w:val="ListParagraph"/>
        <w:numPr>
          <w:ilvl w:val="0"/>
          <w:numId w:val="2"/>
        </w:numPr>
        <w:spacing w:after="40" w:before="40"/>
        <w:jc w:val="left"/>
      </w:pPr>
      <w:r>
        <w:rPr>
          <w:rFonts w:ascii="Arial" w:cs="Arial" w:eastAsia="Arial" w:hAnsi="Arial"/>
          <w:b w:val="false"/>
          <w:bCs w:val="false"/>
          <w:i w:val="false"/>
          <w:iCs w:val="false"/>
          <w:color w:val="1B2A4A"/>
          <w:sz w:val="19"/>
          <w:szCs w:val="19"/>
        </w:rPr>
        <w:t xml:space="preserve">Research and summarisation: summarising long documents, answering factual questions, generating options for consideration</w:t>
      </w:r>
    </w:p>
    <w:p>
      <w:pPr>
        <w:pStyle w:val="ListParagraph"/>
        <w:numPr>
          <w:ilvl w:val="0"/>
          <w:numId w:val="2"/>
        </w:numPr>
        <w:spacing w:after="40" w:before="40"/>
        <w:jc w:val="left"/>
      </w:pPr>
      <w:r>
        <w:rPr>
          <w:rFonts w:ascii="Arial" w:cs="Arial" w:eastAsia="Arial" w:hAnsi="Arial"/>
          <w:b w:val="false"/>
          <w:bCs w:val="false"/>
          <w:i w:val="false"/>
          <w:iCs w:val="false"/>
          <w:color w:val="1B2A4A"/>
          <w:sz w:val="19"/>
          <w:szCs w:val="19"/>
        </w:rPr>
        <w:t xml:space="preserve">Process support: using approved Skills from the Prompt Library, working within governed Claude Projects, generating Artifacts for review</w:t>
      </w:r>
    </w:p>
    <w:p>
      <w:pPr>
        <w:pStyle w:val="ListParagraph"/>
        <w:numPr>
          <w:ilvl w:val="0"/>
          <w:numId w:val="2"/>
        </w:numPr>
        <w:spacing w:after="40" w:before="40"/>
        <w:jc w:val="left"/>
      </w:pPr>
      <w:r>
        <w:rPr>
          <w:rFonts w:ascii="Arial" w:cs="Arial" w:eastAsia="Arial" w:hAnsi="Arial"/>
          <w:b w:val="false"/>
          <w:bCs w:val="false"/>
          <w:i w:val="false"/>
          <w:iCs w:val="false"/>
          <w:color w:val="1B2A4A"/>
          <w:sz w:val="19"/>
          <w:szCs w:val="19"/>
        </w:rPr>
        <w:t xml:space="preserve">Learning and exploration: asking Claude questions to develop knowledge and skills, testing prompts in personal sessions</w:t>
      </w:r>
    </w:p>
    <w:p>
      <w:pPr>
        <w:spacing w:after="80" w:before="0"/>
      </w:pPr>
      <w:r>
        <w:rPr>
          <w:rFonts w:ascii="Arial" w:cs="Arial" w:eastAsia="Arial" w:hAnsi="Arial"/>
          <w:b w:val="false"/>
          <w:bCs w:val="false"/>
          <w:i w:val="false"/>
          <w:iCs w:val="false"/>
          <w:color w:val="000000"/>
          <w:sz w:val="20"/>
          <w:szCs w:val="20"/>
        </w:rPr>
        <w:t xml:space="preserve"/>
      </w:r>
    </w:p>
    <w:p>
      <w:pPr>
        <w:spacing w:after="60" w:before="60"/>
        <w:jc w:val="left"/>
      </w:pPr>
      <w:r>
        <w:rPr>
          <w:rFonts w:ascii="Arial" w:cs="Arial" w:eastAsia="Arial" w:hAnsi="Arial"/>
          <w:b/>
          <w:bCs/>
          <w:i w:val="false"/>
          <w:iCs w:val="false"/>
          <w:color w:val="C0392B"/>
          <w:sz w:val="22"/>
          <w:szCs w:val="22"/>
        </w:rPr>
        <w:t xml:space="preserve">Prohibited Uses</w:t>
      </w:r>
    </w:p>
    <w:p>
      <w:pPr>
        <w:spacing w:after="80" w:before="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760"/>
        <w:gridCol w:w="4600"/>
      </w:tblGrid>
      <w:tr>
        <w:tc>
          <w:tcPr>
            <w:tcW w:type="dxa" w:w="47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spacing w:after="60" w:before="60"/>
            </w:pPr>
            <w:r>
              <w:rPr>
                <w:rFonts w:ascii="Arial" w:cs="Arial" w:eastAsia="Arial" w:hAnsi="Arial"/>
                <w:b/>
                <w:bCs/>
                <w:i w:val="false"/>
                <w:iCs w:val="false"/>
                <w:color w:val="FFFFFF"/>
                <w:sz w:val="18"/>
                <w:szCs w:val="18"/>
              </w:rPr>
              <w:t xml:space="preserve">Prohibited Use</w:t>
            </w:r>
          </w:p>
        </w:tc>
        <w:tc>
          <w:tcPr>
            <w:tcW w:type="dxa" w:w="46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spacing w:after="60" w:before="60"/>
            </w:pPr>
            <w:r>
              <w:rPr>
                <w:rFonts w:ascii="Arial" w:cs="Arial" w:eastAsia="Arial" w:hAnsi="Arial"/>
                <w:b/>
                <w:bCs/>
                <w:i w:val="false"/>
                <w:iCs w:val="false"/>
                <w:color w:val="FFFFFF"/>
                <w:sz w:val="18"/>
                <w:szCs w:val="18"/>
              </w:rPr>
              <w:t xml:space="preserve">Reason</w:t>
            </w:r>
          </w:p>
        </w:tc>
      </w:tr>
      <w:tr>
        <w:tc>
          <w:tcPr>
            <w:tcW w:type="dxa" w:w="4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Entering identifiable member names, contact details, or health information into Claude without confirmed DPA and consent mapping</w:t>
            </w:r>
          </w:p>
        </w:tc>
        <w:tc>
          <w:tcPr>
            <w:tcW w:type="dxa" w:w="4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GDPR Article 9 — special category health data protection</w:t>
            </w:r>
          </w:p>
        </w:tc>
      </w:tr>
      <w:tr>
        <w:tc>
          <w:tcPr>
            <w:tcW w:type="dxa" w:w="4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Using AI output as a final clinical decision without human review</w:t>
            </w:r>
          </w:p>
        </w:tc>
        <w:tc>
          <w:tcPr>
            <w:tcW w:type="dxa" w:w="4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Clinical Safety — Principle 2</w:t>
            </w:r>
          </w:p>
        </w:tc>
      </w:tr>
      <w:tr>
        <w:tc>
          <w:tcPr>
            <w:tcW w:type="dxa" w:w="4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Sending AI-generated communications to members or clients without human review</w:t>
            </w:r>
          </w:p>
        </w:tc>
        <w:tc>
          <w:tcPr>
            <w:tcW w:type="dxa" w:w="4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Quality, accountability, and transparency</w:t>
            </w:r>
          </w:p>
        </w:tc>
      </w:tr>
      <w:tr>
        <w:tc>
          <w:tcPr>
            <w:tcW w:type="dxa" w:w="4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Using personal Claude accounts for Spectrum.Life clinical work</w:t>
            </w:r>
          </w:p>
        </w:tc>
        <w:tc>
          <w:tcPr>
            <w:tcW w:type="dxa" w:w="4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Data governance — work data must stay in governed work systems</w:t>
            </w:r>
          </w:p>
        </w:tc>
      </w:tr>
      <w:tr>
        <w:tc>
          <w:tcPr>
            <w:tcW w:type="dxa" w:w="4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Entering staff personal data into Claude without HR lead approval</w:t>
            </w:r>
          </w:p>
        </w:tc>
        <w:tc>
          <w:tcPr>
            <w:tcW w:type="dxa" w:w="4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GDPR standard personal data protection</w:t>
            </w:r>
          </w:p>
        </w:tc>
      </w:tr>
      <w:tr>
        <w:tc>
          <w:tcPr>
            <w:tcW w:type="dxa" w:w="4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Using AI tools not approved by the AI Transformation Partner for operational use</w:t>
            </w:r>
          </w:p>
        </w:tc>
        <w:tc>
          <w:tcPr>
            <w:tcW w:type="dxa" w:w="4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Governance — unapproved tools not covered by this framework</w:t>
            </w:r>
          </w:p>
        </w:tc>
      </w:tr>
      <w:tr>
        <w:tc>
          <w:tcPr>
            <w:tcW w:type="dxa" w:w="47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Representing AI-generated content as entirely human-created in formal submissions</w:t>
            </w:r>
          </w:p>
        </w:tc>
        <w:tc>
          <w:tcPr>
            <w:tcW w:type="dxa" w:w="4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Transparency — Principle 4</w:t>
            </w:r>
          </w:p>
        </w:tc>
      </w:tr>
    </w:tbl>
    <w:p>
      <w:pPr>
        <w:spacing w:after="80" w:before="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4"/>
              <w:left w:val="single" w:color="C9A84C" w:sz="4"/>
              <w:bottom w:val="single" w:color="C9A84C" w:sz="4"/>
              <w:right w:val="single" w:color="C9A84C" w:sz="4"/>
            </w:tcBorders>
            <w:shd w:fill="FDF8EE" w:val="clear"/>
            <w:tcMar>
              <w:top w:type="dxa" w:w="140"/>
              <w:left w:type="dxa" w:w="180"/>
              <w:bottom w:type="dxa" w:w="140"/>
              <w:right w:type="dxa" w:w="180"/>
            </w:tcMar>
          </w:tcPr>
          <w:p>
            <w:pPr>
              <w:spacing w:after="60" w:before="60"/>
              <w:jc w:val="left"/>
            </w:pPr>
            <w:r>
              <w:rPr>
                <w:rFonts w:ascii="Arial" w:cs="Arial" w:eastAsia="Arial" w:hAnsi="Arial"/>
                <w:b/>
                <w:bCs/>
                <w:i w:val="false"/>
                <w:iCs w:val="false"/>
                <w:color w:val="0D7A7A"/>
                <w:sz w:val="20"/>
                <w:szCs w:val="20"/>
              </w:rPr>
              <w:t xml:space="preserve">The golden rule: </w:t>
            </w:r>
            <w:r>
              <w:rPr>
                <w:rFonts w:ascii="Arial" w:cs="Arial" w:eastAsia="Arial" w:hAnsi="Arial"/>
                <w:b w:val="false"/>
                <w:bCs w:val="false"/>
                <w:i w:val="false"/>
                <w:iCs w:val="false"/>
                <w:color w:val="1B2A4A"/>
                <w:sz w:val="20"/>
                <w:szCs w:val="20"/>
              </w:rPr>
              <w:t xml:space="preserve">If you are unsure whether something is allowed — ask the AI Transformation Partner before you do it, not after.</w:t>
            </w:r>
          </w:p>
        </w:tc>
      </w:tr>
    </w:tbl>
    <w:p>
      <w:pPr>
        <w:spacing w:after="80" w:before="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7A7A" w:val="clear"/>
            <w:tcMar>
              <w:top w:type="dxa" w:w="120"/>
              <w:left w:type="dxa" w:w="160"/>
              <w:bottom w:type="dxa" w:w="120"/>
              <w:right w:type="dxa" w:w="160"/>
            </w:tcMar>
          </w:tcPr>
          <w:p>
            <w:pPr>
              <w:spacing w:after="80" w:before="80"/>
              <w:jc w:val="left"/>
            </w:pPr>
            <w:r>
              <w:rPr>
                <w:rFonts w:ascii="Arial" w:cs="Arial" w:eastAsia="Arial" w:hAnsi="Arial"/>
                <w:b/>
                <w:bCs/>
                <w:i w:val="false"/>
                <w:iCs w:val="false"/>
                <w:color w:val="FFFFFF"/>
                <w:sz w:val="26"/>
                <w:szCs w:val="26"/>
              </w:rPr>
              <w:t xml:space="preserve">Data Handling Quick Reference</w:t>
            </w:r>
          </w:p>
        </w:tc>
      </w:tr>
    </w:tbl>
    <w:p>
      <w:pPr>
        <w:spacing w:after="80" w:before="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c>
          <w:tcPr>
            <w:tcW w:type="dxa" w:w="32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spacing w:after="60" w:before="60"/>
            </w:pPr>
            <w:r>
              <w:rPr>
                <w:rFonts w:ascii="Arial" w:cs="Arial" w:eastAsia="Arial" w:hAnsi="Arial"/>
                <w:b/>
                <w:bCs/>
                <w:i w:val="false"/>
                <w:iCs w:val="false"/>
                <w:color w:val="FFFFFF"/>
                <w:sz w:val="18"/>
                <w:szCs w:val="18"/>
              </w:rPr>
              <w:t xml:space="preserve">Data Type</w:t>
            </w:r>
          </w:p>
        </w:tc>
        <w:tc>
          <w:tcPr>
            <w:tcW w:type="dxa" w:w="20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spacing w:after="60" w:before="60"/>
            </w:pPr>
            <w:r>
              <w:rPr>
                <w:rFonts w:ascii="Arial" w:cs="Arial" w:eastAsia="Arial" w:hAnsi="Arial"/>
                <w:b/>
                <w:bCs/>
                <w:i w:val="false"/>
                <w:iCs w:val="false"/>
                <w:color w:val="FFFFFF"/>
                <w:sz w:val="18"/>
                <w:szCs w:val="18"/>
              </w:rPr>
              <w:t xml:space="preserve">Can It Go Into Claude?</w:t>
            </w:r>
          </w:p>
        </w:tc>
        <w:tc>
          <w:tcPr>
            <w:tcW w:type="dxa" w:w="41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spacing w:after="60" w:before="60"/>
            </w:pPr>
            <w:r>
              <w:rPr>
                <w:rFonts w:ascii="Arial" w:cs="Arial" w:eastAsia="Arial" w:hAnsi="Arial"/>
                <w:b/>
                <w:bCs/>
                <w:i w:val="false"/>
                <w:iCs w:val="false"/>
                <w:color w:val="FFFFFF"/>
                <w:sz w:val="18"/>
                <w:szCs w:val="18"/>
              </w:rPr>
              <w:t xml:space="preserve">Conditions</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General work content (meeting notes, draft documents)</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Yes</w:t>
            </w:r>
          </w:p>
        </w:tc>
        <w:tc>
          <w:tcPr>
            <w:tcW w:type="dxa" w:w="4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Standard use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Staff names and job titles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Yes</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Standard use</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Client company names</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Yes</w:t>
            </w:r>
          </w:p>
        </w:tc>
        <w:tc>
          <w:tcPr>
            <w:tcW w:type="dxa" w:w="4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Standard use</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Individual member names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No</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Never without confirmed DPA and consent mapping</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Member health information</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No</w:t>
            </w:r>
          </w:p>
        </w:tc>
        <w:tc>
          <w:tcPr>
            <w:tcW w:type="dxa" w:w="4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Never without DPA, consent mapping, and Tier 4 sign-off</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Staff personal data (salary, health, performance)</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Only with HR lead approval</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Specific approved use cases only</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Financial data (revenue, contract values)</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Yes</w:t>
            </w:r>
          </w:p>
        </w:tc>
        <w:tc>
          <w:tcPr>
            <w:tcW w:type="dxa" w:w="41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Standard use — commercially confidential</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Identifiable clinical case details</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No</w:t>
            </w:r>
          </w:p>
        </w:tc>
        <w:tc>
          <w:tcPr>
            <w:tcW w:type="dxa" w:w="4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Never without full Tier 4 governance process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20"/>
              <w:left w:type="dxa" w:w="160"/>
              <w:bottom w:type="dxa" w:w="120"/>
              <w:right w:type="dxa" w:w="160"/>
            </w:tcMar>
          </w:tcPr>
          <w:p>
            <w:pPr>
              <w:spacing w:after="80" w:before="80"/>
              <w:jc w:val="left"/>
            </w:pPr>
            <w:r>
              <w:rPr>
                <w:rFonts w:ascii="Arial" w:cs="Arial" w:eastAsia="Arial" w:hAnsi="Arial"/>
                <w:b/>
                <w:bCs/>
                <w:i w:val="false"/>
                <w:iCs w:val="false"/>
                <w:color w:val="FFFFFF"/>
                <w:sz w:val="26"/>
                <w:szCs w:val="26"/>
              </w:rPr>
              <w:t xml:space="preserve">Section 5 — GDPR Article 9 Compliance Framework</w:t>
            </w:r>
          </w:p>
        </w:tc>
      </w:tr>
    </w:tbl>
    <w:p>
      <w:pPr>
        <w:spacing w:after="80" w:before="0"/>
      </w:pPr>
      <w:r>
        <w:rPr>
          <w:rFonts w:ascii="Arial" w:cs="Arial" w:eastAsia="Arial" w:hAnsi="Arial"/>
          <w:b w:val="false"/>
          <w:bCs w:val="false"/>
          <w:i w:val="false"/>
          <w:iCs w:val="false"/>
          <w:color w:val="000000"/>
          <w:sz w:val="20"/>
          <w:szCs w:val="20"/>
        </w:rPr>
        <w:t xml:space="preserve"/>
      </w:r>
    </w:p>
    <w:p>
      <w:pPr>
        <w:spacing w:after="60" w:before="60"/>
        <w:jc w:val="left"/>
      </w:pPr>
      <w:r>
        <w:rPr>
          <w:rFonts w:ascii="Arial" w:cs="Arial" w:eastAsia="Arial" w:hAnsi="Arial"/>
          <w:b w:val="false"/>
          <w:bCs w:val="false"/>
          <w:i w:val="false"/>
          <w:iCs w:val="false"/>
          <w:color w:val="000000"/>
          <w:sz w:val="19"/>
          <w:szCs w:val="19"/>
        </w:rPr>
        <w:t xml:space="preserve">GDPR Article 9 governs special category personal data — including health and mental health information. Spectrum.Life's core business involves exactly this data for 9.8 million members. When AI tools process or handle member health information — even indirectly — Article 9 obligations apply.</w:t>
      </w:r>
    </w:p>
    <w:p>
      <w:pPr>
        <w:spacing w:after="80" w:before="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80"/>
        <w:gridCol w:w="4680"/>
      </w:tblGrid>
      <w:tr>
        <w:tc>
          <w:tcPr>
            <w:tcW w:type="dxa" w:w="18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spacing w:after="60" w:before="60"/>
            </w:pPr>
            <w:r>
              <w:rPr>
                <w:rFonts w:ascii="Arial" w:cs="Arial" w:eastAsia="Arial" w:hAnsi="Arial"/>
                <w:b/>
                <w:bCs/>
                <w:i w:val="false"/>
                <w:iCs w:val="false"/>
                <w:color w:val="FFFFFF"/>
                <w:sz w:val="18"/>
                <w:szCs w:val="18"/>
              </w:rPr>
              <w:t xml:space="preserve">Obligation</w:t>
            </w:r>
          </w:p>
        </w:tc>
        <w:tc>
          <w:tcPr>
            <w:tcW w:type="dxa" w:w="288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spacing w:after="60" w:before="60"/>
            </w:pPr>
            <w:r>
              <w:rPr>
                <w:rFonts w:ascii="Arial" w:cs="Arial" w:eastAsia="Arial" w:hAnsi="Arial"/>
                <w:b/>
                <w:bCs/>
                <w:i w:val="false"/>
                <w:iCs w:val="false"/>
                <w:color w:val="FFFFFF"/>
                <w:sz w:val="18"/>
                <w:szCs w:val="18"/>
              </w:rPr>
              <w:t xml:space="preserve">What It Requires</w:t>
            </w:r>
          </w:p>
        </w:tc>
        <w:tc>
          <w:tcPr>
            <w:tcW w:type="dxa" w:w="468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spacing w:after="60" w:before="60"/>
            </w:pPr>
            <w:r>
              <w:rPr>
                <w:rFonts w:ascii="Arial" w:cs="Arial" w:eastAsia="Arial" w:hAnsi="Arial"/>
                <w:b/>
                <w:bCs/>
                <w:i w:val="false"/>
                <w:iCs w:val="false"/>
                <w:color w:val="FFFFFF"/>
                <w:sz w:val="18"/>
                <w:szCs w:val="18"/>
              </w:rPr>
              <w:t xml:space="preserve">Practical Implication for AI</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1 — Explicit Consent or Legal Basis</w:t>
            </w:r>
          </w:p>
        </w:tc>
        <w:tc>
          <w:tcPr>
            <w:tcW w:type="dxa" w:w="28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Before any member health data is processed by AI, explicit consent or an Article 9(2) legal basis must be confirmed and documented</w:t>
            </w:r>
          </w:p>
        </w:tc>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Clinical Triage Routing Agent requires consent mapping completed before go-live. No exceptions.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2 — Data Processing Agreement</w:t>
            </w:r>
          </w:p>
        </w:tc>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Confirmed DPA must be in place with Anthropic and Salesforce before any special category health data is processed</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AI Transformation Partner confirms DPA status before any Tier 3 or Tier 4 deployment. Deployment blocked until confirmed.</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3 — Data Minimisation</w:t>
            </w:r>
          </w:p>
        </w:tc>
        <w:tc>
          <w:tcPr>
            <w:tcW w:type="dxa" w:w="28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Only minimum health data necessary for the specific AI function is processed</w:t>
            </w:r>
          </w:p>
        </w:tc>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Prompt Library designed with data minimisation built in — case references not names, presenting issues not full histories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4 — Purpose Limitation</w:t>
            </w:r>
          </w:p>
        </w:tc>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Member health data processed by AI is used only for the specific purpose for which consent was established</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Clinical Triage Agent routing data cannot be reused for marketing or sales AI without separate legal basis</w:t>
            </w:r>
          </w:p>
        </w:tc>
      </w:tr>
      <w:tr>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5 — Member Rights</w:t>
            </w:r>
          </w:p>
        </w:tc>
        <w:tc>
          <w:tcPr>
            <w:tcW w:type="dxa" w:w="28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Members have the right to know when AI processes their health data and to request human review</w:t>
            </w:r>
          </w:p>
        </w:tc>
        <w:tc>
          <w:tcPr>
            <w:tcW w:type="dxa" w:w="4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Spectrum.Life member communications must disclose AI involvement. Clinical triage routing disclosed as AI-assisted.</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6 — Data Breach Response</w:t>
            </w:r>
          </w:p>
        </w:tc>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Mishandling of member health data in AI interaction is a potential data breach requiring GDPR Article 33 notification</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Any suspected Article 9 breach involving AI is P1 Critical — CCO and DPO within 1 hour, supervisory authority within 72 hours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20"/>
              <w:left w:type="dxa" w:w="160"/>
              <w:bottom w:type="dxa" w:w="120"/>
              <w:right w:type="dxa" w:w="160"/>
            </w:tcMar>
          </w:tcPr>
          <w:p>
            <w:pPr>
              <w:spacing w:after="80" w:before="80"/>
              <w:jc w:val="left"/>
            </w:pPr>
            <w:r>
              <w:rPr>
                <w:rFonts w:ascii="Arial" w:cs="Arial" w:eastAsia="Arial" w:hAnsi="Arial"/>
                <w:b/>
                <w:bCs/>
                <w:i w:val="false"/>
                <w:iCs w:val="false"/>
                <w:color w:val="FFFFFF"/>
                <w:sz w:val="26"/>
                <w:szCs w:val="26"/>
              </w:rPr>
              <w:t xml:space="preserve">Section 6 — EU AI Act Compliance</w:t>
            </w:r>
          </w:p>
        </w:tc>
      </w:tr>
    </w:tbl>
    <w:p>
      <w:pPr>
        <w:spacing w:after="80" w:before="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c>
          <w:tcPr>
            <w:tcW w:type="dxa" w:w="26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spacing w:after="60" w:before="60"/>
            </w:pPr>
            <w:r>
              <w:rPr>
                <w:rFonts w:ascii="Arial" w:cs="Arial" w:eastAsia="Arial" w:hAnsi="Arial"/>
                <w:b/>
                <w:bCs/>
                <w:i w:val="false"/>
                <w:iCs w:val="false"/>
                <w:color w:val="FFFFFF"/>
                <w:sz w:val="18"/>
                <w:szCs w:val="18"/>
              </w:rPr>
              <w:t xml:space="preserve">Internal Deployment</w:t>
            </w:r>
          </w:p>
        </w:tc>
        <w:tc>
          <w:tcPr>
            <w:tcW w:type="dxa" w:w="24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spacing w:after="60" w:before="60"/>
            </w:pPr>
            <w:r>
              <w:rPr>
                <w:rFonts w:ascii="Arial" w:cs="Arial" w:eastAsia="Arial" w:hAnsi="Arial"/>
                <w:b/>
                <w:bCs/>
                <w:i w:val="false"/>
                <w:iCs w:val="false"/>
                <w:color w:val="FFFFFF"/>
                <w:sz w:val="18"/>
                <w:szCs w:val="18"/>
              </w:rPr>
              <w:t xml:space="preserve">High-Risk Assessment</w:t>
            </w:r>
          </w:p>
        </w:tc>
        <w:tc>
          <w:tcPr>
            <w:tcW w:type="dxa" w:w="43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spacing w:after="60" w:before="60"/>
            </w:pPr>
            <w:r>
              <w:rPr>
                <w:rFonts w:ascii="Arial" w:cs="Arial" w:eastAsia="Arial" w:hAnsi="Arial"/>
                <w:b/>
                <w:bCs/>
                <w:i w:val="false"/>
                <w:iCs w:val="false"/>
                <w:color w:val="FFFFFF"/>
                <w:sz w:val="18"/>
                <w:szCs w:val="18"/>
              </w:rPr>
              <w:t xml:space="preserve">Action Required</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Clinical Triage Routing Agent</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Likely high-risk — routes access to clinical support services</w:t>
            </w:r>
          </w:p>
        </w:tc>
        <w:tc>
          <w:tcPr>
            <w:tcW w:type="dxa" w:w="4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Legal review required before deployment. Conformity assessment if confirmed high-risk. Leverage Cara's existing framework.</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HR Onboarding Agent</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Possible — employment management context</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Legal review recommended. Likely low-risk if routing only, not employment decisions.</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Sales Renewal Agent</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Not high-risk</w:t>
            </w:r>
          </w:p>
        </w:tc>
        <w:tc>
          <w:tcPr>
            <w:tcW w:type="dxa" w:w="4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Standard governance applies.</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Claude for case notes</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Not high-risk — human reviews all outputs</w:t>
            </w:r>
          </w:p>
        </w:tc>
        <w:tc>
          <w:tcPr>
            <w:tcW w:type="dxa" w:w="4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Standard governance applies.</w:t>
            </w:r>
          </w:p>
        </w:tc>
      </w:tr>
      <w:tr>
        <w:tc>
          <w:tcPr>
            <w:tcW w:type="dxa" w:w="26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Claude for HR communications</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Not high-risk — human reviews all outputs</w:t>
            </w:r>
          </w:p>
        </w:tc>
        <w:tc>
          <w:tcPr>
            <w:tcW w:type="dxa" w:w="43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Standard governance applies.</w:t>
            </w:r>
          </w:p>
        </w:tc>
      </w:tr>
    </w:tbl>
    <w:p>
      <w:pPr>
        <w:spacing w:after="80" w:before="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A7A" w:sz="4"/>
              <w:left w:val="single" w:color="0D7A7A" w:sz="4"/>
              <w:bottom w:val="single" w:color="0D7A7A" w:sz="4"/>
              <w:right w:val="single" w:color="0D7A7A" w:sz="4"/>
            </w:tcBorders>
            <w:shd w:fill="E8F5F5" w:val="clear"/>
            <w:tcMar>
              <w:top w:type="dxa" w:w="140"/>
              <w:left w:type="dxa" w:w="180"/>
              <w:bottom w:type="dxa" w:w="140"/>
              <w:right w:type="dxa" w:w="180"/>
            </w:tcMar>
          </w:tcPr>
          <w:p>
            <w:pPr>
              <w:spacing w:after="60" w:before="60"/>
              <w:jc w:val="left"/>
            </w:pPr>
            <w:r>
              <w:rPr>
                <w:rFonts w:ascii="Arial" w:cs="Arial" w:eastAsia="Arial" w:hAnsi="Arial"/>
                <w:b/>
                <w:bCs/>
                <w:i w:val="false"/>
                <w:iCs w:val="false"/>
                <w:color w:val="0D7A7A"/>
                <w:sz w:val="19"/>
                <w:szCs w:val="19"/>
              </w:rPr>
              <w:t xml:space="preserve">Key principle: </w:t>
            </w:r>
            <w:r>
              <w:rPr>
                <w:rFonts w:ascii="Arial" w:cs="Arial" w:eastAsia="Arial" w:hAnsi="Arial"/>
                <w:b w:val="false"/>
                <w:bCs w:val="false"/>
                <w:i w:val="false"/>
                <w:iCs w:val="false"/>
                <w:color w:val="1B2A4A"/>
                <w:sz w:val="19"/>
                <w:szCs w:val="19"/>
              </w:rPr>
              <w:t xml:space="preserve">Spectrum.Life does not need to build EU AI Act compliance from scratch. Cara's existing governance framework — conformity assessment, clinical safety monitoring, documentation standards — is the blueprint. The AT Partner works with clinical governance to adapt it for internal deployments.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20"/>
              <w:left w:type="dxa" w:w="160"/>
              <w:bottom w:type="dxa" w:w="120"/>
              <w:right w:type="dxa" w:w="160"/>
            </w:tcMar>
          </w:tcPr>
          <w:p>
            <w:pPr>
              <w:spacing w:after="80" w:before="80"/>
              <w:jc w:val="left"/>
            </w:pPr>
            <w:r>
              <w:rPr>
                <w:rFonts w:ascii="Arial" w:cs="Arial" w:eastAsia="Arial" w:hAnsi="Arial"/>
                <w:b/>
                <w:bCs/>
                <w:i w:val="false"/>
                <w:iCs w:val="false"/>
                <w:color w:val="FFFFFF"/>
                <w:sz w:val="26"/>
                <w:szCs w:val="26"/>
              </w:rPr>
              <w:t xml:space="preserve">Section 7 — AI Incident Response</w:t>
            </w:r>
          </w:p>
        </w:tc>
      </w:tr>
    </w:tbl>
    <w:p>
      <w:pPr>
        <w:spacing w:after="80" w:before="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200"/>
        <w:gridCol w:w="2000"/>
        <w:gridCol w:w="2720"/>
      </w:tblGrid>
      <w:tr>
        <w:tc>
          <w:tcPr>
            <w:tcW w:type="dxa" w:w="144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spacing w:after="60" w:before="60"/>
            </w:pPr>
            <w:r>
              <w:rPr>
                <w:rFonts w:ascii="Arial" w:cs="Arial" w:eastAsia="Arial" w:hAnsi="Arial"/>
                <w:b/>
                <w:bCs/>
                <w:i w:val="false"/>
                <w:iCs w:val="false"/>
                <w:color w:val="FFFFFF"/>
                <w:sz w:val="18"/>
                <w:szCs w:val="18"/>
              </w:rPr>
              <w:t xml:space="preserve">Severity</w:t>
            </w:r>
          </w:p>
        </w:tc>
        <w:tc>
          <w:tcPr>
            <w:tcW w:type="dxa" w:w="32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spacing w:after="60" w:before="60"/>
            </w:pPr>
            <w:r>
              <w:rPr>
                <w:rFonts w:ascii="Arial" w:cs="Arial" w:eastAsia="Arial" w:hAnsi="Arial"/>
                <w:b/>
                <w:bCs/>
                <w:i w:val="false"/>
                <w:iCs w:val="false"/>
                <w:color w:val="FFFFFF"/>
                <w:sz w:val="18"/>
                <w:szCs w:val="18"/>
              </w:rPr>
              <w:t xml:space="preserve">Definition</w:t>
            </w:r>
          </w:p>
        </w:tc>
        <w:tc>
          <w:tcPr>
            <w:tcW w:type="dxa" w:w="20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spacing w:after="60" w:before="60"/>
            </w:pPr>
            <w:r>
              <w:rPr>
                <w:rFonts w:ascii="Arial" w:cs="Arial" w:eastAsia="Arial" w:hAnsi="Arial"/>
                <w:b/>
                <w:bCs/>
                <w:i w:val="false"/>
                <w:iCs w:val="false"/>
                <w:color w:val="FFFFFF"/>
                <w:sz w:val="18"/>
                <w:szCs w:val="18"/>
              </w:rPr>
              <w:t xml:space="preserve">Response SLA</w:t>
            </w:r>
          </w:p>
        </w:tc>
        <w:tc>
          <w:tcPr>
            <w:tcW w:type="dxa" w:w="272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spacing w:after="60" w:before="60"/>
            </w:pPr>
            <w:r>
              <w:rPr>
                <w:rFonts w:ascii="Arial" w:cs="Arial" w:eastAsia="Arial" w:hAnsi="Arial"/>
                <w:b/>
                <w:bCs/>
                <w:i w:val="false"/>
                <w:iCs w:val="false"/>
                <w:color w:val="FFFFFF"/>
                <w:sz w:val="18"/>
                <w:szCs w:val="18"/>
              </w:rPr>
              <w:t xml:space="preserve">Escalation</w:t>
            </w:r>
          </w:p>
        </w:tc>
      </w:tr>
      <w:tr>
        <w:tc>
          <w:tcPr>
            <w:tcW w:type="dxa" w:w="14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P1 — Critical</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AI involved in potential harm to a member, Article 9 data breach, or clinical safety failure</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Initial response within 1 hour</w:t>
            </w:r>
          </w:p>
        </w:tc>
        <w:tc>
          <w:tcPr>
            <w:tcW w:type="dxa" w:w="27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CCO + DPO + CEO within 2 hours. GDPR Article 33 notification within 72 hours if breach confirmed.</w:t>
            </w:r>
          </w:p>
        </w:tc>
      </w:tr>
      <w:tr>
        <w:tc>
          <w:tcPr>
            <w:tcW w:type="dxa" w:w="1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P2 — High</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Significant governance breach, AI output causes material harm, regulatory compliance risk</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Initial response within 4 hours</w:t>
            </w:r>
          </w:p>
        </w:tc>
        <w:tc>
          <w:tcPr>
            <w:tcW w:type="dxa" w:w="27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AT Partner + relevant dept head within 4 hours</w:t>
            </w:r>
          </w:p>
        </w:tc>
      </w:tr>
      <w:tr>
        <w:tc>
          <w:tcPr>
            <w:tcW w:type="dxa" w:w="14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P3 — Medium</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Governance policy violation without immediate harm, AI output quality failure</w:t>
            </w:r>
          </w:p>
        </w:tc>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Initial response within 24 hours</w:t>
            </w:r>
          </w:p>
        </w:tc>
        <w:tc>
          <w:tcPr>
            <w:tcW w:type="dxa" w:w="27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AT Partner within 24 hours</w:t>
            </w:r>
          </w:p>
        </w:tc>
      </w:tr>
      <w:tr>
        <w:tc>
          <w:tcPr>
            <w:tcW w:type="dxa" w:w="1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P4 — Low</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Minor policy deviation, near-miss, or quality issue with no material impact</w:t>
            </w:r>
          </w:p>
        </w:tc>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Initial response within 48 hours</w:t>
            </w:r>
          </w:p>
        </w:tc>
        <w:tc>
          <w:tcPr>
            <w:tcW w:type="dxa" w:w="27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AT Partner for tracking</w:t>
            </w:r>
          </w:p>
        </w:tc>
      </w:tr>
    </w:tbl>
    <w:p>
      <w:pPr>
        <w:spacing w:after="80" w:before="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7A7A" w:val="clear"/>
            <w:tcMar>
              <w:top w:type="dxa" w:w="120"/>
              <w:left w:type="dxa" w:w="160"/>
              <w:bottom w:type="dxa" w:w="120"/>
              <w:right w:type="dxa" w:w="160"/>
            </w:tcMar>
          </w:tcPr>
          <w:p>
            <w:pPr>
              <w:spacing w:after="80" w:before="80"/>
              <w:jc w:val="left"/>
            </w:pPr>
            <w:r>
              <w:rPr>
                <w:rFonts w:ascii="Arial" w:cs="Arial" w:eastAsia="Arial" w:hAnsi="Arial"/>
                <w:b/>
                <w:bCs/>
                <w:i w:val="false"/>
                <w:iCs w:val="false"/>
                <w:color w:val="FFFFFF"/>
                <w:sz w:val="26"/>
                <w:szCs w:val="26"/>
              </w:rPr>
              <w:t xml:space="preserve">P1 Critical Incident Escalation Path</w:t>
            </w:r>
          </w:p>
        </w:tc>
      </w:tr>
    </w:tbl>
    <w:p>
      <w:pPr>
        <w:spacing w:after="80" w:before="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60"/>
              <w:left w:type="dxa" w:w="200"/>
              <w:bottom w:type="dxa" w:w="160"/>
              <w:right w:type="dxa" w:w="200"/>
            </w:tcMar>
          </w:tcPr>
          <w:p>
            <w:pPr>
              <w:spacing w:after="40" w:before="60"/>
              <w:jc w:val="center"/>
            </w:pPr>
            <w:r>
              <w:rPr>
                <w:rFonts w:ascii="Arial" w:cs="Arial" w:eastAsia="Arial" w:hAnsi="Arial"/>
                <w:b w:val="false"/>
                <w:bCs w:val="false"/>
                <w:i w:val="false"/>
                <w:iCs w:val="false"/>
                <w:color w:val="B0D8D8"/>
                <w:sz w:val="18"/>
                <w:szCs w:val="18"/>
              </w:rPr>
              <w:t xml:space="preserve">Incident discovered → Immediately stop the AI process</w:t>
            </w:r>
          </w:p>
          <w:p>
            <w:pPr>
              <w:spacing w:after="20" w:before="0"/>
              <w:jc w:val="center"/>
            </w:pPr>
            <w:r>
              <w:rPr>
                <w:rFonts w:ascii="Arial" w:cs="Arial" w:eastAsia="Arial" w:hAnsi="Arial"/>
                <w:b/>
                <w:bCs/>
                <w:i w:val="false"/>
                <w:iCs w:val="false"/>
                <w:color w:val="C9A84C"/>
                <w:sz w:val="22"/>
                <w:szCs w:val="22"/>
              </w:rPr>
              <w:t xml:space="preserve">↓</w:t>
            </w:r>
          </w:p>
          <w:p>
            <w:pPr>
              <w:spacing w:after="40" w:before="0"/>
              <w:jc w:val="center"/>
            </w:pPr>
            <w:r>
              <w:rPr>
                <w:rFonts w:ascii="Arial" w:cs="Arial" w:eastAsia="Arial" w:hAnsi="Arial"/>
                <w:b w:val="false"/>
                <w:bCs w:val="false"/>
                <w:i w:val="false"/>
                <w:iCs w:val="false"/>
                <w:color w:val="FFFFFF"/>
                <w:sz w:val="18"/>
                <w:szCs w:val="18"/>
              </w:rPr>
              <w:t xml:space="preserve">Within 15 minutes → Report to AI Transformation Partner</w:t>
            </w:r>
          </w:p>
          <w:p>
            <w:pPr>
              <w:spacing w:after="20" w:before="0"/>
              <w:jc w:val="center"/>
            </w:pPr>
            <w:r>
              <w:rPr>
                <w:rFonts w:ascii="Arial" w:cs="Arial" w:eastAsia="Arial" w:hAnsi="Arial"/>
                <w:b/>
                <w:bCs/>
                <w:i w:val="false"/>
                <w:iCs w:val="false"/>
                <w:color w:val="C9A84C"/>
                <w:sz w:val="22"/>
                <w:szCs w:val="22"/>
              </w:rPr>
              <w:t xml:space="preserve">↓</w:t>
            </w:r>
          </w:p>
          <w:p>
            <w:pPr>
              <w:spacing w:after="40" w:before="0"/>
              <w:jc w:val="center"/>
            </w:pPr>
            <w:r>
              <w:rPr>
                <w:rFonts w:ascii="Arial" w:cs="Arial" w:eastAsia="Arial" w:hAnsi="Arial"/>
                <w:b w:val="false"/>
                <w:bCs w:val="false"/>
                <w:i w:val="false"/>
                <w:iCs w:val="false"/>
                <w:color w:val="B0D8D8"/>
                <w:sz w:val="18"/>
                <w:szCs w:val="18"/>
              </w:rPr>
              <w:t xml:space="preserve">Within 1 hour → AT Partner confirms P1 severity</w:t>
            </w:r>
          </w:p>
          <w:p>
            <w:pPr>
              <w:spacing w:after="20" w:before="0"/>
              <w:jc w:val="center"/>
            </w:pPr>
            <w:r>
              <w:rPr>
                <w:rFonts w:ascii="Arial" w:cs="Arial" w:eastAsia="Arial" w:hAnsi="Arial"/>
                <w:b/>
                <w:bCs/>
                <w:i w:val="false"/>
                <w:iCs w:val="false"/>
                <w:color w:val="C9A84C"/>
                <w:sz w:val="22"/>
                <w:szCs w:val="22"/>
              </w:rPr>
              <w:t xml:space="preserve">↓</w:t>
            </w:r>
          </w:p>
          <w:p>
            <w:pPr>
              <w:spacing w:after="40" w:before="0"/>
              <w:jc w:val="center"/>
            </w:pPr>
            <w:r>
              <w:rPr>
                <w:rFonts w:ascii="Arial" w:cs="Arial" w:eastAsia="Arial" w:hAnsi="Arial"/>
                <w:b w:val="false"/>
                <w:bCs w:val="false"/>
                <w:i w:val="false"/>
                <w:iCs w:val="false"/>
                <w:color w:val="FFFFFF"/>
                <w:sz w:val="18"/>
                <w:szCs w:val="18"/>
              </w:rPr>
              <w:t xml:space="preserve">Within 2 hours → CCO (Dr. Sarah O’Neill) + DPO + CEO (Stephen) notified</w:t>
            </w:r>
          </w:p>
          <w:p>
            <w:pPr>
              <w:spacing w:after="20" w:before="0"/>
              <w:jc w:val="center"/>
            </w:pPr>
            <w:r>
              <w:rPr>
                <w:rFonts w:ascii="Arial" w:cs="Arial" w:eastAsia="Arial" w:hAnsi="Arial"/>
                <w:b/>
                <w:bCs/>
                <w:i w:val="false"/>
                <w:iCs w:val="false"/>
                <w:color w:val="C9A84C"/>
                <w:sz w:val="22"/>
                <w:szCs w:val="22"/>
              </w:rPr>
              <w:t xml:space="preserve">↓</w:t>
            </w:r>
          </w:p>
          <w:p>
            <w:pPr>
              <w:spacing w:after="40" w:before="0"/>
              <w:jc w:val="center"/>
            </w:pPr>
            <w:r>
              <w:rPr>
                <w:rFonts w:ascii="Arial" w:cs="Arial" w:eastAsia="Arial" w:hAnsi="Arial"/>
                <w:b w:val="false"/>
                <w:bCs w:val="false"/>
                <w:i w:val="false"/>
                <w:iCs w:val="false"/>
                <w:color w:val="FEF3E8"/>
                <w:sz w:val="18"/>
                <w:szCs w:val="18"/>
              </w:rPr>
              <w:t xml:space="preserve">If Article 9 breach confirmed: Within 72 hours → GDPR supervisory authority notified (Article 33)</w:t>
            </w:r>
          </w:p>
          <w:p>
            <w:pPr>
              <w:spacing w:after="20" w:before="0"/>
              <w:jc w:val="center"/>
            </w:pPr>
            <w:r>
              <w:rPr>
                <w:rFonts w:ascii="Arial" w:cs="Arial" w:eastAsia="Arial" w:hAnsi="Arial"/>
                <w:b/>
                <w:bCs/>
                <w:i w:val="false"/>
                <w:iCs w:val="false"/>
                <w:color w:val="C9A84C"/>
                <w:sz w:val="22"/>
                <w:szCs w:val="22"/>
              </w:rPr>
              <w:t xml:space="preserve">↓</w:t>
            </w:r>
          </w:p>
          <w:p>
            <w:pPr>
              <w:spacing w:after="60" w:before="0"/>
              <w:jc w:val="center"/>
            </w:pPr>
            <w:r>
              <w:rPr>
                <w:rFonts w:ascii="Arial" w:cs="Arial" w:eastAsia="Arial" w:hAnsi="Arial"/>
                <w:b w:val="false"/>
                <w:bCs w:val="false"/>
                <w:i w:val="false"/>
                <w:iCs w:val="false"/>
                <w:color w:val="B0D8D8"/>
                <w:sz w:val="18"/>
                <w:szCs w:val="18"/>
              </w:rPr>
              <w:t xml:space="preserve">Within 24 hours → Full investigation begins → Remediation plan agreed → Framework updated</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20"/>
              <w:left w:type="dxa" w:w="160"/>
              <w:bottom w:type="dxa" w:w="120"/>
              <w:right w:type="dxa" w:w="160"/>
            </w:tcMar>
          </w:tcPr>
          <w:p>
            <w:pPr>
              <w:spacing w:after="80" w:before="80"/>
              <w:jc w:val="left"/>
            </w:pPr>
            <w:r>
              <w:rPr>
                <w:rFonts w:ascii="Arial" w:cs="Arial" w:eastAsia="Arial" w:hAnsi="Arial"/>
                <w:b/>
                <w:bCs/>
                <w:i w:val="false"/>
                <w:iCs w:val="false"/>
                <w:color w:val="FFFFFF"/>
                <w:sz w:val="26"/>
                <w:szCs w:val="26"/>
              </w:rPr>
              <w:t xml:space="preserve">Section 8 — Audit and Oversight Structure</w:t>
            </w:r>
          </w:p>
        </w:tc>
      </w:tr>
    </w:tbl>
    <w:p>
      <w:pPr>
        <w:spacing w:after="80" w:before="0"/>
      </w:pPr>
      <w:r>
        <w:rPr>
          <w:rFonts w:ascii="Arial" w:cs="Arial" w:eastAsia="Arial" w:hAnsi="Arial"/>
          <w:b w:val="false"/>
          <w:bCs w:val="false"/>
          <w:i w:val="false"/>
          <w:iCs w:val="false"/>
          <w:color w:val="000000"/>
          <w:sz w:val="20"/>
          <w:szCs w:val="20"/>
        </w:rPr>
        <w:t xml:space="preserve"/>
      </w:r>
    </w:p>
    <w:p>
      <w:pPr>
        <w:spacing w:after="60" w:before="60"/>
        <w:jc w:val="left"/>
      </w:pPr>
      <w:r>
        <w:rPr>
          <w:rFonts w:ascii="Arial" w:cs="Arial" w:eastAsia="Arial" w:hAnsi="Arial"/>
          <w:b/>
          <w:bCs/>
          <w:i w:val="false"/>
          <w:iCs w:val="false"/>
          <w:color w:val="1B2A4A"/>
          <w:sz w:val="20"/>
          <w:szCs w:val="20"/>
        </w:rPr>
        <w:t xml:space="preserve">Quarterly AI Governance Audit — Four Dimensions:</w:t>
      </w:r>
    </w:p>
    <w:p>
      <w:pPr>
        <w:spacing w:after="80" w:before="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spacing w:after="60" w:before="60"/>
            </w:pPr>
            <w:r>
              <w:rPr>
                <w:rFonts w:ascii="Arial" w:cs="Arial" w:eastAsia="Arial" w:hAnsi="Arial"/>
                <w:b/>
                <w:bCs/>
                <w:i w:val="false"/>
                <w:iCs w:val="false"/>
                <w:color w:val="FFFFFF"/>
                <w:sz w:val="18"/>
                <w:szCs w:val="18"/>
              </w:rPr>
              <w:t xml:space="preserve">Audit Dimension</w:t>
            </w:r>
          </w:p>
        </w:tc>
        <w:tc>
          <w:tcPr>
            <w:tcW w:type="dxa" w:w="65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spacing w:after="60" w:before="60"/>
            </w:pPr>
            <w:r>
              <w:rPr>
                <w:rFonts w:ascii="Arial" w:cs="Arial" w:eastAsia="Arial" w:hAnsi="Arial"/>
                <w:b/>
                <w:bCs/>
                <w:i w:val="false"/>
                <w:iCs w:val="false"/>
                <w:color w:val="FFFFFF"/>
                <w:sz w:val="18"/>
                <w:szCs w:val="18"/>
              </w:rPr>
              <w:t xml:space="preserve">What Is Reviewed</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Usage Review</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Active AI tools by department, approximate usage volumes, new deployments since last audit</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Quality Review</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Prompt library output quality, Agentforce override rates, sample review of Claude-generated outputs filed in Salesforce</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Compliance Review</w:t>
            </w:r>
          </w:p>
        </w:tc>
        <w:tc>
          <w:tcPr>
            <w:tcW w:type="dxa" w:w="65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DPA status, consent mapping, GDPR Article 9 compliance, EU AI Act risk classification updates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Incident Review</w:t>
            </w:r>
          </w:p>
        </w:tc>
        <w:tc>
          <w:tcPr>
            <w:tcW w:type="dxa" w:w="6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All P1-P4 incidents from the quarter, recurring patterns, framework effectiveness assessment</w:t>
            </w:r>
          </w:p>
        </w:tc>
      </w:tr>
    </w:tbl>
    <w:p>
      <w:pPr>
        <w:spacing w:after="80" w:before="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7A7A" w:val="clear"/>
            <w:tcMar>
              <w:top w:type="dxa" w:w="120"/>
              <w:left w:type="dxa" w:w="160"/>
              <w:bottom w:type="dxa" w:w="120"/>
              <w:right w:type="dxa" w:w="160"/>
            </w:tcMar>
          </w:tcPr>
          <w:p>
            <w:pPr>
              <w:spacing w:after="80" w:before="80"/>
              <w:jc w:val="left"/>
            </w:pPr>
            <w:r>
              <w:rPr>
                <w:rFonts w:ascii="Arial" w:cs="Arial" w:eastAsia="Arial" w:hAnsi="Arial"/>
                <w:b/>
                <w:bCs/>
                <w:i w:val="false"/>
                <w:iCs w:val="false"/>
                <w:color w:val="FFFFFF"/>
                <w:sz w:val="26"/>
                <w:szCs w:val="26"/>
              </w:rPr>
              <w:t xml:space="preserve">Governance Health Metrics</w:t>
            </w:r>
          </w:p>
        </w:tc>
      </w:tr>
    </w:tbl>
    <w:p>
      <w:pPr>
        <w:spacing w:after="80" w:before="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2680"/>
        <w:gridCol w:w="2680"/>
      </w:tblGrid>
      <w:tr>
        <w:tc>
          <w:tcPr>
            <w:tcW w:type="dxa" w:w="40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spacing w:after="60" w:before="60"/>
            </w:pPr>
            <w:r>
              <w:rPr>
                <w:rFonts w:ascii="Arial" w:cs="Arial" w:eastAsia="Arial" w:hAnsi="Arial"/>
                <w:b/>
                <w:bCs/>
                <w:i w:val="false"/>
                <w:iCs w:val="false"/>
                <w:color w:val="FFFFFF"/>
                <w:sz w:val="18"/>
                <w:szCs w:val="18"/>
              </w:rPr>
              <w:t xml:space="preserve">Metric</w:t>
            </w:r>
          </w:p>
        </w:tc>
        <w:tc>
          <w:tcPr>
            <w:tcW w:type="dxa" w:w="268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spacing w:after="60" w:before="60"/>
            </w:pPr>
            <w:r>
              <w:rPr>
                <w:rFonts w:ascii="Arial" w:cs="Arial" w:eastAsia="Arial" w:hAnsi="Arial"/>
                <w:b/>
                <w:bCs/>
                <w:i w:val="false"/>
                <w:iCs w:val="false"/>
                <w:color w:val="FFFFFF"/>
                <w:sz w:val="18"/>
                <w:szCs w:val="18"/>
              </w:rPr>
              <w:t xml:space="preserve">Target</w:t>
            </w:r>
          </w:p>
        </w:tc>
        <w:tc>
          <w:tcPr>
            <w:tcW w:type="dxa" w:w="268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spacing w:after="60" w:before="60"/>
            </w:pPr>
            <w:r>
              <w:rPr>
                <w:rFonts w:ascii="Arial" w:cs="Arial" w:eastAsia="Arial" w:hAnsi="Arial"/>
                <w:b/>
                <w:bCs/>
                <w:i w:val="false"/>
                <w:iCs w:val="false"/>
                <w:color w:val="FFFFFF"/>
                <w:sz w:val="18"/>
                <w:szCs w:val="18"/>
              </w:rPr>
              <w:t xml:space="preserve">Review Frequency</w:t>
            </w:r>
          </w:p>
        </w:tc>
      </w:tr>
      <w:tr>
        <w:tc>
          <w:tcPr>
            <w:tcW w:type="dxa" w:w="4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GDPR Article 9 incidents</w:t>
            </w:r>
          </w:p>
        </w:tc>
        <w:tc>
          <w:tcPr>
            <w:tcW w:type="dxa" w:w="2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Zero</w:t>
            </w:r>
          </w:p>
        </w:tc>
        <w:tc>
          <w:tcPr>
            <w:tcW w:type="dxa" w:w="2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Monthly</w:t>
            </w:r>
          </w:p>
        </w:tc>
      </w:tr>
      <w:tr>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DPA confirmation rate for active AI tools</w:t>
            </w:r>
          </w:p>
        </w:tc>
        <w:tc>
          <w:tcPr>
            <w:tcW w:type="dxa" w:w="2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100%</w:t>
            </w:r>
          </w:p>
        </w:tc>
        <w:tc>
          <w:tcPr>
            <w:tcW w:type="dxa" w:w="2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Quarterly</w:t>
            </w:r>
          </w:p>
        </w:tc>
      </w:tr>
      <w:tr>
        <w:tc>
          <w:tcPr>
            <w:tcW w:type="dxa" w:w="4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Staff AI training completion</w:t>
            </w:r>
          </w:p>
        </w:tc>
        <w:tc>
          <w:tcPr>
            <w:tcW w:type="dxa" w:w="2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80%+</w:t>
            </w:r>
          </w:p>
        </w:tc>
        <w:tc>
          <w:tcPr>
            <w:tcW w:type="dxa" w:w="2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Quarterly</w:t>
            </w:r>
          </w:p>
        </w:tc>
      </w:tr>
      <w:tr>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Agentforce agent override rates</w:t>
            </w:r>
          </w:p>
        </w:tc>
        <w:tc>
          <w:tcPr>
            <w:tcW w:type="dxa" w:w="2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Below 15% per agent</w:t>
            </w:r>
          </w:p>
        </w:tc>
        <w:tc>
          <w:tcPr>
            <w:tcW w:type="dxa" w:w="2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Monthly</w:t>
            </w:r>
          </w:p>
        </w:tc>
      </w:tr>
      <w:tr>
        <w:tc>
          <w:tcPr>
            <w:tcW w:type="dxa" w:w="4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AI governance audits completed</w:t>
            </w:r>
          </w:p>
        </w:tc>
        <w:tc>
          <w:tcPr>
            <w:tcW w:type="dxa" w:w="2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4 per year</w:t>
            </w:r>
          </w:p>
        </w:tc>
        <w:tc>
          <w:tcPr>
            <w:tcW w:type="dxa" w:w="2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Quarterly</w:t>
            </w:r>
          </w:p>
        </w:tc>
      </w:tr>
      <w:tr>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P1/P2 incident resolution within SLA</w:t>
            </w:r>
          </w:p>
        </w:tc>
        <w:tc>
          <w:tcPr>
            <w:tcW w:type="dxa" w:w="2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100%</w:t>
            </w:r>
          </w:p>
        </w:tc>
        <w:tc>
          <w:tcPr>
            <w:tcW w:type="dxa" w:w="2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Per incident</w:t>
            </w:r>
          </w:p>
        </w:tc>
      </w:tr>
      <w:tr>
        <w:tc>
          <w:tcPr>
            <w:tcW w:type="dxa" w:w="4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Tier 4 deployment CCO sign-off rate</w:t>
            </w:r>
          </w:p>
        </w:tc>
        <w:tc>
          <w:tcPr>
            <w:tcW w:type="dxa" w:w="2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100%</w:t>
            </w:r>
          </w:p>
        </w:tc>
        <w:tc>
          <w:tcPr>
            <w:tcW w:type="dxa" w:w="268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Per deployment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20"/>
              <w:left w:type="dxa" w:w="160"/>
              <w:bottom w:type="dxa" w:w="120"/>
              <w:right w:type="dxa" w:w="160"/>
            </w:tcMar>
          </w:tcPr>
          <w:p>
            <w:pPr>
              <w:spacing w:after="80" w:before="80"/>
              <w:jc w:val="left"/>
            </w:pPr>
            <w:r>
              <w:rPr>
                <w:rFonts w:ascii="Arial" w:cs="Arial" w:eastAsia="Arial" w:hAnsi="Arial"/>
                <w:b/>
                <w:bCs/>
                <w:i w:val="false"/>
                <w:iCs w:val="false"/>
                <w:color w:val="FFFFFF"/>
                <w:sz w:val="26"/>
                <w:szCs w:val="26"/>
              </w:rPr>
              <w:t xml:space="preserve">Section 9 — Staff Responsibilities</w:t>
            </w:r>
          </w:p>
        </w:tc>
      </w:tr>
    </w:tbl>
    <w:p>
      <w:pPr>
        <w:spacing w:after="80" w:before="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spacing w:after="60" w:before="60"/>
            </w:pPr>
            <w:r>
              <w:rPr>
                <w:rFonts w:ascii="Arial" w:cs="Arial" w:eastAsia="Arial" w:hAnsi="Arial"/>
                <w:b/>
                <w:bCs/>
                <w:i w:val="false"/>
                <w:iCs w:val="false"/>
                <w:color w:val="FFFFFF"/>
                <w:sz w:val="18"/>
                <w:szCs w:val="18"/>
              </w:rPr>
              <w:t xml:space="preserve">Role</w:t>
            </w:r>
          </w:p>
        </w:tc>
        <w:tc>
          <w:tcPr>
            <w:tcW w:type="dxa" w:w="696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spacing w:after="60" w:before="60"/>
            </w:pPr>
            <w:r>
              <w:rPr>
                <w:rFonts w:ascii="Arial" w:cs="Arial" w:eastAsia="Arial" w:hAnsi="Arial"/>
                <w:b/>
                <w:bCs/>
                <w:i w:val="false"/>
                <w:iCs w:val="false"/>
                <w:color w:val="FFFFFF"/>
                <w:sz w:val="18"/>
                <w:szCs w:val="18"/>
              </w:rPr>
              <w:t xml:space="preserve">AI Governance Responsibilities</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All Staff</w:t>
            </w:r>
          </w:p>
        </w:tc>
        <w:tc>
          <w:tcPr>
            <w:tcW w:type="dxa" w:w="6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Complete Claude Foundations and Data Safety training. Follow Acceptable Use Policy. Report any suspected incidents. Use only approved AI tools. Never enter identifiable member health data into Claude without explicit AT Partner confirmation.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Case Managers</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Follow Prompt Library clinical prompts exactly. Review every Claude output before filing or acting. Never treat AI classification as a final clinical judgement. Override agent decisions when your professional judgement differs — and log the override.</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HR Team</w:t>
            </w:r>
          </w:p>
        </w:tc>
        <w:tc>
          <w:tcPr>
            <w:tcW w:type="dxa" w:w="6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Follow Prompt Library HR prompts. Review all Claude-generated communications before sending. Ensure staff are informed of Claude Project data use. Escalate data handling concerns to AT Partner.</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Account Managers</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Review all Claude-generated proposals and reports before sending to clients. Do not share client-sensitive data with AI tools without AT Partner approval. Log renewal agent overrides.</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Clinical Lead / CCO</w:t>
            </w:r>
          </w:p>
        </w:tc>
        <w:tc>
          <w:tcPr>
            <w:tcW w:type="dxa" w:w="6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Sign off on all Tier 4 deployments. Lead clinical P1 incident response. Quarterly review of clinical AI output quality. Confirm clinical boundary definitions remain appropriate as AI expands.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AI Transformation Partner</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Own and maintain this framework. Govern all AI deployments against risk tiers. Lead quarterly audits. Respond to incidents within SLA. Train and support all staff. Report governance health quarterly.</w:t>
            </w:r>
          </w:p>
        </w:tc>
      </w:tr>
      <w:tr>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CPO (Lynda)</w:t>
            </w:r>
          </w:p>
        </w:tc>
        <w:tc>
          <w:tcPr>
            <w:tcW w:type="dxa" w:w="696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Executive sign-off on framework updates. P2+ incident escalation point. Board reporting on AI governance posture.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CEO (Stephen)</w:t>
            </w:r>
          </w:p>
        </w:tc>
        <w:tc>
          <w:tcPr>
            <w:tcW w:type="dxa" w:w="69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Set AI vision and pace. Ensure governance investment matches AI ambition. P1 incident escalation point. Represent Spectrum.Life AI governance posture to investors, board, and regulators.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2A4A" w:val="clear"/>
            <w:tcMar>
              <w:top w:type="dxa" w:w="120"/>
              <w:left w:type="dxa" w:w="160"/>
              <w:bottom w:type="dxa" w:w="120"/>
              <w:right w:type="dxa" w:w="160"/>
            </w:tcMar>
          </w:tcPr>
          <w:p>
            <w:pPr>
              <w:spacing w:after="80" w:before="80"/>
              <w:jc w:val="left"/>
            </w:pPr>
            <w:r>
              <w:rPr>
                <w:rFonts w:ascii="Arial" w:cs="Arial" w:eastAsia="Arial" w:hAnsi="Arial"/>
                <w:b/>
                <w:bCs/>
                <w:i w:val="false"/>
                <w:iCs w:val="false"/>
                <w:color w:val="FFFFFF"/>
                <w:sz w:val="26"/>
                <w:szCs w:val="26"/>
              </w:rPr>
              <w:t xml:space="preserve">Section 10 — AI Governance Maturity Roadmap</w:t>
            </w:r>
          </w:p>
        </w:tc>
      </w:tr>
    </w:tbl>
    <w:p>
      <w:pPr>
        <w:spacing w:after="80" w:before="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3200"/>
        <w:gridCol w:w="4720"/>
      </w:tblGrid>
      <w:tr>
        <w:tc>
          <w:tcPr>
            <w:tcW w:type="dxa" w:w="144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spacing w:after="60" w:before="60"/>
            </w:pPr>
            <w:r>
              <w:rPr>
                <w:rFonts w:ascii="Arial" w:cs="Arial" w:eastAsia="Arial" w:hAnsi="Arial"/>
                <w:b/>
                <w:bCs/>
                <w:i w:val="false"/>
                <w:iCs w:val="false"/>
                <w:color w:val="FFFFFF"/>
                <w:sz w:val="18"/>
                <w:szCs w:val="18"/>
              </w:rPr>
              <w:t xml:space="preserve">Level</w:t>
            </w:r>
          </w:p>
        </w:tc>
        <w:tc>
          <w:tcPr>
            <w:tcW w:type="dxa" w:w="320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spacing w:after="60" w:before="60"/>
            </w:pPr>
            <w:r>
              <w:rPr>
                <w:rFonts w:ascii="Arial" w:cs="Arial" w:eastAsia="Arial" w:hAnsi="Arial"/>
                <w:b/>
                <w:bCs/>
                <w:i w:val="false"/>
                <w:iCs w:val="false"/>
                <w:color w:val="FFFFFF"/>
                <w:sz w:val="18"/>
                <w:szCs w:val="18"/>
              </w:rPr>
              <w:t xml:space="preserve">Label / Timeline</w:t>
            </w:r>
          </w:p>
        </w:tc>
        <w:tc>
          <w:tcPr>
            <w:tcW w:type="dxa" w:w="472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spacing w:after="60" w:before="60"/>
            </w:pPr>
            <w:r>
              <w:rPr>
                <w:rFonts w:ascii="Arial" w:cs="Arial" w:eastAsia="Arial" w:hAnsi="Arial"/>
                <w:b/>
                <w:bCs/>
                <w:i w:val="false"/>
                <w:iCs w:val="false"/>
                <w:color w:val="FFFFFF"/>
                <w:sz w:val="18"/>
                <w:szCs w:val="18"/>
              </w:rPr>
              <w:t xml:space="preserve">Key Milestones</w:t>
            </w:r>
          </w:p>
        </w:tc>
      </w:tr>
      <w:tr>
        <w:tc>
          <w:tcPr>
            <w:tcW w:type="dxa" w:w="1440"/>
            <w:tcBorders>
              <w:top w:val="single" w:color="D1D5DB" w:sz="1"/>
              <w:left w:val="single" w:color="D1D5DB" w:sz="1"/>
              <w:bottom w:val="single" w:color="D1D5DB" w:sz="1"/>
              <w:right w:val="single" w:color="D1D5DB" w:sz="1"/>
            </w:tcBorders>
            <w:shd w:fill="6B7280" w:val="clear"/>
            <w:tcMar>
              <w:top w:type="dxa" w:w="80"/>
              <w:left w:type="dxa" w:w="120"/>
              <w:bottom w:type="dxa" w:w="80"/>
              <w:right w:type="dxa" w:w="120"/>
            </w:tcMar>
          </w:tcPr>
          <w:p>
            <w:pPr>
              <w:spacing w:after="80" w:before="80"/>
              <w:jc w:val="center"/>
            </w:pPr>
            <w:r>
              <w:rPr>
                <w:rFonts w:ascii="Arial" w:cs="Arial" w:eastAsia="Arial" w:hAnsi="Arial"/>
                <w:b/>
                <w:bCs/>
                <w:i w:val="false"/>
                <w:iCs w:val="false"/>
                <w:color w:val="FFFFFF"/>
                <w:sz w:val="22"/>
                <w:szCs w:val="22"/>
              </w:rPr>
              <w:t xml:space="preserve">1</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20" w:before="60"/>
            </w:pPr>
            <w:r>
              <w:rPr>
                <w:rFonts w:ascii="Arial" w:cs="Arial" w:eastAsia="Arial" w:hAnsi="Arial"/>
                <w:b/>
                <w:bCs/>
                <w:i w:val="false"/>
                <w:iCs w:val="false"/>
                <w:color w:val="1B2A4A"/>
                <w:sz w:val="19"/>
                <w:szCs w:val="19"/>
              </w:rPr>
              <w:t xml:space="preserve">Ad Hoc</w:t>
            </w:r>
          </w:p>
          <w:p>
            <w:pPr>
              <w:spacing w:after="60" w:before="0"/>
            </w:pPr>
            <w:r>
              <w:rPr>
                <w:rFonts w:ascii="Arial" w:cs="Arial" w:eastAsia="Arial" w:hAnsi="Arial"/>
                <w:b w:val="false"/>
                <w:bCs w:val="false"/>
                <w:i/>
                <w:iCs/>
                <w:color w:val="6B7280"/>
                <w:sz w:val="17"/>
                <w:szCs w:val="17"/>
              </w:rPr>
              <w:t xml:space="preserve">Current State</w:t>
            </w:r>
          </w:p>
        </w:tc>
        <w:tc>
          <w:tcPr>
            <w:tcW w:type="dxa" w:w="47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One live Claude deployment. No formal framework. Stephen is the sole Claude SME. No Prompt Library, risk classification, or audit process.</w:t>
            </w:r>
          </w:p>
        </w:tc>
      </w:tr>
      <w:tr>
        <w:tc>
          <w:tcPr>
            <w:tcW w:type="dxa" w:w="1440"/>
            <w:tcBorders>
              <w:top w:val="single" w:color="E87C2B" w:sz="1"/>
              <w:left w:val="single" w:color="E87C2B" w:sz="1"/>
              <w:bottom w:val="single" w:color="E87C2B" w:sz="1"/>
              <w:right w:val="single" w:color="E87C2B" w:sz="1"/>
            </w:tcBorders>
            <w:shd w:fill="E87C2B" w:val="clear"/>
            <w:tcMar>
              <w:top w:type="dxa" w:w="80"/>
              <w:left w:type="dxa" w:w="120"/>
              <w:bottom w:type="dxa" w:w="80"/>
              <w:right w:type="dxa" w:w="120"/>
            </w:tcMar>
          </w:tcPr>
          <w:p>
            <w:pPr>
              <w:spacing w:after="80" w:before="80"/>
              <w:jc w:val="center"/>
            </w:pPr>
            <w:r>
              <w:rPr>
                <w:rFonts w:ascii="Arial" w:cs="Arial" w:eastAsia="Arial" w:hAnsi="Arial"/>
                <w:b/>
                <w:bCs/>
                <w:i w:val="false"/>
                <w:iCs w:val="false"/>
                <w:color w:val="FFFFFF"/>
                <w:sz w:val="22"/>
                <w:szCs w:val="22"/>
              </w:rPr>
              <w:t xml:space="preserve">2</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20" w:before="60"/>
            </w:pPr>
            <w:r>
              <w:rPr>
                <w:rFonts w:ascii="Arial" w:cs="Arial" w:eastAsia="Arial" w:hAnsi="Arial"/>
                <w:b/>
                <w:bCs/>
                <w:i w:val="false"/>
                <w:iCs w:val="false"/>
                <w:color w:val="1B2A4A"/>
                <w:sz w:val="19"/>
                <w:szCs w:val="19"/>
              </w:rPr>
              <w:t xml:space="preserve">Foundation</w:t>
            </w:r>
          </w:p>
          <w:p>
            <w:pPr>
              <w:spacing w:after="60" w:before="0"/>
            </w:pPr>
            <w:r>
              <w:rPr>
                <w:rFonts w:ascii="Arial" w:cs="Arial" w:eastAsia="Arial" w:hAnsi="Arial"/>
                <w:b w:val="false"/>
                <w:bCs w:val="false"/>
                <w:i/>
                <w:iCs/>
                <w:color w:val="6B7280"/>
                <w:sz w:val="17"/>
                <w:szCs w:val="17"/>
              </w:rPr>
              <w:t xml:space="preserve">Months 1–3</w:t>
            </w:r>
          </w:p>
        </w:tc>
        <w:tc>
          <w:tcPr>
            <w:tcW w:type="dxa" w:w="47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This framework signed off. Acceptable Use Policy communicated. Prompt Library V1 live. DPA with Anthropic confirmed. Staff training launched. Baseline governance metrics established.</w:t>
            </w:r>
          </w:p>
        </w:tc>
      </w:tr>
      <w:tr>
        <w:tc>
          <w:tcPr>
            <w:tcW w:type="dxa" w:w="1440"/>
            <w:tcBorders>
              <w:top w:val="single" w:color="C9A84C" w:sz="1"/>
              <w:left w:val="single" w:color="C9A84C" w:sz="1"/>
              <w:bottom w:val="single" w:color="C9A84C" w:sz="1"/>
              <w:right w:val="single" w:color="C9A84C" w:sz="1"/>
            </w:tcBorders>
            <w:shd w:fill="C9A84C" w:val="clear"/>
            <w:tcMar>
              <w:top w:type="dxa" w:w="80"/>
              <w:left w:type="dxa" w:w="120"/>
              <w:bottom w:type="dxa" w:w="80"/>
              <w:right w:type="dxa" w:w="120"/>
            </w:tcMar>
          </w:tcPr>
          <w:p>
            <w:pPr>
              <w:spacing w:after="80" w:before="80"/>
              <w:jc w:val="center"/>
            </w:pPr>
            <w:r>
              <w:rPr>
                <w:rFonts w:ascii="Arial" w:cs="Arial" w:eastAsia="Arial" w:hAnsi="Arial"/>
                <w:b/>
                <w:bCs/>
                <w:i w:val="false"/>
                <w:iCs w:val="false"/>
                <w:color w:val="FFFFFF"/>
                <w:sz w:val="22"/>
                <w:szCs w:val="22"/>
              </w:rPr>
              <w:t xml:space="preserve">3</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20" w:before="60"/>
            </w:pPr>
            <w:r>
              <w:rPr>
                <w:rFonts w:ascii="Arial" w:cs="Arial" w:eastAsia="Arial" w:hAnsi="Arial"/>
                <w:b/>
                <w:bCs/>
                <w:i w:val="false"/>
                <w:iCs w:val="false"/>
                <w:color w:val="1B2A4A"/>
                <w:sz w:val="19"/>
                <w:szCs w:val="19"/>
              </w:rPr>
              <w:t xml:space="preserve">Structured</w:t>
            </w:r>
          </w:p>
          <w:p>
            <w:pPr>
              <w:spacing w:after="60" w:before="0"/>
            </w:pPr>
            <w:r>
              <w:rPr>
                <w:rFonts w:ascii="Arial" w:cs="Arial" w:eastAsia="Arial" w:hAnsi="Arial"/>
                <w:b w:val="false"/>
                <w:bCs w:val="false"/>
                <w:i/>
                <w:iCs/>
                <w:color w:val="6B7280"/>
                <w:sz w:val="17"/>
                <w:szCs w:val="17"/>
              </w:rPr>
              <w:t xml:space="preserve">Months 3–6</w:t>
            </w:r>
          </w:p>
        </w:tc>
        <w:tc>
          <w:tcPr>
            <w:tcW w:type="dxa" w:w="47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Tier classification applied to all deployments. Quarterly audit running. GDPR Article 9 compliance confirmed. Incident response tested. Governance committee meeting monthly.</w:t>
            </w:r>
          </w:p>
        </w:tc>
      </w:tr>
      <w:tr>
        <w:tc>
          <w:tcPr>
            <w:tcW w:type="dxa" w:w="1440"/>
            <w:tcBorders>
              <w:top w:val="single" w:color="0D7A7A" w:sz="1"/>
              <w:left w:val="single" w:color="0D7A7A" w:sz="1"/>
              <w:bottom w:val="single" w:color="0D7A7A" w:sz="1"/>
              <w:right w:val="single" w:color="0D7A7A" w:sz="1"/>
            </w:tcBorders>
            <w:shd w:fill="0D7A7A" w:val="clear"/>
            <w:tcMar>
              <w:top w:type="dxa" w:w="80"/>
              <w:left w:type="dxa" w:w="120"/>
              <w:bottom w:type="dxa" w:w="80"/>
              <w:right w:type="dxa" w:w="120"/>
            </w:tcMar>
          </w:tcPr>
          <w:p>
            <w:pPr>
              <w:spacing w:after="80" w:before="80"/>
              <w:jc w:val="center"/>
            </w:pPr>
            <w:r>
              <w:rPr>
                <w:rFonts w:ascii="Arial" w:cs="Arial" w:eastAsia="Arial" w:hAnsi="Arial"/>
                <w:b/>
                <w:bCs/>
                <w:i w:val="false"/>
                <w:iCs w:val="false"/>
                <w:color w:val="FFFFFF"/>
                <w:sz w:val="22"/>
                <w:szCs w:val="22"/>
              </w:rPr>
              <w:t xml:space="preserve">4</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20" w:before="60"/>
            </w:pPr>
            <w:r>
              <w:rPr>
                <w:rFonts w:ascii="Arial" w:cs="Arial" w:eastAsia="Arial" w:hAnsi="Arial"/>
                <w:b/>
                <w:bCs/>
                <w:i w:val="false"/>
                <w:iCs w:val="false"/>
                <w:color w:val="1B2A4A"/>
                <w:sz w:val="19"/>
                <w:szCs w:val="19"/>
              </w:rPr>
              <w:t xml:space="preserve">Managed</w:t>
            </w:r>
          </w:p>
          <w:p>
            <w:pPr>
              <w:spacing w:after="60" w:before="0"/>
            </w:pPr>
            <w:r>
              <w:rPr>
                <w:rFonts w:ascii="Arial" w:cs="Arial" w:eastAsia="Arial" w:hAnsi="Arial"/>
                <w:b w:val="false"/>
                <w:bCs w:val="false"/>
                <w:i/>
                <w:iCs/>
                <w:color w:val="6B7280"/>
                <w:sz w:val="17"/>
                <w:szCs w:val="17"/>
              </w:rPr>
              <w:t xml:space="preserve">Months 6–9</w:t>
            </w:r>
          </w:p>
        </w:tc>
        <w:tc>
          <w:tcPr>
            <w:tcW w:type="dxa" w:w="47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All departments in governed Claude Projects. Agentforce agents live with full audit trails. EU AI Act assessment complete for Clinical Triage Agent. AT Partner is Claude SME — Stephen’s transfer complete.</w:t>
            </w:r>
          </w:p>
        </w:tc>
      </w:tr>
      <w:tr>
        <w:tc>
          <w:tcPr>
            <w:tcW w:type="dxa" w:w="1440"/>
            <w:tcBorders>
              <w:top w:val="single" w:color="1B2A4A" w:sz="1"/>
              <w:left w:val="single" w:color="1B2A4A" w:sz="1"/>
              <w:bottom w:val="single" w:color="1B2A4A" w:sz="1"/>
              <w:right w:val="single" w:color="1B2A4A" w:sz="1"/>
            </w:tcBorders>
            <w:shd w:fill="1B2A4A" w:val="clear"/>
            <w:tcMar>
              <w:top w:type="dxa" w:w="80"/>
              <w:left w:type="dxa" w:w="120"/>
              <w:bottom w:type="dxa" w:w="80"/>
              <w:right w:type="dxa" w:w="120"/>
            </w:tcMar>
          </w:tcPr>
          <w:p>
            <w:pPr>
              <w:spacing w:after="80" w:before="80"/>
              <w:jc w:val="center"/>
            </w:pPr>
            <w:r>
              <w:rPr>
                <w:rFonts w:ascii="Arial" w:cs="Arial" w:eastAsia="Arial" w:hAnsi="Arial"/>
                <w:b/>
                <w:bCs/>
                <w:i w:val="false"/>
                <w:iCs w:val="false"/>
                <w:color w:val="FFFFFF"/>
                <w:sz w:val="22"/>
                <w:szCs w:val="22"/>
              </w:rPr>
              <w:t xml:space="preserve">5</w:t>
            </w:r>
          </w:p>
        </w:tc>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20" w:before="60"/>
            </w:pPr>
            <w:r>
              <w:rPr>
                <w:rFonts w:ascii="Arial" w:cs="Arial" w:eastAsia="Arial" w:hAnsi="Arial"/>
                <w:b/>
                <w:bCs/>
                <w:i w:val="false"/>
                <w:iCs w:val="false"/>
                <w:color w:val="1B2A4A"/>
                <w:sz w:val="19"/>
                <w:szCs w:val="19"/>
              </w:rPr>
              <w:t xml:space="preserve">Optimised</w:t>
            </w:r>
          </w:p>
          <w:p>
            <w:pPr>
              <w:spacing w:after="60" w:before="0"/>
            </w:pPr>
            <w:r>
              <w:rPr>
                <w:rFonts w:ascii="Arial" w:cs="Arial" w:eastAsia="Arial" w:hAnsi="Arial"/>
                <w:b w:val="false"/>
                <w:bCs w:val="false"/>
                <w:i/>
                <w:iCs/>
                <w:color w:val="6B7280"/>
                <w:sz w:val="17"/>
                <w:szCs w:val="17"/>
              </w:rPr>
              <w:t xml:space="preserve">Months 9–12+</w:t>
            </w:r>
          </w:p>
        </w:tc>
        <w:tc>
          <w:tcPr>
            <w:tcW w:type="dxa" w:w="472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vAlign w:val="top"/>
          </w:tcPr>
          <w:p>
            <w:pPr>
              <w:spacing w:after="60" w:before="60"/>
            </w:pPr>
            <w:r>
              <w:rPr>
                <w:rFonts w:ascii="Arial" w:cs="Arial" w:eastAsia="Arial" w:hAnsi="Arial"/>
                <w:b w:val="false"/>
                <w:bCs w:val="false"/>
                <w:i w:val="false"/>
                <w:iCs w:val="false"/>
                <w:color w:val="1B2A4A"/>
                <w:sz w:val="18"/>
                <w:szCs w:val="18"/>
              </w:rPr>
              <w:t xml:space="preserve">Governance embedded in culture — not a compliance burden. Continuous improvement cycle running. Internal governance matches Cara's external standard. AI governance is a competitive advantage.</w:t>
            </w:r>
          </w:p>
        </w:tc>
      </w:tr>
    </w:tbl>
    <w:p>
      <w:pPr>
        <w:spacing w:after="80" w:before="0"/>
      </w:pPr>
      <w:r>
        <w:rPr>
          <w:rFonts w:ascii="Arial" w:cs="Arial" w:eastAsia="Arial" w:hAnsi="Arial"/>
          <w:b w:val="false"/>
          <w:bCs w:val="false"/>
          <w:i w:val="false"/>
          <w:iCs w:val="false"/>
          <w:color w:val="000000"/>
          <w:sz w:val="20"/>
          <w:szCs w:val="20"/>
        </w:rPr>
        <w:t xml:space="preserve"/>
      </w:r>
    </w:p>
    <w:p>
      <w:pPr>
        <w:spacing w:after="80" w:before="0"/>
      </w:pPr>
      <w:r>
        <w:rPr>
          <w:rFonts w:ascii="Arial" w:cs="Arial" w:eastAsia="Arial" w:hAnsi="Arial"/>
          <w:b w:val="false"/>
          <w:bCs w:val="false"/>
          <w:i w:val="false"/>
          <w:iC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84C" w:sz="4"/>
              <w:left w:val="single" w:color="C9A84C" w:sz="4"/>
              <w:bottom w:val="single" w:color="C9A84C" w:sz="4"/>
              <w:right w:val="single" w:color="C9A84C" w:sz="4"/>
            </w:tcBorders>
            <w:shd w:fill="FDF8EE" w:val="clear"/>
            <w:tcMar>
              <w:top w:type="dxa" w:w="140"/>
              <w:left w:type="dxa" w:w="180"/>
              <w:bottom w:type="dxa" w:w="140"/>
              <w:right w:type="dxa" w:w="180"/>
            </w:tcMar>
          </w:tcPr>
          <w:p>
            <w:pPr>
              <w:spacing w:after="60" w:before="40"/>
            </w:pPr>
            <w:r>
              <w:rPr>
                <w:rFonts w:ascii="Arial" w:cs="Arial" w:eastAsia="Arial" w:hAnsi="Arial"/>
                <w:b/>
                <w:bCs/>
                <w:i w:val="false"/>
                <w:iCs w:val="false"/>
                <w:color w:val="0D7A7A"/>
                <w:sz w:val="20"/>
                <w:szCs w:val="20"/>
              </w:rPr>
              <w:t xml:space="preserve">The destination</w:t>
            </w:r>
          </w:p>
          <w:p>
            <w:pPr>
              <w:spacing w:after="40" w:before="0"/>
            </w:pPr>
            <w:r>
              <w:rPr>
                <w:rFonts w:ascii="Arial" w:cs="Arial" w:eastAsia="Arial" w:hAnsi="Arial"/>
                <w:b w:val="false"/>
                <w:bCs w:val="false"/>
                <w:i w:val="false"/>
                <w:iCs w:val="false"/>
                <w:color w:val="1B2A4A"/>
                <w:sz w:val="19"/>
                <w:szCs w:val="19"/>
              </w:rPr>
              <w:t xml:space="preserve">By Level 5, Spectrum.Life can demonstrate to clients, partners, investors, and regulators that its internal AI governance matches the standard of the AI product it delivers to the market. That is not just a compliance achievement — it is a commercial differentiator.</w:t>
            </w:r>
          </w:p>
        </w:tc>
      </w:tr>
    </w:tbl>
    <w:p>
      <w:pPr>
        <w:spacing w:after="80" w:before="0"/>
      </w:pPr>
      <w:r>
        <w:rPr>
          <w:rFonts w:ascii="Arial" w:cs="Arial" w:eastAsia="Arial" w:hAnsi="Arial"/>
          <w:b w:val="false"/>
          <w:bCs w:val="false"/>
          <w:i w:val="false"/>
          <w:iCs w:val="false"/>
          <w:color w:val="000000"/>
          <w:sz w:val="20"/>
          <w:szCs w:val="20"/>
        </w:rPr>
        <w:t xml:space="preserve"/>
      </w:r>
    </w:p>
    <w:p>
      <w:pPr>
        <w:spacing w:after="80" w:before="0"/>
      </w:pPr>
      <w:r>
        <w:rPr>
          <w:rFonts w:ascii="Arial" w:cs="Arial" w:eastAsia="Arial" w:hAnsi="Arial"/>
          <w:b w:val="false"/>
          <w:bCs w:val="false"/>
          <w:i w:val="false"/>
          <w:iCs w:val="false"/>
          <w:color w:val="000000"/>
          <w:sz w:val="20"/>
          <w:szCs w:val="20"/>
        </w:rPr>
        <w:t xml:space="preserve"/>
      </w:r>
    </w:p>
    <w:p>
      <w:pPr>
        <w:pBdr>
          <w:top w:val="single" w:color="0D7A7A" w:sz="4" w:space="1"/>
        </w:pBdr>
        <w:spacing w:after="80" w:before="160"/>
        <w:jc w:val="center"/>
      </w:pPr>
      <w:r>
        <w:rPr>
          <w:rFonts w:ascii="Arial" w:cs="Arial" w:eastAsia="Arial" w:hAnsi="Arial"/>
          <w:b w:val="false"/>
          <w:bCs w:val="false"/>
          <w:i/>
          <w:iCs/>
          <w:color w:val="6B7280"/>
          <w:sz w:val="16"/>
          <w:szCs w:val="16"/>
        </w:rPr>
        <w:t xml:space="preserve">Document prepared by Naveen Rao V  |  AI Transformation Partner Candidate  |  April 2026  |  Classification: Internal Confidential  |  Version 1.0</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D7A7A" w:sz="4" w:space="1"/>
      </w:pBdr>
      <w:tabs>
        <w:tab w:val="right" w:pos="9026"/>
      </w:tabs>
      <w:spacing w:before="120"/>
    </w:pPr>
    <w:r>
      <w:rPr>
        <w:rFonts w:ascii="Arial" w:cs="Arial" w:eastAsia="Arial" w:hAnsi="Arial"/>
        <w:b w:val="false"/>
        <w:bCs w:val="false"/>
        <w:i w:val="false"/>
        <w:iCs w:val="false"/>
        <w:color w:val="6B7280"/>
        <w:sz w:val="16"/>
        <w:szCs w:val="16"/>
      </w:rPr>
      <w:t xml:space="preserve">AI Transformation Partner Portfolio</w:t>
    </w:r>
    <w:r>
      <w:rPr>
        <w:rFonts w:ascii="Arial" w:cs="Arial" w:eastAsia="Arial" w:hAnsi="Arial"/>
        <w:b w:val="false"/>
        <w:bCs w:val="false"/>
        <w:i w:val="false"/>
        <w:iCs w:val="false"/>
        <w:color w:val="000000"/>
        <w:sz w:val="16"/>
        <w:szCs w:val="16"/>
      </w:rPr>
      <w:t xml:space="preserve">	</w:t>
    </w:r>
    <w:r>
      <w:rPr>
        <w:rFonts w:ascii="Arial" w:cs="Arial" w:eastAsia="Arial" w:hAnsi="Arial"/>
        <w:b w:val="false"/>
        <w:bCs w:val="false"/>
        <w:i w:val="false"/>
        <w:iCs w:val="false"/>
        <w:color w:val="6B7280"/>
        <w:sz w:val="16"/>
        <w:szCs w:val="16"/>
      </w:rPr>
      <w:t xml:space="preserve">Confidential — Internal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7A7A" w:sz="4" w:space="1"/>
      </w:pBdr>
      <w:tabs>
        <w:tab w:val="right" w:pos="9026"/>
      </w:tabs>
      <w:spacing w:after="120"/>
    </w:pPr>
    <w:r>
      <w:rPr>
        <w:rFonts w:ascii="Arial" w:cs="Arial" w:eastAsia="Arial" w:hAnsi="Arial"/>
        <w:b w:val="false"/>
        <w:bCs w:val="false"/>
        <w:i w:val="false"/>
        <w:iCs w:val="false"/>
        <w:color w:val="6B7280"/>
        <w:sz w:val="16"/>
        <w:szCs w:val="16"/>
      </w:rPr>
      <w:t xml:space="preserve">Spectrum.Life  |  AI Governance Framework</w:t>
    </w:r>
    <w:r>
      <w:rPr>
        <w:rFonts w:ascii="Arial" w:cs="Arial" w:eastAsia="Arial" w:hAnsi="Arial"/>
        <w:b w:val="false"/>
        <w:bCs w:val="false"/>
        <w:i w:val="false"/>
        <w:iCs w:val="false"/>
        <w:color w:val="000000"/>
        <w:sz w:val="16"/>
        <w:szCs w:val="16"/>
      </w:rPr>
      <w:t xml:space="preserve">	</w:t>
    </w:r>
    <w:r>
      <w:rPr>
        <w:rFonts w:ascii="Arial" w:cs="Arial" w:eastAsia="Arial" w:hAnsi="Arial"/>
        <w:b w:val="false"/>
        <w:bCs w:val="false"/>
        <w:i w:val="false"/>
        <w:iCs w:val="false"/>
        <w:color w:val="6B7280"/>
        <w:sz w:val="16"/>
        <w:szCs w:val="16"/>
      </w:rPr>
      <w:t xml:space="preserve">Naveen Rao V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B2A4A"/>
      <w:sz w:val="32"/>
      <w:szCs w:val="32"/>
    </w:rPr>
  </w:style>
  <w:style w:type="paragraph" w:styleId="Heading2">
    <w:name w:val="Heading 2"/>
    <w:basedOn w:val="Normal"/>
    <w:next w:val="Normal"/>
    <w:qFormat/>
    <w:pPr>
      <w:spacing w:after="120" w:before="220"/>
      <w:outlineLvl w:val="1"/>
    </w:pPr>
    <w:rPr>
      <w:rFonts w:ascii="Arial" w:cs="Arial" w:eastAsia="Arial" w:hAnsi="Arial"/>
      <w:b/>
      <w:bCs/>
      <w:color w:val="0D7A7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2026-04-12T12:04:20.011Z</dcterms:created>
  <dcterms:modified xsi:type="dcterms:W3CDTF">2026-04-12T12:04:20.012Z</dcterms:modified>
</cp:coreProperties>
</file>

<file path=docProps/custom.xml><?xml version="1.0" encoding="utf-8"?>
<Properties xmlns="http://schemas.openxmlformats.org/officeDocument/2006/custom-properties" xmlns:vt="http://schemas.openxmlformats.org/officeDocument/2006/docPropsVTypes"/>
</file>