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40"/>
        </w:rPr>
        <w:t>Static Security Scanning of Pre-Trained AI Model Artifacts:</w:t>
        <w:br/>
        <w:t>A Multi-Format, Zero-Execution Detection Framework</w:t>
      </w:r>
    </w:p>
    <w:p>
      <w:pPr>
        <w:spacing w:before="0" w:after="20"/>
        <w:jc w:val="center"/>
      </w:pPr>
      <w:r>
        <w:rPr>
          <w:rFonts w:ascii="Times New Roman" w:hAnsi="Times New Roman"/>
          <w:b/>
          <w:i w:val="0"/>
          <w:sz w:val="22"/>
        </w:rPr>
        <w:t>[Author Name(s)]</w:t>
      </w:r>
    </w:p>
    <w:p>
      <w:pPr>
        <w:spacing w:before="0" w:after="200"/>
        <w:jc w:val="center"/>
      </w:pPr>
      <w:r>
        <w:rPr>
          <w:rFonts w:ascii="Times New Roman" w:hAnsi="Times New Roman"/>
          <w:b w:val="0"/>
          <w:i/>
          <w:sz w:val="20"/>
        </w:rPr>
        <w:t>[Department / Institution]</w:t>
        <w:br/>
        <w:t>[City, Country]</w:t>
        <w:br/>
        <w:t>[email@institution.edu]</w:t>
      </w:r>
    </w:p>
    <w:p>
      <w:pPr>
        <w:spacing w:after="40"/>
        <w:jc w:val="both"/>
      </w:pPr>
      <w:r>
        <w:rPr>
          <w:rFonts w:ascii="Times New Roman" w:hAnsi="Times New Roman"/>
          <w:b/>
          <w:i/>
          <w:sz w:val="18"/>
        </w:rPr>
        <w:t>Abstract—</w:t>
      </w:r>
      <w:r>
        <w:rPr>
          <w:rFonts w:ascii="Times New Roman" w:hAnsi="Times New Roman"/>
          <w:sz w:val="18"/>
        </w:rPr>
        <w:t>The rapid proliferation of open-source pre-trained machine-learning model repositories has created a critical and largely unaddressed attack surface: adversaries can embed arbitrary code execution payloads, malicious metadata, and supply-chain trojans directly inside model artifact files. Existing antivirus and intrusion-detection tools are largely blind to format-specific threats because they cannot interpret Pickle byte streams, SafeTensors JSON headers, GGUF binary metadata tables, or ZIP-wrapped PyTorch checkpoints. We present ModelScanner, a unified, multi-format static security scanner that inspects pre-trained AI model artifacts without executing any model code, loading any tensor weights, or invoking dynamic deserialization runtimes. The system implements 87 detection rules organized into 14 format-specific families covering: Pickle code-execution threats (P101–P107), Pickle and PyTorch ZIP structural anomalies (P201–P211), SafeTensors metadata injection (ST101–ST105), SafeTensors structural anomalies (ST201–ST209), GGUF metadata attacks (GU101–GU106), GGUF structural anomalies (GU201–GU210), cross-format integrity (G001–G006), supply-chain configuration threats (SC101–SC109), dependency security (SC201–SC204), cross-format weight integrity (WI101–WI103), ONNX graph exploitation (ON101–ON104), TensorFlow SavedModel dangerous operations (TF101–TF103), Keras archive exploitation (KR101–KR105), and cross-signal correlated findings (C001–C004). A deterministic, severity-weighted risk scoring engine produces a normalized 0–100 risk score with a guaranteed severity floor. Evaluation on a 27-sample synthetic benchmark corpus yields Precision = 1.000, Recall = 1.000, F1 = 1.000, and False Positive Rate = 0.000 at a mean scan latency of approximately 1 ms and peak memory consumption of 0.10 MB. Real-world adversarial validation against seven Hugging Face proof-of-concept repositories confirms detection of TensorFlow SavedModel asset traversal, Keras ZIP duplication attacks, and PyTorch checkpoint code injection, while surfacing an acquisition gap for extension-less Pickle payloads. The scanner has zero mandatory runtime dependencies and uses the Python standard library alone.</w:t>
      </w:r>
    </w:p>
    <w:p>
      <w:pPr>
        <w:spacing w:after="200"/>
        <w:jc w:val="both"/>
      </w:pPr>
      <w:r>
        <w:rPr>
          <w:rFonts w:ascii="Times New Roman" w:hAnsi="Times New Roman"/>
          <w:b/>
          <w:i/>
          <w:sz w:val="18"/>
        </w:rPr>
        <w:t>Index Terms—</w:t>
      </w:r>
      <w:r>
        <w:rPr>
          <w:rFonts w:ascii="Times New Roman" w:hAnsi="Times New Roman"/>
          <w:sz w:val="18"/>
        </w:rPr>
        <w:t>AI security, model supply chain, static analysis, Pickle deserialization, SafeTensors, GGUF, PyTorch, machine learning security, OWASP ML Top Ten, CWE-502, zero-execution scanning.</w:t>
      </w:r>
    </w:p>
    <w:p>
      <w:pPr>
        <w:spacing w:before="160" w:after="40"/>
        <w:jc w:val="center"/>
      </w:pPr>
      <w:r>
        <w:rPr>
          <w:rFonts w:ascii="Times New Roman" w:hAnsi="Times New Roman"/>
          <w:b/>
          <w:sz w:val="20"/>
        </w:rPr>
        <w:t>I. INTRODUCTION</w:t>
      </w:r>
    </w:p>
    <w:p>
      <w:pPr>
        <w:spacing w:before="0" w:after="60"/>
        <w:jc w:val="both"/>
      </w:pPr>
      <w:r>
        <w:rPr>
          <w:rFonts w:ascii="Times New Roman" w:hAnsi="Times New Roman"/>
          <w:b w:val="0"/>
          <w:i w:val="0"/>
          <w:sz w:val="20"/>
        </w:rPr>
        <w:t>Pre-trained machine learning models are now routinely distributed through public repositories such as Hugging Face, TensorFlow Hub, and PyTorch Hub. Practitioners download and deploy these artifacts in production systems with little or no validation of their contents. This trust model is dangerous: several independent research groups have demonstrated that model files can carry arbitrary code execution payloads that activate at load time [1]–[5].</w:t>
      </w:r>
    </w:p>
    <w:p>
      <w:pPr>
        <w:spacing w:before="0" w:after="60"/>
        <w:jc w:val="both"/>
      </w:pPr>
      <w:r>
        <w:rPr>
          <w:rFonts w:ascii="Times New Roman" w:hAnsi="Times New Roman"/>
          <w:b w:val="0"/>
          <w:i w:val="0"/>
          <w:sz w:val="20"/>
        </w:rPr>
        <w:t>The primary threat vector is Python’s Pickle serialization format, which PyTorch has historically used for checkpoint storage. A Pickle stream can embed os.system, subprocess.Popen, and similar callables that execute when the stream is deserialized [6],[7]. SafeTensors [8] was introduced to eliminate this risk, but millions of legacy checkpoints remain in Pickle format, and even SafeTensors introduces a distinct metadata injection surface. GGUF [9], the format popularized by llama.cpp, carries arbitrary key-value metadata that can encode executable strings or path traversal sequences. Supply-chain attacks embedded in model configuration files, dependency manifests, and shard integrity records present a further orthogonal attack surface [10]–[12].</w:t>
      </w:r>
    </w:p>
    <w:p>
      <w:pPr>
        <w:spacing w:before="0" w:after="60"/>
        <w:jc w:val="both"/>
      </w:pPr>
      <w:r>
        <w:rPr>
          <w:rFonts w:ascii="Times New Roman" w:hAnsi="Times New Roman"/>
          <w:b w:val="0"/>
          <w:i w:val="0"/>
          <w:sz w:val="20"/>
        </w:rPr>
        <w:t>Existing tools address only a subset of these threats. Picklescan [13] inspects only Pickle streams with a blocklist-only approach and no structural anomaly detection. ModelScan [14] extends coverage but relies on partial deserialization and does not cover GGUF, supply-chain configuration files, or cross-signal correlation. No existing open-source tool provides unified, zero-execution, multi-format static analysis with structured findings, a severity-weighted risk score, and a web-based inspection interface.</w:t>
      </w:r>
    </w:p>
    <w:p>
      <w:pPr>
        <w:spacing w:before="0" w:after="60"/>
        <w:jc w:val="both"/>
      </w:pPr>
      <w:r>
        <w:rPr>
          <w:rFonts w:ascii="Times New Roman" w:hAnsi="Times New Roman"/>
          <w:b w:val="0"/>
          <w:i w:val="0"/>
          <w:sz w:val="20"/>
        </w:rPr>
        <w:t>This paper makes the following contributions:</w:t>
      </w:r>
    </w:p>
    <w:p>
      <w:pPr>
        <w:spacing w:before="0" w:after="20"/>
        <w:ind w:left="283"/>
        <w:jc w:val="both"/>
      </w:pPr>
      <w:r>
        <w:rPr>
          <w:rFonts w:ascii="Times New Roman" w:hAnsi="Times New Roman"/>
          <w:sz w:val="20"/>
        </w:rPr>
        <w:t>•  A three-layer security taxonomy mapping 87 detection rules to OWASP ML Top Ten 2023 [15], CWE [6], and MITRE ATT&amp;CK [16].</w:t>
      </w:r>
    </w:p>
    <w:p>
      <w:pPr>
        <w:spacing w:before="0" w:after="20"/>
        <w:ind w:left="283"/>
        <w:jc w:val="both"/>
      </w:pPr>
      <w:r>
        <w:rPr>
          <w:rFonts w:ascii="Times New Roman" w:hAnsi="Times New Roman"/>
          <w:sz w:val="20"/>
        </w:rPr>
        <w:t>•  A unified, zero-execution static analysis architecture spanning seven primary model formats: Pickle, PyTorch ZIP, SafeTensors, GGUF, ONNX, TensorFlow SavedModel, and Keras.</w:t>
      </w:r>
    </w:p>
    <w:p>
      <w:pPr>
        <w:spacing w:before="0" w:after="20"/>
        <w:ind w:left="283"/>
        <w:jc w:val="both"/>
      </w:pPr>
      <w:r>
        <w:rPr>
          <w:rFonts w:ascii="Times New Roman" w:hAnsi="Times New Roman"/>
          <w:sz w:val="20"/>
        </w:rPr>
        <w:t>•  A deterministic, severity-weighted composite risk scoring algorithm with format multipliers, obfuscation multipliers, and a guaranteed severity floor.</w:t>
      </w:r>
    </w:p>
    <w:p>
      <w:pPr>
        <w:spacing w:before="0" w:after="20"/>
        <w:ind w:left="283"/>
        <w:jc w:val="both"/>
      </w:pPr>
      <w:r>
        <w:rPr>
          <w:rFonts w:ascii="Times New Roman" w:hAnsi="Times New Roman"/>
          <w:sz w:val="20"/>
        </w:rPr>
        <w:t>•  Evaluation on a 27-sample synthetic benchmark corpus with perfect precision, recall, and F1, validated against seven real-world adversarial repositories on Hugging Face.</w:t>
      </w:r>
    </w:p>
    <w:p>
      <w:pPr>
        <w:spacing w:before="0" w:after="20"/>
        <w:ind w:left="283"/>
        <w:jc w:val="both"/>
      </w:pPr>
      <w:r>
        <w:rPr>
          <w:rFonts w:ascii="Times New Roman" w:hAnsi="Times New Roman"/>
          <w:sz w:val="20"/>
        </w:rPr>
        <w:t>•  Full open-source release under the MIT License.</w:t>
      </w:r>
    </w:p>
    <w:p>
      <w:pPr>
        <w:spacing w:before="160" w:after="40"/>
        <w:jc w:val="center"/>
      </w:pPr>
      <w:r>
        <w:rPr>
          <w:rFonts w:ascii="Times New Roman" w:hAnsi="Times New Roman"/>
          <w:b/>
          <w:sz w:val="20"/>
        </w:rPr>
        <w:t>II. BACKGROUND AND THREAT LANDSCAPE</w:t>
      </w:r>
    </w:p>
    <w:p>
      <w:pPr>
        <w:spacing w:before="80" w:after="20"/>
        <w:jc w:val="left"/>
      </w:pPr>
      <w:r>
        <w:rPr>
          <w:rFonts w:ascii="Times New Roman" w:hAnsi="Times New Roman"/>
          <w:b/>
          <w:i/>
          <w:sz w:val="20"/>
        </w:rPr>
        <w:t>A.  Model File Formats and Their Security Properties</w:t>
      </w:r>
    </w:p>
    <w:p>
      <w:pPr>
        <w:spacing w:before="0" w:after="60"/>
        <w:jc w:val="both"/>
      </w:pPr>
      <w:r>
        <w:rPr>
          <w:rFonts w:ascii="Times New Roman" w:hAnsi="Times New Roman"/>
          <w:b w:val="0"/>
          <w:i w:val="0"/>
          <w:sz w:val="20"/>
        </w:rPr>
        <w:t>Pickle and PyTorch ZIP. Python’s pickle module supports a rich opcode language that can invoke arbitrary callables during deserialization. Modern PyTorch checkpoints wrap Pickle streams inside a ZIP container at archive/data.pkl. Attackers invoke os.system or subprocess.Popen via GLOBAL and STACK_GLOBAL opcodes [1],[3],[7]. ShadowPickle [4] exploits the Pickle VM’s external module import mechanism to evade state-of-the-art scanners. QUACK [17] proposes static duck typing as a defense.</w:t>
      </w:r>
    </w:p>
    <w:p>
      <w:pPr>
        <w:spacing w:before="0" w:after="60"/>
        <w:jc w:val="both"/>
      </w:pPr>
      <w:r>
        <w:rPr>
          <w:rFonts w:ascii="Times New Roman" w:hAnsi="Times New Roman"/>
          <w:b w:val="0"/>
          <w:i w:val="0"/>
          <w:sz w:val="20"/>
        </w:rPr>
        <w:t>SafeTensors [8] encodes a flat JSON header followed by raw tensor buffers, designed to eliminate code execution. However, the JSON header remains a metadata injection surface: executable string patterns, path traversal sequences, or oversized metadata blocks can trigger resource exhaustion during parsing.</w:t>
      </w:r>
    </w:p>
    <w:p>
      <w:pPr>
        <w:spacing w:before="0" w:after="60"/>
        <w:jc w:val="both"/>
      </w:pPr>
      <w:r>
        <w:rPr>
          <w:rFonts w:ascii="Times New Roman" w:hAnsi="Times New Roman"/>
          <w:b w:val="0"/>
          <w:i w:val="0"/>
          <w:sz w:val="20"/>
        </w:rPr>
        <w:t>GGUF [9] uses a binary key-value metadata section followed by tensor descriptor tables. Unvalidated metadata values can encode system command patterns, path traversal payloads, or integer overflow triggers in tensor dimension fields.</w:t>
      </w:r>
    </w:p>
    <w:p>
      <w:pPr>
        <w:spacing w:before="0" w:after="60"/>
        <w:jc w:val="both"/>
      </w:pPr>
      <w:r>
        <w:rPr>
          <w:rFonts w:ascii="Times New Roman" w:hAnsi="Times New Roman"/>
          <w:b w:val="0"/>
          <w:i w:val="0"/>
          <w:sz w:val="20"/>
        </w:rPr>
        <w:t>ONNX encodes a computation graph in Protocol Buffer format. Dangerous operators such as Load, Save, and Execute, plus external data references, can trigger unintended file system access at load time.</w:t>
      </w:r>
    </w:p>
    <w:p>
      <w:pPr>
        <w:spacing w:before="0" w:after="60"/>
        <w:jc w:val="both"/>
      </w:pPr>
      <w:r>
        <w:rPr>
          <w:rFonts w:ascii="Times New Roman" w:hAnsi="Times New Roman"/>
          <w:b w:val="0"/>
          <w:i w:val="0"/>
          <w:sz w:val="20"/>
        </w:rPr>
        <w:t>TensorFlow SavedModels store the computation graph in saved_model.pb via Protocol Buffer. Dangerous ops including ReadFile, WriteFile, PyFunc, and GenerateVocabRemapping can access the file system at inference time [5].</w:t>
      </w:r>
    </w:p>
    <w:p>
      <w:pPr>
        <w:spacing w:before="0" w:after="60"/>
        <w:jc w:val="both"/>
      </w:pPr>
      <w:r>
        <w:rPr>
          <w:rFonts w:ascii="Times New Roman" w:hAnsi="Times New Roman"/>
          <w:b w:val="0"/>
          <w:i w:val="0"/>
          <w:sz w:val="20"/>
        </w:rPr>
        <w:t>Keras models serialized as .keras ZIP archives or HDF5 .h5 files may embed custom Lambda layers or serialized Python bytecode. ZIP path-duplication attacks exploit asymmetric parsing between scanner and loader [18].</w:t>
      </w:r>
    </w:p>
    <w:p>
      <w:pPr>
        <w:spacing w:before="80" w:after="20"/>
        <w:jc w:val="left"/>
      </w:pPr>
      <w:r>
        <w:rPr>
          <w:rFonts w:ascii="Times New Roman" w:hAnsi="Times New Roman"/>
          <w:b/>
          <w:i/>
          <w:sz w:val="20"/>
        </w:rPr>
        <w:t>B.  Supply-Chain Threats</w:t>
      </w:r>
    </w:p>
    <w:p>
      <w:pPr>
        <w:spacing w:before="0" w:after="60"/>
        <w:jc w:val="both"/>
      </w:pPr>
      <w:r>
        <w:rPr>
          <w:rFonts w:ascii="Times New Roman" w:hAnsi="Times New Roman"/>
          <w:b w:val="0"/>
          <w:i w:val="0"/>
          <w:sz w:val="20"/>
        </w:rPr>
        <w:t>Malicious config.json entries can specify arbitrary Python class paths instantiated at model load time [1]. Compromised requirements.txt or setup.py introduce transitive dependency attacks [10]. Missing shard hash manifests enable silent weight substitution. These vectors align with OWASP ML06:2023 AI Supply Chain Attacks [15] and MITRE ATT&amp;CK [16]. Jiang et al. [19],[20] characterize security risks and reuse patterns in the pre-trained model supply chain.</w:t>
      </w:r>
    </w:p>
    <w:p>
      <w:pPr>
        <w:spacing w:before="80" w:after="20"/>
        <w:jc w:val="left"/>
      </w:pPr>
      <w:r>
        <w:rPr>
          <w:rFonts w:ascii="Times New Roman" w:hAnsi="Times New Roman"/>
          <w:b/>
          <w:i/>
          <w:sz w:val="20"/>
        </w:rPr>
        <w:t>C.  Adversarial Research Landscape</w:t>
      </w:r>
    </w:p>
    <w:p>
      <w:pPr>
        <w:spacing w:before="0" w:after="60"/>
        <w:jc w:val="both"/>
      </w:pPr>
      <w:r>
        <w:rPr>
          <w:rFonts w:ascii="Times New Roman" w:hAnsi="Times New Roman"/>
          <w:b w:val="0"/>
          <w:i w:val="0"/>
          <w:sz w:val="20"/>
        </w:rPr>
        <w:t>BadNets [21] and targeted backdoor attacks [22] showed model weights can encode malicious behavior while appearing functionally normal. Neural Cleanse [23] and Wild Patterns Reloaded [24] detect weight-level threats but require model execution. Goldblum et al. [25] survey data-poisoning attacks and defenses. Our work is orthogonal: we detect supply-chain and deserialization threats through static inspection of artifact bytes, without weight loading or model execution.</w:t>
      </w:r>
    </w:p>
    <w:p>
      <w:pPr>
        <w:spacing w:before="160" w:after="40"/>
        <w:jc w:val="center"/>
      </w:pPr>
      <w:r>
        <w:rPr>
          <w:rFonts w:ascii="Times New Roman" w:hAnsi="Times New Roman"/>
          <w:b/>
          <w:sz w:val="20"/>
        </w:rPr>
        <w:t>III. SYSTEM ARCHITECTURE</w:t>
      </w:r>
    </w:p>
    <w:p>
      <w:pPr>
        <w:spacing w:before="80" w:after="20"/>
        <w:jc w:val="left"/>
      </w:pPr>
      <w:r>
        <w:rPr>
          <w:rFonts w:ascii="Times New Roman" w:hAnsi="Times New Roman"/>
          <w:b/>
          <w:i/>
          <w:sz w:val="20"/>
        </w:rPr>
        <w:t>A.  Design Principles</w:t>
      </w:r>
    </w:p>
    <w:p>
      <w:pPr>
        <w:spacing w:before="0" w:after="60"/>
        <w:jc w:val="both"/>
      </w:pPr>
      <w:r>
        <w:rPr>
          <w:rFonts w:ascii="Times New Roman" w:hAnsi="Times New Roman"/>
          <w:b w:val="0"/>
          <w:i w:val="0"/>
          <w:sz w:val="20"/>
        </w:rPr>
        <w:t>ModelScanner enforces a single overarching guarantee: no model code is ever executed. Five hard invariants hold throughout the entire codebase:</w:t>
      </w:r>
    </w:p>
    <w:p>
      <w:pPr>
        <w:spacing w:before="0" w:after="20"/>
        <w:ind w:left="283"/>
        <w:jc w:val="both"/>
      </w:pPr>
      <w:r>
        <w:rPr>
          <w:rFonts w:ascii="Times New Roman" w:hAnsi="Times New Roman"/>
          <w:sz w:val="20"/>
        </w:rPr>
        <w:t>(1)  pickle.loads() is never called. Pickle streams are disassembled into symbolic opcodes by a purpose-built opcode walker.</w:t>
      </w:r>
    </w:p>
    <w:p>
      <w:pPr>
        <w:spacing w:before="0" w:after="20"/>
        <w:ind w:left="283"/>
        <w:jc w:val="both"/>
      </w:pPr>
      <w:r>
        <w:rPr>
          <w:rFonts w:ascii="Times New Roman" w:hAnsi="Times New Roman"/>
          <w:sz w:val="20"/>
        </w:rPr>
        <w:t>(2)  torch.load() is never called. PyTorch checkpoints are inspected as ZIP containers only.</w:t>
      </w:r>
    </w:p>
    <w:p>
      <w:pPr>
        <w:spacing w:before="0" w:after="20"/>
        <w:ind w:left="283"/>
        <w:jc w:val="both"/>
      </w:pPr>
      <w:r>
        <w:rPr>
          <w:rFonts w:ascii="Times New Roman" w:hAnsi="Times New Roman"/>
          <w:sz w:val="20"/>
        </w:rPr>
        <w:t>(3)  Tensor weight data is never read into memory. SafeTensors and GGUF weight regions are skipped entirely.</w:t>
      </w:r>
    </w:p>
    <w:p>
      <w:pPr>
        <w:spacing w:before="0" w:after="20"/>
        <w:ind w:left="283"/>
        <w:jc w:val="both"/>
      </w:pPr>
      <w:r>
        <w:rPr>
          <w:rFonts w:ascii="Times New Roman" w:hAnsi="Times New Roman"/>
          <w:sz w:val="20"/>
        </w:rPr>
        <w:t>(4)  eval() and exec() do not appear in the production codebase.</w:t>
      </w:r>
    </w:p>
    <w:p>
      <w:pPr>
        <w:spacing w:before="0" w:after="20"/>
        <w:ind w:left="283"/>
        <w:jc w:val="both"/>
      </w:pPr>
      <w:r>
        <w:rPr>
          <w:rFonts w:ascii="Times New Roman" w:hAnsi="Times New Roman"/>
          <w:sz w:val="20"/>
        </w:rPr>
        <w:t>(5)  No model class is imported or instantiated. The scanner operates on raw binary byte streams.</w:t>
      </w:r>
    </w:p>
    <w:p>
      <w:pPr>
        <w:spacing w:before="0" w:after="60"/>
        <w:jc w:val="both"/>
      </w:pPr>
      <w:r>
        <w:rPr>
          <w:rFonts w:ascii="Times New Roman" w:hAnsi="Times New Roman"/>
          <w:b w:val="0"/>
          <w:i w:val="0"/>
          <w:sz w:val="20"/>
        </w:rPr>
        <w:t>Any container or stream that fails parsing is handled fail-closed: parsing errors produce structured error findings rather than propagating exceptions.</w:t>
      </w:r>
    </w:p>
    <w:p>
      <w:pPr>
        <w:spacing w:before="80" w:after="20"/>
        <w:jc w:val="left"/>
      </w:pPr>
      <w:r>
        <w:rPr>
          <w:rFonts w:ascii="Times New Roman" w:hAnsi="Times New Roman"/>
          <w:b/>
          <w:i/>
          <w:sz w:val="20"/>
        </w:rPr>
        <w:t>B.  Pipeline Overview</w:t>
      </w:r>
    </w:p>
    <w:p>
      <w:pPr>
        <w:spacing w:before="0" w:after="60"/>
        <w:jc w:val="both"/>
      </w:pPr>
      <w:r>
        <w:rPr>
          <w:rFonts w:ascii="Times New Roman" w:hAnsi="Times New Roman"/>
          <w:b w:val="0"/>
          <w:i w:val="0"/>
          <w:sz w:val="20"/>
        </w:rPr>
        <w:t>Artifact Acquisition accepts local paths, directories, or Hugging Face URLs. Format Detection classifies each artifact using magic-byte inspection independent of file extension, detecting extension spoofing (rule G001). The appropriate Format Analyzer parses the binary stream and produces raw Finding records. The Rule Engine evaluates findings against the 87-rule catalog. The Normalizer deduplicates findings and resolves severity. The Cross-Artifact Correlator produces compound findings (C001–C004) by analyzing co-occurrence patterns. The Risk Engine computes the composite risk score (Section V). Results are delivered via the CLI, JSON export, HTML report, or the Web UI.</w:t>
      </w:r>
    </w:p>
    <w:p>
      <w:pPr>
        <w:spacing w:before="80" w:after="20"/>
        <w:jc w:val="left"/>
      </w:pPr>
      <w:r>
        <w:rPr>
          <w:rFonts w:ascii="Times New Roman" w:hAnsi="Times New Roman"/>
          <w:b/>
          <w:i/>
          <w:sz w:val="20"/>
        </w:rPr>
        <w:t>C.  Analyzer Modules</w:t>
      </w:r>
    </w:p>
    <w:p>
      <w:pPr>
        <w:spacing w:before="0" w:after="60"/>
        <w:jc w:val="both"/>
      </w:pPr>
      <w:r>
        <w:rPr>
          <w:rFonts w:ascii="Times New Roman" w:hAnsi="Times New Roman"/>
          <w:b w:val="0"/>
          <w:i w:val="0"/>
          <w:sz w:val="20"/>
        </w:rPr>
        <w:t>PickleAnalyzer iterates all opcodes symbolically (GLOBAL, STACK_GLOBAL, REDUCE, BUILD, NEWOBJ, FRAME) without invoking any deserialization function. PyTorchZIPAnalyzer opens the ZIP container, passes Pickle streams to PickleAnalyzer, and checks for directory traversal, nested archives, and anomalous compression ratios. SafeTensorsAnalyzer validates header bounds, JSON injection patterns, and tensor offset/size consistency without reading weight data. GGUFAnalyzer validates string lengths, path traversal patterns, and tensor dimension bounds. ONNXAnalyzer checks graph node operators against a dangerous-operator blocklist. TFSavedModelAnalyzer reports dangerous TensorFlow operations found in the computation graph. KerasAnalyzer inspects .keras ZIP archives and HDF5 .h5 files for Lambda configurations and ZIP path-duplication payloads. RepositoryAnalyzer inspects configuration files, dependency manifests, and shard integrity records.</w:t>
      </w:r>
    </w:p>
    <w:p>
      <w:pPr>
        <w:spacing w:before="80" w:after="20"/>
        <w:jc w:val="left"/>
      </w:pPr>
      <w:r>
        <w:rPr>
          <w:rFonts w:ascii="Times New Roman" w:hAnsi="Times New Roman"/>
          <w:b/>
          <w:i/>
          <w:sz w:val="20"/>
        </w:rPr>
        <w:t>D.  Cross-Artifact Correlation</w:t>
      </w:r>
    </w:p>
    <w:p>
      <w:pPr>
        <w:spacing w:before="0" w:after="60"/>
        <w:jc w:val="both"/>
      </w:pPr>
      <w:r>
        <w:rPr>
          <w:rFonts w:ascii="Times New Roman" w:hAnsi="Times New Roman"/>
          <w:b w:val="0"/>
          <w:i w:val="0"/>
          <w:sz w:val="20"/>
        </w:rPr>
        <w:t>Rule C001 (Dangerous Global with Supply-Chain Threat) fires when both a dangerous Pickle global import and a malicious repository configuration entry are detected. Rule C002 (Code Execution with Extension Spoofing) fires when both a code-execution indicator and a format-spoofed file are present. Rule C003 (Structural Anomaly with Nested Archive) fires when structural container corruption and a nested archive co-occur. Rule C004 (Weight Integrity Failure with Supply-Chain Issue) fires when missing weight integrity records coincide with a supply-chain threat. Compound findings C001–C004 are excluded from the weighted sum to prevent double-counting.</w:t>
      </w:r>
    </w:p>
    <w:p>
      <w:pPr>
        <w:spacing w:before="160" w:after="40"/>
        <w:jc w:val="center"/>
      </w:pPr>
      <w:r>
        <w:rPr>
          <w:rFonts w:ascii="Times New Roman" w:hAnsi="Times New Roman"/>
          <w:b/>
          <w:sz w:val="20"/>
        </w:rPr>
        <w:t>IV. RULE TAXONOMY</w:t>
      </w:r>
    </w:p>
    <w:p>
      <w:pPr>
        <w:spacing w:before="80" w:after="20"/>
        <w:jc w:val="left"/>
      </w:pPr>
      <w:r>
        <w:rPr>
          <w:rFonts w:ascii="Times New Roman" w:hAnsi="Times New Roman"/>
          <w:b/>
          <w:i/>
          <w:sz w:val="20"/>
        </w:rPr>
        <w:t>A.  Three-Layer Classification</w:t>
      </w:r>
    </w:p>
    <w:p>
      <w:pPr>
        <w:spacing w:before="0" w:after="60"/>
        <w:jc w:val="both"/>
      </w:pPr>
      <w:r>
        <w:rPr>
          <w:rFonts w:ascii="Times New Roman" w:hAnsi="Times New Roman"/>
          <w:b w:val="0"/>
          <w:i w:val="0"/>
          <w:sz w:val="20"/>
        </w:rPr>
        <w:t>Primary layer — OWASP ML Top Ten 2023 [15]. Fifty-three rules map to ML06:2023 AI Supply Chain Attacks. Three rules (WI101–WI103) map to ML03:2023 Model Inversion Attack. The remaining 31 rules cover structural anomalies (Not directly mapped).</w:t>
      </w:r>
    </w:p>
    <w:p>
      <w:pPr>
        <w:spacing w:before="0" w:after="60"/>
        <w:jc w:val="both"/>
      </w:pPr>
      <w:r>
        <w:rPr>
          <w:rFonts w:ascii="Times New Roman" w:hAnsi="Times New Roman"/>
          <w:b w:val="0"/>
          <w:i w:val="0"/>
          <w:sz w:val="20"/>
        </w:rPr>
        <w:t>Secondary layer — CWE [6]. Dominant weaknesses: CWE-502 (Deserialization of Untrusted Data), CWE-94 (Code Injection), CWE-22 (Path Traversal), CWE-125/190 (Out-of-Bounds Read / Integer Overflow), CWE-400/770 (Resource Exhaustion), CWE-494 (Download Without Integrity Check).</w:t>
      </w:r>
    </w:p>
    <w:p>
      <w:pPr>
        <w:spacing w:before="0" w:after="60"/>
        <w:jc w:val="both"/>
      </w:pPr>
      <w:r>
        <w:rPr>
          <w:rFonts w:ascii="Times New Roman" w:hAnsi="Times New Roman"/>
          <w:b w:val="0"/>
          <w:i w:val="0"/>
          <w:sz w:val="20"/>
        </w:rPr>
        <w:t>Tertiary layer — Internal security category. Seven categories: code_execution, structural_anomaly, supply_chain, credential_exposure, format_integrity, provenance, and tampering.</w:t>
      </w:r>
    </w:p>
    <w:p>
      <w:pPr>
        <w:spacing w:before="80" w:after="20"/>
        <w:jc w:val="left"/>
      </w:pPr>
      <w:r>
        <w:rPr>
          <w:rFonts w:ascii="Times New Roman" w:hAnsi="Times New Roman"/>
          <w:b/>
          <w:i/>
          <w:sz w:val="20"/>
        </w:rPr>
        <w:t>B.  Rule Families</w:t>
      </w:r>
    </w:p>
    <w:p>
      <w:pPr>
        <w:spacing w:before="0" w:after="60"/>
        <w:jc w:val="both"/>
      </w:pPr>
      <w:r>
        <w:rPr>
          <w:rFonts w:ascii="Times New Roman" w:hAnsi="Times New Roman"/>
          <w:b w:val="0"/>
          <w:i w:val="0"/>
          <w:sz w:val="20"/>
        </w:rPr>
        <w:t>Table I summarizes the 87 rules grouped into 14 families.</w:t>
      </w:r>
    </w:p>
    <w:p>
      <w:pPr>
        <w:spacing w:before="120" w:after="20"/>
        <w:jc w:val="center"/>
      </w:pPr>
      <w:r>
        <w:rPr>
          <w:rFonts w:ascii="Times New Roman" w:hAnsi="Times New Roman"/>
          <w:b/>
          <w:sz w:val="18"/>
        </w:rPr>
        <w:t>TABLE I.  Detection Rule Catalog: 87 Rules in 14 Families</w:t>
      </w:r>
    </w:p>
    <w:tbl>
      <w:tblPr>
        <w:tblStyle w:val="TableGrid"/>
        <w:tblW w:type="auto" w:w="0"/>
        <w:jc w:val="center"/>
        <w:tblLook w:firstColumn="1" w:firstRow="1" w:lastColumn="0" w:lastRow="0" w:noHBand="0" w:noVBand="1" w:val="04A0"/>
      </w:tblPr>
      <w:tblGrid>
        <w:gridCol w:w="3375"/>
        <w:gridCol w:w="3375"/>
        <w:gridCol w:w="3375"/>
      </w:tblGrid>
      <w:tr>
        <w:tc>
          <w:tcPr>
            <w:tcW w:type="dxa" w:w="3375"/>
          </w:tcPr>
          <w:p>
            <w:pPr>
              <w:jc w:val="center"/>
            </w:pPr>
            <w:r>
              <w:rPr>
                <w:rFonts w:ascii="Times New Roman" w:hAnsi="Times New Roman"/>
                <w:b/>
                <w:sz w:val="16"/>
              </w:rPr>
              <w:t>Rule Range</w:t>
            </w:r>
          </w:p>
        </w:tc>
        <w:tc>
          <w:tcPr>
            <w:tcW w:type="dxa" w:w="3375"/>
          </w:tcPr>
          <w:p>
            <w:pPr>
              <w:jc w:val="center"/>
            </w:pPr>
            <w:r>
              <w:rPr>
                <w:rFonts w:ascii="Times New Roman" w:hAnsi="Times New Roman"/>
                <w:b/>
                <w:sz w:val="16"/>
              </w:rPr>
              <w:t>Family / Threat Category</w:t>
            </w:r>
          </w:p>
        </w:tc>
        <w:tc>
          <w:tcPr>
            <w:tcW w:type="dxa" w:w="3375"/>
          </w:tcPr>
          <w:p>
            <w:pPr>
              <w:jc w:val="center"/>
            </w:pPr>
            <w:r>
              <w:rPr>
                <w:rFonts w:ascii="Times New Roman" w:hAnsi="Times New Roman"/>
                <w:b/>
                <w:sz w:val="16"/>
              </w:rPr>
              <w:t>N</w:t>
            </w:r>
          </w:p>
        </w:tc>
      </w:tr>
      <w:tr>
        <w:tc>
          <w:tcPr>
            <w:tcW w:type="dxa" w:w="3375"/>
          </w:tcPr>
          <w:p>
            <w:r>
              <w:rPr>
                <w:rFonts w:ascii="Times New Roman" w:hAnsi="Times New Roman"/>
                <w:sz w:val="16"/>
              </w:rPr>
              <w:t>P101–P107</w:t>
            </w:r>
          </w:p>
        </w:tc>
        <w:tc>
          <w:tcPr>
            <w:tcW w:type="dxa" w:w="3375"/>
          </w:tcPr>
          <w:p>
            <w:r>
              <w:rPr>
                <w:rFonts w:ascii="Times New Roman" w:hAnsi="Times New Roman"/>
                <w:sz w:val="16"/>
              </w:rPr>
              <w:t>Pickle: Arbitrary Code Execution</w:t>
            </w:r>
          </w:p>
        </w:tc>
        <w:tc>
          <w:tcPr>
            <w:tcW w:type="dxa" w:w="3375"/>
          </w:tcPr>
          <w:p>
            <w:r>
              <w:rPr>
                <w:rFonts w:ascii="Times New Roman" w:hAnsi="Times New Roman"/>
                <w:sz w:val="16"/>
              </w:rPr>
              <w:t>7</w:t>
            </w:r>
          </w:p>
        </w:tc>
      </w:tr>
      <w:tr>
        <w:tc>
          <w:tcPr>
            <w:tcW w:type="dxa" w:w="3375"/>
          </w:tcPr>
          <w:p>
            <w:r>
              <w:rPr>
                <w:rFonts w:ascii="Times New Roman" w:hAnsi="Times New Roman"/>
                <w:sz w:val="16"/>
              </w:rPr>
              <w:t>P201–P211</w:t>
            </w:r>
          </w:p>
        </w:tc>
        <w:tc>
          <w:tcPr>
            <w:tcW w:type="dxa" w:w="3375"/>
          </w:tcPr>
          <w:p>
            <w:r>
              <w:rPr>
                <w:rFonts w:ascii="Times New Roman" w:hAnsi="Times New Roman"/>
                <w:sz w:val="16"/>
              </w:rPr>
              <w:t>Pickle / PyTorch ZIP: Structural Anomaly</w:t>
            </w:r>
          </w:p>
        </w:tc>
        <w:tc>
          <w:tcPr>
            <w:tcW w:type="dxa" w:w="3375"/>
          </w:tcPr>
          <w:p>
            <w:r>
              <w:rPr>
                <w:rFonts w:ascii="Times New Roman" w:hAnsi="Times New Roman"/>
                <w:sz w:val="16"/>
              </w:rPr>
              <w:t>11</w:t>
            </w:r>
          </w:p>
        </w:tc>
      </w:tr>
      <w:tr>
        <w:tc>
          <w:tcPr>
            <w:tcW w:type="dxa" w:w="3375"/>
          </w:tcPr>
          <w:p>
            <w:r>
              <w:rPr>
                <w:rFonts w:ascii="Times New Roman" w:hAnsi="Times New Roman"/>
                <w:sz w:val="16"/>
              </w:rPr>
              <w:t>ST101–ST105</w:t>
            </w:r>
          </w:p>
        </w:tc>
        <w:tc>
          <w:tcPr>
            <w:tcW w:type="dxa" w:w="3375"/>
          </w:tcPr>
          <w:p>
            <w:r>
              <w:rPr>
                <w:rFonts w:ascii="Times New Roman" w:hAnsi="Times New Roman"/>
                <w:sz w:val="16"/>
              </w:rPr>
              <w:t>SafeTensors: Metadata Injection</w:t>
            </w:r>
          </w:p>
        </w:tc>
        <w:tc>
          <w:tcPr>
            <w:tcW w:type="dxa" w:w="3375"/>
          </w:tcPr>
          <w:p>
            <w:r>
              <w:rPr>
                <w:rFonts w:ascii="Times New Roman" w:hAnsi="Times New Roman"/>
                <w:sz w:val="16"/>
              </w:rPr>
              <w:t>5</w:t>
            </w:r>
          </w:p>
        </w:tc>
      </w:tr>
      <w:tr>
        <w:tc>
          <w:tcPr>
            <w:tcW w:type="dxa" w:w="3375"/>
          </w:tcPr>
          <w:p>
            <w:r>
              <w:rPr>
                <w:rFonts w:ascii="Times New Roman" w:hAnsi="Times New Roman"/>
                <w:sz w:val="16"/>
              </w:rPr>
              <w:t>ST201–ST209</w:t>
            </w:r>
          </w:p>
        </w:tc>
        <w:tc>
          <w:tcPr>
            <w:tcW w:type="dxa" w:w="3375"/>
          </w:tcPr>
          <w:p>
            <w:r>
              <w:rPr>
                <w:rFonts w:ascii="Times New Roman" w:hAnsi="Times New Roman"/>
                <w:sz w:val="16"/>
              </w:rPr>
              <w:t>SafeTensors: Structural Anomaly</w:t>
            </w:r>
          </w:p>
        </w:tc>
        <w:tc>
          <w:tcPr>
            <w:tcW w:type="dxa" w:w="3375"/>
          </w:tcPr>
          <w:p>
            <w:r>
              <w:rPr>
                <w:rFonts w:ascii="Times New Roman" w:hAnsi="Times New Roman"/>
                <w:sz w:val="16"/>
              </w:rPr>
              <w:t>9</w:t>
            </w:r>
          </w:p>
        </w:tc>
      </w:tr>
      <w:tr>
        <w:tc>
          <w:tcPr>
            <w:tcW w:type="dxa" w:w="3375"/>
          </w:tcPr>
          <w:p>
            <w:r>
              <w:rPr>
                <w:rFonts w:ascii="Times New Roman" w:hAnsi="Times New Roman"/>
                <w:sz w:val="16"/>
              </w:rPr>
              <w:t>GU101–GU106</w:t>
            </w:r>
          </w:p>
        </w:tc>
        <w:tc>
          <w:tcPr>
            <w:tcW w:type="dxa" w:w="3375"/>
          </w:tcPr>
          <w:p>
            <w:r>
              <w:rPr>
                <w:rFonts w:ascii="Times New Roman" w:hAnsi="Times New Roman"/>
                <w:sz w:val="16"/>
              </w:rPr>
              <w:t>GGUF: Metadata Injection</w:t>
            </w:r>
          </w:p>
        </w:tc>
        <w:tc>
          <w:tcPr>
            <w:tcW w:type="dxa" w:w="3375"/>
          </w:tcPr>
          <w:p>
            <w:r>
              <w:rPr>
                <w:rFonts w:ascii="Times New Roman" w:hAnsi="Times New Roman"/>
                <w:sz w:val="16"/>
              </w:rPr>
              <w:t>6</w:t>
            </w:r>
          </w:p>
        </w:tc>
      </w:tr>
      <w:tr>
        <w:tc>
          <w:tcPr>
            <w:tcW w:type="dxa" w:w="3375"/>
          </w:tcPr>
          <w:p>
            <w:r>
              <w:rPr>
                <w:rFonts w:ascii="Times New Roman" w:hAnsi="Times New Roman"/>
                <w:sz w:val="16"/>
              </w:rPr>
              <w:t>GU201–GU210</w:t>
            </w:r>
          </w:p>
        </w:tc>
        <w:tc>
          <w:tcPr>
            <w:tcW w:type="dxa" w:w="3375"/>
          </w:tcPr>
          <w:p>
            <w:r>
              <w:rPr>
                <w:rFonts w:ascii="Times New Roman" w:hAnsi="Times New Roman"/>
                <w:sz w:val="16"/>
              </w:rPr>
              <w:t>GGUF: Structural Anomaly</w:t>
            </w:r>
          </w:p>
        </w:tc>
        <w:tc>
          <w:tcPr>
            <w:tcW w:type="dxa" w:w="3375"/>
          </w:tcPr>
          <w:p>
            <w:r>
              <w:rPr>
                <w:rFonts w:ascii="Times New Roman" w:hAnsi="Times New Roman"/>
                <w:sz w:val="16"/>
              </w:rPr>
              <w:t>10</w:t>
            </w:r>
          </w:p>
        </w:tc>
      </w:tr>
      <w:tr>
        <w:tc>
          <w:tcPr>
            <w:tcW w:type="dxa" w:w="3375"/>
          </w:tcPr>
          <w:p>
            <w:r>
              <w:rPr>
                <w:rFonts w:ascii="Times New Roman" w:hAnsi="Times New Roman"/>
                <w:sz w:val="16"/>
              </w:rPr>
              <w:t>G001–G006</w:t>
            </w:r>
          </w:p>
        </w:tc>
        <w:tc>
          <w:tcPr>
            <w:tcW w:type="dxa" w:w="3375"/>
          </w:tcPr>
          <w:p>
            <w:r>
              <w:rPr>
                <w:rFonts w:ascii="Times New Roman" w:hAnsi="Times New Roman"/>
                <w:sz w:val="16"/>
              </w:rPr>
              <w:t>Cross-Format Integrity</w:t>
            </w:r>
          </w:p>
        </w:tc>
        <w:tc>
          <w:tcPr>
            <w:tcW w:type="dxa" w:w="3375"/>
          </w:tcPr>
          <w:p>
            <w:r>
              <w:rPr>
                <w:rFonts w:ascii="Times New Roman" w:hAnsi="Times New Roman"/>
                <w:sz w:val="16"/>
              </w:rPr>
              <w:t>6</w:t>
            </w:r>
          </w:p>
        </w:tc>
      </w:tr>
      <w:tr>
        <w:tc>
          <w:tcPr>
            <w:tcW w:type="dxa" w:w="3375"/>
          </w:tcPr>
          <w:p>
            <w:r>
              <w:rPr>
                <w:rFonts w:ascii="Times New Roman" w:hAnsi="Times New Roman"/>
                <w:sz w:val="16"/>
              </w:rPr>
              <w:t>SC101–SC109</w:t>
            </w:r>
          </w:p>
        </w:tc>
        <w:tc>
          <w:tcPr>
            <w:tcW w:type="dxa" w:w="3375"/>
          </w:tcPr>
          <w:p>
            <w:r>
              <w:rPr>
                <w:rFonts w:ascii="Times New Roman" w:hAnsi="Times New Roman"/>
                <w:sz w:val="16"/>
              </w:rPr>
              <w:t>Supply Chain: Config &amp; Code Execution</w:t>
            </w:r>
          </w:p>
        </w:tc>
        <w:tc>
          <w:tcPr>
            <w:tcW w:type="dxa" w:w="3375"/>
          </w:tcPr>
          <w:p>
            <w:r>
              <w:rPr>
                <w:rFonts w:ascii="Times New Roman" w:hAnsi="Times New Roman"/>
                <w:sz w:val="16"/>
              </w:rPr>
              <w:t>9</w:t>
            </w:r>
          </w:p>
        </w:tc>
      </w:tr>
      <w:tr>
        <w:tc>
          <w:tcPr>
            <w:tcW w:type="dxa" w:w="3375"/>
          </w:tcPr>
          <w:p>
            <w:r>
              <w:rPr>
                <w:rFonts w:ascii="Times New Roman" w:hAnsi="Times New Roman"/>
                <w:sz w:val="16"/>
              </w:rPr>
              <w:t>SC201–SC204</w:t>
            </w:r>
          </w:p>
        </w:tc>
        <w:tc>
          <w:tcPr>
            <w:tcW w:type="dxa" w:w="3375"/>
          </w:tcPr>
          <w:p>
            <w:r>
              <w:rPr>
                <w:rFonts w:ascii="Times New Roman" w:hAnsi="Times New Roman"/>
                <w:sz w:val="16"/>
              </w:rPr>
              <w:t>Supply Chain: Dependency Security</w:t>
            </w:r>
          </w:p>
        </w:tc>
        <w:tc>
          <w:tcPr>
            <w:tcW w:type="dxa" w:w="3375"/>
          </w:tcPr>
          <w:p>
            <w:r>
              <w:rPr>
                <w:rFonts w:ascii="Times New Roman" w:hAnsi="Times New Roman"/>
                <w:sz w:val="16"/>
              </w:rPr>
              <w:t>4</w:t>
            </w:r>
          </w:p>
        </w:tc>
      </w:tr>
      <w:tr>
        <w:tc>
          <w:tcPr>
            <w:tcW w:type="dxa" w:w="3375"/>
          </w:tcPr>
          <w:p>
            <w:r>
              <w:rPr>
                <w:rFonts w:ascii="Times New Roman" w:hAnsi="Times New Roman"/>
                <w:sz w:val="16"/>
              </w:rPr>
              <w:t>C001–C004</w:t>
            </w:r>
          </w:p>
        </w:tc>
        <w:tc>
          <w:tcPr>
            <w:tcW w:type="dxa" w:w="3375"/>
          </w:tcPr>
          <w:p>
            <w:r>
              <w:rPr>
                <w:rFonts w:ascii="Times New Roman" w:hAnsi="Times New Roman"/>
                <w:sz w:val="16"/>
              </w:rPr>
              <w:t>Correlated Cross-Signal</w:t>
            </w:r>
          </w:p>
        </w:tc>
        <w:tc>
          <w:tcPr>
            <w:tcW w:type="dxa" w:w="3375"/>
          </w:tcPr>
          <w:p>
            <w:r>
              <w:rPr>
                <w:rFonts w:ascii="Times New Roman" w:hAnsi="Times New Roman"/>
                <w:sz w:val="16"/>
              </w:rPr>
              <w:t>4</w:t>
            </w:r>
          </w:p>
        </w:tc>
      </w:tr>
      <w:tr>
        <w:tc>
          <w:tcPr>
            <w:tcW w:type="dxa" w:w="3375"/>
          </w:tcPr>
          <w:p>
            <w:r>
              <w:rPr>
                <w:rFonts w:ascii="Times New Roman" w:hAnsi="Times New Roman"/>
                <w:sz w:val="16"/>
              </w:rPr>
              <w:t>WI101–WI103</w:t>
            </w:r>
          </w:p>
        </w:tc>
        <w:tc>
          <w:tcPr>
            <w:tcW w:type="dxa" w:w="3375"/>
          </w:tcPr>
          <w:p>
            <w:r>
              <w:rPr>
                <w:rFonts w:ascii="Times New Roman" w:hAnsi="Times New Roman"/>
                <w:sz w:val="16"/>
              </w:rPr>
              <w:t>Cross-Format Weight Integrity</w:t>
            </w:r>
          </w:p>
        </w:tc>
        <w:tc>
          <w:tcPr>
            <w:tcW w:type="dxa" w:w="3375"/>
          </w:tcPr>
          <w:p>
            <w:r>
              <w:rPr>
                <w:rFonts w:ascii="Times New Roman" w:hAnsi="Times New Roman"/>
                <w:sz w:val="16"/>
              </w:rPr>
              <w:t>3</w:t>
            </w:r>
          </w:p>
        </w:tc>
      </w:tr>
      <w:tr>
        <w:tc>
          <w:tcPr>
            <w:tcW w:type="dxa" w:w="3375"/>
          </w:tcPr>
          <w:p>
            <w:r>
              <w:rPr>
                <w:rFonts w:ascii="Times New Roman" w:hAnsi="Times New Roman"/>
                <w:sz w:val="16"/>
              </w:rPr>
              <w:t>ON101–ON104</w:t>
            </w:r>
          </w:p>
        </w:tc>
        <w:tc>
          <w:tcPr>
            <w:tcW w:type="dxa" w:w="3375"/>
          </w:tcPr>
          <w:p>
            <w:r>
              <w:rPr>
                <w:rFonts w:ascii="Times New Roman" w:hAnsi="Times New Roman"/>
                <w:sz w:val="16"/>
              </w:rPr>
              <w:t>ONNX: Graph &amp; External Data</w:t>
            </w:r>
          </w:p>
        </w:tc>
        <w:tc>
          <w:tcPr>
            <w:tcW w:type="dxa" w:w="3375"/>
          </w:tcPr>
          <w:p>
            <w:r>
              <w:rPr>
                <w:rFonts w:ascii="Times New Roman" w:hAnsi="Times New Roman"/>
                <w:sz w:val="16"/>
              </w:rPr>
              <w:t>4</w:t>
            </w:r>
          </w:p>
        </w:tc>
      </w:tr>
      <w:tr>
        <w:tc>
          <w:tcPr>
            <w:tcW w:type="dxa" w:w="3375"/>
          </w:tcPr>
          <w:p>
            <w:r>
              <w:rPr>
                <w:rFonts w:ascii="Times New Roman" w:hAnsi="Times New Roman"/>
                <w:sz w:val="16"/>
              </w:rPr>
              <w:t>TF101–TF103</w:t>
            </w:r>
          </w:p>
        </w:tc>
        <w:tc>
          <w:tcPr>
            <w:tcW w:type="dxa" w:w="3375"/>
          </w:tcPr>
          <w:p>
            <w:r>
              <w:rPr>
                <w:rFonts w:ascii="Times New Roman" w:hAnsi="Times New Roman"/>
                <w:sz w:val="16"/>
              </w:rPr>
              <w:t>TensorFlow SavedModel: Dangerous Operations</w:t>
            </w:r>
          </w:p>
        </w:tc>
        <w:tc>
          <w:tcPr>
            <w:tcW w:type="dxa" w:w="3375"/>
          </w:tcPr>
          <w:p>
            <w:r>
              <w:rPr>
                <w:rFonts w:ascii="Times New Roman" w:hAnsi="Times New Roman"/>
                <w:sz w:val="16"/>
              </w:rPr>
              <w:t>3</w:t>
            </w:r>
          </w:p>
        </w:tc>
      </w:tr>
      <w:tr>
        <w:tc>
          <w:tcPr>
            <w:tcW w:type="dxa" w:w="3375"/>
          </w:tcPr>
          <w:p>
            <w:r>
              <w:rPr>
                <w:rFonts w:ascii="Times New Roman" w:hAnsi="Times New Roman"/>
                <w:sz w:val="16"/>
              </w:rPr>
              <w:t>KR101–KR105</w:t>
            </w:r>
          </w:p>
        </w:tc>
        <w:tc>
          <w:tcPr>
            <w:tcW w:type="dxa" w:w="3375"/>
          </w:tcPr>
          <w:p>
            <w:r>
              <w:rPr>
                <w:rFonts w:ascii="Times New Roman" w:hAnsi="Times New Roman"/>
                <w:sz w:val="16"/>
              </w:rPr>
              <w:t>Keras: Custom Class &amp; Archive Exploit</w:t>
            </w:r>
          </w:p>
        </w:tc>
        <w:tc>
          <w:tcPr>
            <w:tcW w:type="dxa" w:w="3375"/>
          </w:tcPr>
          <w:p>
            <w:r>
              <w:rPr>
                <w:rFonts w:ascii="Times New Roman" w:hAnsi="Times New Roman"/>
                <w:sz w:val="16"/>
              </w:rPr>
              <w:t>5</w:t>
            </w:r>
          </w:p>
        </w:tc>
      </w:tr>
      <w:tr>
        <w:tc>
          <w:tcPr>
            <w:tcW w:type="dxa" w:w="3375"/>
          </w:tcPr>
          <w:p>
            <w:r>
              <w:rPr>
                <w:rFonts w:ascii="Times New Roman" w:hAnsi="Times New Roman"/>
                <w:sz w:val="16"/>
              </w:rPr>
              <w:t>Total</w:t>
            </w:r>
          </w:p>
        </w:tc>
        <w:tc>
          <w:tcPr>
            <w:tcW w:type="dxa" w:w="3375"/>
          </w:tcPr>
          <w:p>
            <w:r>
              <w:rPr>
                <w:rFonts w:ascii="Times New Roman" w:hAnsi="Times New Roman"/>
                <w:sz w:val="16"/>
              </w:rPr>
            </w:r>
          </w:p>
        </w:tc>
        <w:tc>
          <w:tcPr>
            <w:tcW w:type="dxa" w:w="3375"/>
          </w:tcPr>
          <w:p>
            <w:r>
              <w:rPr>
                <w:rFonts w:ascii="Times New Roman" w:hAnsi="Times New Roman"/>
                <w:sz w:val="16"/>
              </w:rPr>
              <w:t>87</w:t>
            </w:r>
          </w:p>
        </w:tc>
      </w:tr>
    </w:tbl>
    <w:p>
      <w:pPr>
        <w:spacing w:before="40" w:after="80"/>
        <w:jc w:val="both"/>
      </w:pPr>
      <w:r>
        <w:rPr>
          <w:rFonts w:ascii="Times New Roman" w:hAnsi="Times New Roman"/>
          <w:b w:val="0"/>
          <w:i w:val="0"/>
          <w:sz w:val="20"/>
        </w:rPr>
      </w:r>
    </w:p>
    <w:p>
      <w:pPr>
        <w:spacing w:before="80" w:after="20"/>
        <w:jc w:val="left"/>
      </w:pPr>
      <w:r>
        <w:rPr>
          <w:rFonts w:ascii="Times New Roman" w:hAnsi="Times New Roman"/>
          <w:b/>
          <w:i/>
          <w:sz w:val="20"/>
        </w:rPr>
        <w:t>C.  Representative Detection Rules</w:t>
      </w:r>
    </w:p>
    <w:p>
      <w:pPr>
        <w:spacing w:before="0" w:after="60"/>
        <w:jc w:val="both"/>
      </w:pPr>
      <w:r>
        <w:rPr>
          <w:rFonts w:ascii="Times New Roman" w:hAnsi="Times New Roman"/>
          <w:b w:val="0"/>
          <w:i w:val="0"/>
          <w:sz w:val="20"/>
        </w:rPr>
        <w:t>P101 — Dangerous Global Import (CRITICAL, CWE-502). Fires when a Pickle GLOBAL or STACK_GLOBAL opcode references a blocklisted callable such as os.system or subprocess.Popen. Primary indicator of an arbitrary code execution payload [26],[27].</w:t>
      </w:r>
    </w:p>
    <w:p>
      <w:pPr>
        <w:spacing w:before="0" w:after="60"/>
        <w:jc w:val="both"/>
      </w:pPr>
      <w:r>
        <w:rPr>
          <w:rFonts w:ascii="Times New Roman" w:hAnsi="Times New Roman"/>
          <w:b w:val="0"/>
          <w:i w:val="0"/>
          <w:sz w:val="20"/>
        </w:rPr>
        <w:t>P104 — Dangerous REDUCE Invocation (CRITICAL, CWE-502, CWE-94). Fires when a REDUCE opcode invokes a blocklisted callable, confirming the complete code-execution gadget chain when co-occurring with P101.</w:t>
      </w:r>
    </w:p>
    <w:p>
      <w:pPr>
        <w:spacing w:before="0" w:after="60"/>
        <w:jc w:val="both"/>
      </w:pPr>
      <w:r>
        <w:rPr>
          <w:rFonts w:ascii="Times New Roman" w:hAnsi="Times New Roman"/>
          <w:b w:val="0"/>
          <w:i w:val="0"/>
          <w:sz w:val="20"/>
        </w:rPr>
        <w:t>G001 — Extension Spoofing (HIGH, CWE-436). Fires when magic-byte format differs from the format implied by the file extension.</w:t>
      </w:r>
    </w:p>
    <w:p>
      <w:pPr>
        <w:spacing w:before="0" w:after="60"/>
        <w:jc w:val="both"/>
      </w:pPr>
      <w:r>
        <w:rPr>
          <w:rFonts w:ascii="Times New Roman" w:hAnsi="Times New Roman"/>
          <w:b w:val="0"/>
          <w:i w:val="0"/>
          <w:sz w:val="20"/>
        </w:rPr>
        <w:t>SC101 — Dangerous auto_map Class Entry (CRITICAL, CWE-94, CWE-502). Fires when config.json contains an auto_map entry pointing to an arbitrary Python class path, enabling remote code execution at model load time. Exploited by the publicly disclosed proof-of-concept shaq4prez/malicious-olmo3-poc (CVSS 9.6) [1].</w:t>
      </w:r>
    </w:p>
    <w:p>
      <w:pPr>
        <w:spacing w:before="0" w:after="60"/>
        <w:jc w:val="both"/>
      </w:pPr>
      <w:r>
        <w:rPr>
          <w:rFonts w:ascii="Times New Roman" w:hAnsi="Times New Roman"/>
          <w:b w:val="0"/>
          <w:i w:val="0"/>
          <w:sz w:val="20"/>
        </w:rPr>
        <w:t>ST101 and GU101 — Metadata Code-Execution String (CRITICAL). Fire when SafeTensors header fields or GGUF metadata values contain patterns such as eval( or exec(.</w:t>
      </w:r>
    </w:p>
    <w:p>
      <w:pPr>
        <w:spacing w:before="160" w:after="40"/>
        <w:jc w:val="center"/>
      </w:pPr>
      <w:r>
        <w:rPr>
          <w:rFonts w:ascii="Times New Roman" w:hAnsi="Times New Roman"/>
          <w:b/>
          <w:sz w:val="20"/>
        </w:rPr>
        <w:t>V. RISK SCORING ALGORITHM</w:t>
      </w:r>
    </w:p>
    <w:p>
      <w:pPr>
        <w:spacing w:before="80" w:after="20"/>
        <w:jc w:val="left"/>
      </w:pPr>
      <w:r>
        <w:rPr>
          <w:rFonts w:ascii="Times New Roman" w:hAnsi="Times New Roman"/>
          <w:b/>
          <w:i/>
          <w:sz w:val="20"/>
        </w:rPr>
        <w:t>A.  Severity-Weighted Sum</w:t>
      </w:r>
    </w:p>
    <w:p>
      <w:pPr>
        <w:spacing w:before="0" w:after="60"/>
        <w:jc w:val="both"/>
      </w:pPr>
      <w:r>
        <w:rPr>
          <w:rFonts w:ascii="Times New Roman" w:hAnsi="Times New Roman"/>
          <w:b w:val="0"/>
          <w:i w:val="0"/>
          <w:sz w:val="20"/>
        </w:rPr>
        <w:t>Step 1 — Deduplication and exclusion. Findings are deduplicated by the tuple (rule identifier, byte offset, archive member name, matched value). Compound correlated rules C001–C004 are excluded from scoring to prevent double-counting.</w:t>
      </w:r>
    </w:p>
    <w:p>
      <w:pPr>
        <w:spacing w:before="0" w:after="60"/>
        <w:jc w:val="both"/>
      </w:pPr>
      <w:r>
        <w:rPr>
          <w:rFonts w:ascii="Times New Roman" w:hAnsi="Times New Roman"/>
          <w:b w:val="0"/>
          <w:i w:val="0"/>
          <w:sz w:val="20"/>
        </w:rPr>
        <w:t>Step 2 — Weighted sum:  W = Σ w(severity) × c(confidence). Severity weights: CRITICAL = 40, HIGH = 20, MEDIUM = 5, LOW = 1, INFO = 0. Confidence factors: HIGH = 1.0, MEDIUM = 0.8, LOW = 0.5.</w:t>
      </w:r>
    </w:p>
    <w:p>
      <w:pPr>
        <w:spacing w:before="80" w:after="20"/>
        <w:jc w:val="left"/>
      </w:pPr>
      <w:r>
        <w:rPr>
          <w:rFonts w:ascii="Times New Roman" w:hAnsi="Times New Roman"/>
          <w:b/>
          <w:i/>
          <w:sz w:val="20"/>
        </w:rPr>
        <w:t>B.  Format and Obfuscation Multipliers</w:t>
      </w:r>
    </w:p>
    <w:p>
      <w:pPr>
        <w:spacing w:before="0" w:after="60"/>
        <w:jc w:val="both"/>
      </w:pPr>
      <w:r>
        <w:rPr>
          <w:rFonts w:ascii="Times New Roman" w:hAnsi="Times New Roman"/>
          <w:b w:val="0"/>
          <w:i w:val="0"/>
          <w:sz w:val="20"/>
        </w:rPr>
        <w:t>Step 3 — Format multiplier (mf). Raw Pickle and legacy (non-ZIP) PyTorch: mf = 1.5. Modern PyTorch ZIP: mf = 1.3. GGUF/GGML: mf = 1.1. All other formats: mf = 1.0.</w:t>
      </w:r>
    </w:p>
    <w:p>
      <w:pPr>
        <w:spacing w:before="0" w:after="60"/>
        <w:jc w:val="both"/>
      </w:pPr>
      <w:r>
        <w:rPr>
          <w:rFonts w:ascii="Times New Roman" w:hAnsi="Times New Roman"/>
          <w:b w:val="0"/>
          <w:i w:val="0"/>
          <w:sz w:val="20"/>
        </w:rPr>
        <w:t>Step 4 — Obfuscation multiplier (mo). Structural anomaly AND unresolvable symbol: mo = 1.75. Structural anomaly alone: mo = 1.50. Unresolvable symbol alone: mo = 1.25. Neither condition: mo = 1.00. INFO-severity findings never contribute to either flag.</w:t>
      </w:r>
    </w:p>
    <w:p>
      <w:pPr>
        <w:spacing w:before="80" w:after="20"/>
        <w:jc w:val="left"/>
      </w:pPr>
      <w:r>
        <w:rPr>
          <w:rFonts w:ascii="Times New Roman" w:hAnsi="Times New Roman"/>
          <w:b/>
          <w:i/>
          <w:sz w:val="20"/>
        </w:rPr>
        <w:t>C.  Final Score and Severity Floor</w:t>
      </w:r>
    </w:p>
    <w:p>
      <w:pPr>
        <w:spacing w:before="0" w:after="60"/>
        <w:jc w:val="both"/>
      </w:pPr>
      <w:r>
        <w:rPr>
          <w:rFonts w:ascii="Times New Roman" w:hAnsi="Times New Roman"/>
          <w:b w:val="0"/>
          <w:i w:val="0"/>
          <w:sz w:val="20"/>
        </w:rPr>
        <w:t>Step 5 — Raw score: Sr = W × mf × mo.</w:t>
      </w:r>
    </w:p>
    <w:p>
      <w:pPr>
        <w:spacing w:before="0" w:after="60"/>
        <w:jc w:val="both"/>
      </w:pPr>
      <w:r>
        <w:rPr>
          <w:rFonts w:ascii="Times New Roman" w:hAnsi="Times New Roman"/>
          <w:b w:val="0"/>
          <w:i w:val="0"/>
          <w:sz w:val="20"/>
        </w:rPr>
        <w:t>Step 6 — Clamped integer score: S = min(100, floor(Sr + 0.5)).</w:t>
      </w:r>
    </w:p>
    <w:p>
      <w:pPr>
        <w:spacing w:before="0" w:after="60"/>
        <w:jc w:val="both"/>
      </w:pPr>
      <w:r>
        <w:rPr>
          <w:rFonts w:ascii="Times New Roman" w:hAnsi="Times New Roman"/>
          <w:b w:val="0"/>
          <w:i w:val="0"/>
          <w:sz w:val="20"/>
        </w:rPr>
        <w:t>Step 7 — Severity floor (R5 rule):  B_final = max(B_numeric(S), B_floor(worst_finding)). The floor maps CRITICAL → Critical_Risk, HIGH → High_Risk, MEDIUM → Medium_Risk, LOW → Low_Risk. The floor only raises the band, never lowers it, guaranteeing a lone CRITICAL or HIGH finding is never arithmetically undersold.</w:t>
      </w:r>
    </w:p>
    <w:p>
      <w:pPr>
        <w:spacing w:before="120" w:after="20"/>
        <w:jc w:val="center"/>
      </w:pPr>
      <w:r>
        <w:rPr>
          <w:rFonts w:ascii="Times New Roman" w:hAnsi="Times New Roman"/>
          <w:b/>
          <w:sz w:val="18"/>
        </w:rPr>
        <w:t>TABLE II.  Risk Band Mapping</w:t>
      </w:r>
    </w:p>
    <w:tbl>
      <w:tblPr>
        <w:tblStyle w:val="TableGrid"/>
        <w:tblW w:type="auto" w:w="0"/>
        <w:jc w:val="center"/>
        <w:tblLook w:firstColumn="1" w:firstRow="1" w:lastColumn="0" w:lastRow="0" w:noHBand="0" w:noVBand="1" w:val="04A0"/>
      </w:tblPr>
      <w:tblGrid>
        <w:gridCol w:w="5063"/>
        <w:gridCol w:w="5063"/>
      </w:tblGrid>
      <w:tr>
        <w:tc>
          <w:tcPr>
            <w:tcW w:type="dxa" w:w="5063"/>
          </w:tcPr>
          <w:p>
            <w:pPr>
              <w:jc w:val="center"/>
            </w:pPr>
            <w:r>
              <w:rPr>
                <w:rFonts w:ascii="Times New Roman" w:hAnsi="Times New Roman"/>
                <w:b/>
                <w:sz w:val="16"/>
              </w:rPr>
              <w:t>Final Score</w:t>
            </w:r>
          </w:p>
        </w:tc>
        <w:tc>
          <w:tcPr>
            <w:tcW w:type="dxa" w:w="5063"/>
          </w:tcPr>
          <w:p>
            <w:pPr>
              <w:jc w:val="center"/>
            </w:pPr>
            <w:r>
              <w:rPr>
                <w:rFonts w:ascii="Times New Roman" w:hAnsi="Times New Roman"/>
                <w:b/>
                <w:sz w:val="16"/>
              </w:rPr>
              <w:t>Risk Band</w:t>
            </w:r>
          </w:p>
        </w:tc>
      </w:tr>
      <w:tr>
        <w:tc>
          <w:tcPr>
            <w:tcW w:type="dxa" w:w="5063"/>
          </w:tcPr>
          <w:p>
            <w:r>
              <w:rPr>
                <w:rFonts w:ascii="Times New Roman" w:hAnsi="Times New Roman"/>
                <w:sz w:val="16"/>
              </w:rPr>
              <w:t>0</w:t>
            </w:r>
          </w:p>
        </w:tc>
        <w:tc>
          <w:tcPr>
            <w:tcW w:type="dxa" w:w="5063"/>
          </w:tcPr>
          <w:p>
            <w:r>
              <w:rPr>
                <w:rFonts w:ascii="Times New Roman" w:hAnsi="Times New Roman"/>
                <w:sz w:val="16"/>
              </w:rPr>
              <w:t>Clean</w:t>
            </w:r>
          </w:p>
        </w:tc>
      </w:tr>
      <w:tr>
        <w:tc>
          <w:tcPr>
            <w:tcW w:type="dxa" w:w="5063"/>
          </w:tcPr>
          <w:p>
            <w:r>
              <w:rPr>
                <w:rFonts w:ascii="Times New Roman" w:hAnsi="Times New Roman"/>
                <w:sz w:val="16"/>
              </w:rPr>
              <w:t>1 – 30</w:t>
            </w:r>
          </w:p>
        </w:tc>
        <w:tc>
          <w:tcPr>
            <w:tcW w:type="dxa" w:w="5063"/>
          </w:tcPr>
          <w:p>
            <w:r>
              <w:rPr>
                <w:rFonts w:ascii="Times New Roman" w:hAnsi="Times New Roman"/>
                <w:sz w:val="16"/>
              </w:rPr>
              <w:t>Low_Risk</w:t>
            </w:r>
          </w:p>
        </w:tc>
      </w:tr>
      <w:tr>
        <w:tc>
          <w:tcPr>
            <w:tcW w:type="dxa" w:w="5063"/>
          </w:tcPr>
          <w:p>
            <w:r>
              <w:rPr>
                <w:rFonts w:ascii="Times New Roman" w:hAnsi="Times New Roman"/>
                <w:sz w:val="16"/>
              </w:rPr>
              <w:t>31 – 60</w:t>
            </w:r>
          </w:p>
        </w:tc>
        <w:tc>
          <w:tcPr>
            <w:tcW w:type="dxa" w:w="5063"/>
          </w:tcPr>
          <w:p>
            <w:r>
              <w:rPr>
                <w:rFonts w:ascii="Times New Roman" w:hAnsi="Times New Roman"/>
                <w:sz w:val="16"/>
              </w:rPr>
              <w:t>Medium_Risk</w:t>
            </w:r>
          </w:p>
        </w:tc>
      </w:tr>
      <w:tr>
        <w:tc>
          <w:tcPr>
            <w:tcW w:type="dxa" w:w="5063"/>
          </w:tcPr>
          <w:p>
            <w:r>
              <w:rPr>
                <w:rFonts w:ascii="Times New Roman" w:hAnsi="Times New Roman"/>
                <w:sz w:val="16"/>
              </w:rPr>
              <w:t>61 – 89</w:t>
            </w:r>
          </w:p>
        </w:tc>
        <w:tc>
          <w:tcPr>
            <w:tcW w:type="dxa" w:w="5063"/>
          </w:tcPr>
          <w:p>
            <w:r>
              <w:rPr>
                <w:rFonts w:ascii="Times New Roman" w:hAnsi="Times New Roman"/>
                <w:sz w:val="16"/>
              </w:rPr>
              <w:t>High_Risk</w:t>
            </w:r>
          </w:p>
        </w:tc>
      </w:tr>
      <w:tr>
        <w:tc>
          <w:tcPr>
            <w:tcW w:type="dxa" w:w="5063"/>
          </w:tcPr>
          <w:p>
            <w:r>
              <w:rPr>
                <w:rFonts w:ascii="Times New Roman" w:hAnsi="Times New Roman"/>
                <w:sz w:val="16"/>
              </w:rPr>
              <w:t>90 – 100</w:t>
            </w:r>
          </w:p>
        </w:tc>
        <w:tc>
          <w:tcPr>
            <w:tcW w:type="dxa" w:w="5063"/>
          </w:tcPr>
          <w:p>
            <w:r>
              <w:rPr>
                <w:rFonts w:ascii="Times New Roman" w:hAnsi="Times New Roman"/>
                <w:sz w:val="16"/>
              </w:rPr>
              <w:t>Critical_Risk</w:t>
            </w:r>
          </w:p>
        </w:tc>
      </w:tr>
    </w:tbl>
    <w:p>
      <w:pPr>
        <w:spacing w:before="40" w:after="80"/>
        <w:jc w:val="both"/>
      </w:pPr>
      <w:r>
        <w:rPr>
          <w:rFonts w:ascii="Times New Roman" w:hAnsi="Times New Roman"/>
          <w:b w:val="0"/>
          <w:i w:val="0"/>
          <w:sz w:val="20"/>
        </w:rPr>
      </w:r>
    </w:p>
    <w:p>
      <w:pPr>
        <w:spacing w:before="160" w:after="40"/>
        <w:jc w:val="center"/>
      </w:pPr>
      <w:r>
        <w:rPr>
          <w:rFonts w:ascii="Times New Roman" w:hAnsi="Times New Roman"/>
          <w:b/>
          <w:sz w:val="20"/>
        </w:rPr>
        <w:t>VI. EVALUATION</w:t>
      </w:r>
    </w:p>
    <w:p>
      <w:pPr>
        <w:spacing w:before="80" w:after="20"/>
        <w:jc w:val="left"/>
      </w:pPr>
      <w:r>
        <w:rPr>
          <w:rFonts w:ascii="Times New Roman" w:hAnsi="Times New Roman"/>
          <w:b/>
          <w:i/>
          <w:sz w:val="20"/>
        </w:rPr>
        <w:t>A.  Benchmark Corpus and Results</w:t>
      </w:r>
    </w:p>
    <w:p>
      <w:pPr>
        <w:spacing w:before="0" w:after="60"/>
        <w:jc w:val="both"/>
      </w:pPr>
      <w:r>
        <w:rPr>
          <w:rFonts w:ascii="Times New Roman" w:hAnsi="Times New Roman"/>
          <w:b w:val="0"/>
          <w:i w:val="0"/>
          <w:sz w:val="20"/>
        </w:rPr>
        <w:t>We evaluate ModelScanner on a deterministic, programmatically generated synthetic corpus of 27 model artifact samples: 20 malicious (true positives) and 7 clean (true negatives). The corpus provides at least one sample per major rule family to ensure complete rule-coverage verification. Table III reports all metrics.</w:t>
      </w:r>
    </w:p>
    <w:p>
      <w:pPr>
        <w:spacing w:before="120" w:after="20"/>
        <w:jc w:val="center"/>
      </w:pPr>
      <w:r>
        <w:rPr>
          <w:rFonts w:ascii="Times New Roman" w:hAnsi="Times New Roman"/>
          <w:b/>
          <w:sz w:val="18"/>
        </w:rPr>
        <w:t>TABLE III.  Benchmark Performance on the 27-Sample Synthetic Corpus</w:t>
      </w:r>
    </w:p>
    <w:tbl>
      <w:tblPr>
        <w:tblStyle w:val="TableGrid"/>
        <w:tblW w:type="auto" w:w="0"/>
        <w:jc w:val="center"/>
        <w:tblLook w:firstColumn="1" w:firstRow="1" w:lastColumn="0" w:lastRow="0" w:noHBand="0" w:noVBand="1" w:val="04A0"/>
      </w:tblPr>
      <w:tblGrid>
        <w:gridCol w:w="5063"/>
        <w:gridCol w:w="5063"/>
      </w:tblGrid>
      <w:tr>
        <w:tc>
          <w:tcPr>
            <w:tcW w:type="dxa" w:w="5063"/>
          </w:tcPr>
          <w:p>
            <w:pPr>
              <w:jc w:val="center"/>
            </w:pPr>
            <w:r>
              <w:rPr>
                <w:rFonts w:ascii="Times New Roman" w:hAnsi="Times New Roman"/>
                <w:b/>
                <w:sz w:val="16"/>
              </w:rPr>
              <w:t>Metric</w:t>
            </w:r>
          </w:p>
        </w:tc>
        <w:tc>
          <w:tcPr>
            <w:tcW w:type="dxa" w:w="5063"/>
          </w:tcPr>
          <w:p>
            <w:pPr>
              <w:jc w:val="center"/>
            </w:pPr>
            <w:r>
              <w:rPr>
                <w:rFonts w:ascii="Times New Roman" w:hAnsi="Times New Roman"/>
                <w:b/>
                <w:sz w:val="16"/>
              </w:rPr>
              <w:t>Value</w:t>
            </w:r>
          </w:p>
        </w:tc>
      </w:tr>
      <w:tr>
        <w:tc>
          <w:tcPr>
            <w:tcW w:type="dxa" w:w="5063"/>
          </w:tcPr>
          <w:p>
            <w:r>
              <w:rPr>
                <w:rFonts w:ascii="Times New Roman" w:hAnsi="Times New Roman"/>
                <w:sz w:val="16"/>
              </w:rPr>
              <w:t>Precision (PPV)</w:t>
            </w:r>
          </w:p>
        </w:tc>
        <w:tc>
          <w:tcPr>
            <w:tcW w:type="dxa" w:w="5063"/>
          </w:tcPr>
          <w:p>
            <w:r>
              <w:rPr>
                <w:rFonts w:ascii="Times New Roman" w:hAnsi="Times New Roman"/>
                <w:sz w:val="16"/>
              </w:rPr>
              <w:t>1.0000</w:t>
            </w:r>
          </w:p>
        </w:tc>
      </w:tr>
      <w:tr>
        <w:tc>
          <w:tcPr>
            <w:tcW w:type="dxa" w:w="5063"/>
          </w:tcPr>
          <w:p>
            <w:r>
              <w:rPr>
                <w:rFonts w:ascii="Times New Roman" w:hAnsi="Times New Roman"/>
                <w:sz w:val="16"/>
              </w:rPr>
              <w:t>Recall (TPR)</w:t>
            </w:r>
          </w:p>
        </w:tc>
        <w:tc>
          <w:tcPr>
            <w:tcW w:type="dxa" w:w="5063"/>
          </w:tcPr>
          <w:p>
            <w:r>
              <w:rPr>
                <w:rFonts w:ascii="Times New Roman" w:hAnsi="Times New Roman"/>
                <w:sz w:val="16"/>
              </w:rPr>
              <w:t>1.0000</w:t>
            </w:r>
          </w:p>
        </w:tc>
      </w:tr>
      <w:tr>
        <w:tc>
          <w:tcPr>
            <w:tcW w:type="dxa" w:w="5063"/>
          </w:tcPr>
          <w:p>
            <w:r>
              <w:rPr>
                <w:rFonts w:ascii="Times New Roman" w:hAnsi="Times New Roman"/>
                <w:sz w:val="16"/>
              </w:rPr>
              <w:t>F1 Score</w:t>
            </w:r>
          </w:p>
        </w:tc>
        <w:tc>
          <w:tcPr>
            <w:tcW w:type="dxa" w:w="5063"/>
          </w:tcPr>
          <w:p>
            <w:r>
              <w:rPr>
                <w:rFonts w:ascii="Times New Roman" w:hAnsi="Times New Roman"/>
                <w:sz w:val="16"/>
              </w:rPr>
              <w:t>1.0000</w:t>
            </w:r>
          </w:p>
        </w:tc>
      </w:tr>
      <w:tr>
        <w:tc>
          <w:tcPr>
            <w:tcW w:type="dxa" w:w="5063"/>
          </w:tcPr>
          <w:p>
            <w:r>
              <w:rPr>
                <w:rFonts w:ascii="Times New Roman" w:hAnsi="Times New Roman"/>
                <w:sz w:val="16"/>
              </w:rPr>
              <w:t>False Positive Rate</w:t>
            </w:r>
          </w:p>
        </w:tc>
        <w:tc>
          <w:tcPr>
            <w:tcW w:type="dxa" w:w="5063"/>
          </w:tcPr>
          <w:p>
            <w:r>
              <w:rPr>
                <w:rFonts w:ascii="Times New Roman" w:hAnsi="Times New Roman"/>
                <w:sz w:val="16"/>
              </w:rPr>
              <w:t>0.0000</w:t>
            </w:r>
          </w:p>
        </w:tc>
      </w:tr>
      <w:tr>
        <w:tc>
          <w:tcPr>
            <w:tcW w:type="dxa" w:w="5063"/>
          </w:tcPr>
          <w:p>
            <w:r>
              <w:rPr>
                <w:rFonts w:ascii="Times New Roman" w:hAnsi="Times New Roman"/>
                <w:sz w:val="16"/>
              </w:rPr>
              <w:t>False Negative Rate</w:t>
            </w:r>
          </w:p>
        </w:tc>
        <w:tc>
          <w:tcPr>
            <w:tcW w:type="dxa" w:w="5063"/>
          </w:tcPr>
          <w:p>
            <w:r>
              <w:rPr>
                <w:rFonts w:ascii="Times New Roman" w:hAnsi="Times New Roman"/>
                <w:sz w:val="16"/>
              </w:rPr>
              <w:t>0.0000</w:t>
            </w:r>
          </w:p>
        </w:tc>
      </w:tr>
      <w:tr>
        <w:tc>
          <w:tcPr>
            <w:tcW w:type="dxa" w:w="5063"/>
          </w:tcPr>
          <w:p>
            <w:r>
              <w:rPr>
                <w:rFonts w:ascii="Times New Roman" w:hAnsi="Times New Roman"/>
                <w:sz w:val="16"/>
              </w:rPr>
              <w:t>Accuracy</w:t>
            </w:r>
          </w:p>
        </w:tc>
        <w:tc>
          <w:tcPr>
            <w:tcW w:type="dxa" w:w="5063"/>
          </w:tcPr>
          <w:p>
            <w:r>
              <w:rPr>
                <w:rFonts w:ascii="Times New Roman" w:hAnsi="Times New Roman"/>
                <w:sz w:val="16"/>
              </w:rPr>
              <w:t>100.00%</w:t>
            </w:r>
          </w:p>
        </w:tc>
      </w:tr>
      <w:tr>
        <w:tc>
          <w:tcPr>
            <w:tcW w:type="dxa" w:w="5063"/>
          </w:tcPr>
          <w:p>
            <w:r>
              <w:rPr>
                <w:rFonts w:ascii="Times New Roman" w:hAnsi="Times New Roman"/>
                <w:sz w:val="16"/>
              </w:rPr>
              <w:t>Mean Scan Latency</w:t>
            </w:r>
          </w:p>
        </w:tc>
        <w:tc>
          <w:tcPr>
            <w:tcW w:type="dxa" w:w="5063"/>
          </w:tcPr>
          <w:p>
            <w:r>
              <w:rPr>
                <w:rFonts w:ascii="Times New Roman" w:hAnsi="Times New Roman"/>
                <w:sz w:val="16"/>
              </w:rPr>
              <w:t>≈1 ms</w:t>
            </w:r>
          </w:p>
        </w:tc>
      </w:tr>
      <w:tr>
        <w:tc>
          <w:tcPr>
            <w:tcW w:type="dxa" w:w="5063"/>
          </w:tcPr>
          <w:p>
            <w:r>
              <w:rPr>
                <w:rFonts w:ascii="Times New Roman" w:hAnsi="Times New Roman"/>
                <w:sz w:val="16"/>
              </w:rPr>
              <w:t>Peak Memory Usage</w:t>
            </w:r>
          </w:p>
        </w:tc>
        <w:tc>
          <w:tcPr>
            <w:tcW w:type="dxa" w:w="5063"/>
          </w:tcPr>
          <w:p>
            <w:r>
              <w:rPr>
                <w:rFonts w:ascii="Times New Roman" w:hAnsi="Times New Roman"/>
                <w:sz w:val="16"/>
              </w:rPr>
              <w:t>0.10 MB</w:t>
            </w:r>
          </w:p>
        </w:tc>
      </w:tr>
    </w:tbl>
    <w:p>
      <w:pPr>
        <w:spacing w:before="40" w:after="80"/>
        <w:jc w:val="both"/>
      </w:pPr>
      <w:r>
        <w:rPr>
          <w:rFonts w:ascii="Times New Roman" w:hAnsi="Times New Roman"/>
          <w:b w:val="0"/>
          <w:i w:val="0"/>
          <w:sz w:val="20"/>
        </w:rPr>
      </w:r>
    </w:p>
    <w:p>
      <w:pPr>
        <w:spacing w:before="0" w:after="60"/>
        <w:jc w:val="both"/>
      </w:pPr>
      <w:r>
        <w:rPr>
          <w:rFonts w:ascii="Times New Roman" w:hAnsi="Times New Roman"/>
          <w:b w:val="0"/>
          <w:i w:val="0"/>
          <w:sz w:val="20"/>
        </w:rPr>
        <w:t>All 20 malicious samples were classified at Medium_Risk or above; all 7 clean samples received Clean. Sub-millisecond latency reflects the zero-dependency pure-standard-library implementation and the deliberate skip of weight data regions.</w:t>
      </w:r>
    </w:p>
    <w:p>
      <w:pPr>
        <w:spacing w:before="80" w:after="20"/>
        <w:jc w:val="left"/>
      </w:pPr>
      <w:r>
        <w:rPr>
          <w:rFonts w:ascii="Times New Roman" w:hAnsi="Times New Roman"/>
          <w:b/>
          <w:i/>
          <w:sz w:val="20"/>
        </w:rPr>
        <w:t>B.  Real-World Adversarial Validation</w:t>
      </w:r>
    </w:p>
    <w:p>
      <w:pPr>
        <w:spacing w:before="0" w:after="60"/>
        <w:jc w:val="both"/>
      </w:pPr>
      <w:r>
        <w:rPr>
          <w:rFonts w:ascii="Times New Roman" w:hAnsi="Times New Roman"/>
          <w:b w:val="0"/>
          <w:i w:val="0"/>
          <w:sz w:val="20"/>
        </w:rPr>
        <w:t>Table IV summarizes results against seven public Hugging Face exploit repositories.</w:t>
      </w:r>
    </w:p>
    <w:p>
      <w:pPr>
        <w:spacing w:before="120" w:after="20"/>
        <w:jc w:val="center"/>
      </w:pPr>
      <w:r>
        <w:rPr>
          <w:rFonts w:ascii="Times New Roman" w:hAnsi="Times New Roman"/>
          <w:b/>
          <w:sz w:val="18"/>
        </w:rPr>
        <w:t>TABLE IV.  Real-World Adversarial Test Cases</w:t>
      </w:r>
    </w:p>
    <w:tbl>
      <w:tblPr>
        <w:tblStyle w:val="TableGrid"/>
        <w:tblW w:type="auto" w:w="0"/>
        <w:jc w:val="center"/>
        <w:tblLook w:firstColumn="1" w:firstRow="1" w:lastColumn="0" w:lastRow="0" w:noHBand="0" w:noVBand="1" w:val="04A0"/>
      </w:tblPr>
      <w:tblGrid>
        <w:gridCol w:w="3375"/>
        <w:gridCol w:w="3375"/>
        <w:gridCol w:w="3375"/>
      </w:tblGrid>
      <w:tr>
        <w:tc>
          <w:tcPr>
            <w:tcW w:type="dxa" w:w="3375"/>
          </w:tcPr>
          <w:p>
            <w:pPr>
              <w:jc w:val="center"/>
            </w:pPr>
            <w:r>
              <w:rPr>
                <w:rFonts w:ascii="Times New Roman" w:hAnsi="Times New Roman"/>
                <w:b/>
                <w:sz w:val="16"/>
              </w:rPr>
              <w:t>Repository / Test Case</w:t>
            </w:r>
          </w:p>
        </w:tc>
        <w:tc>
          <w:tcPr>
            <w:tcW w:type="dxa" w:w="3375"/>
          </w:tcPr>
          <w:p>
            <w:pPr>
              <w:jc w:val="center"/>
            </w:pPr>
            <w:r>
              <w:rPr>
                <w:rFonts w:ascii="Times New Roman" w:hAnsi="Times New Roman"/>
                <w:b/>
                <w:sz w:val="16"/>
              </w:rPr>
              <w:t>Format</w:t>
            </w:r>
          </w:p>
        </w:tc>
        <w:tc>
          <w:tcPr>
            <w:tcW w:type="dxa" w:w="3375"/>
          </w:tcPr>
          <w:p>
            <w:pPr>
              <w:jc w:val="center"/>
            </w:pPr>
            <w:r>
              <w:rPr>
                <w:rFonts w:ascii="Times New Roman" w:hAnsi="Times New Roman"/>
                <w:b/>
                <w:sz w:val="16"/>
              </w:rPr>
              <w:t>Outcome</w:t>
            </w:r>
          </w:p>
        </w:tc>
      </w:tr>
      <w:tr>
        <w:tc>
          <w:tcPr>
            <w:tcW w:type="dxa" w:w="3375"/>
          </w:tcPr>
          <w:p>
            <w:r>
              <w:rPr>
                <w:rFonts w:ascii="Times New Roman" w:hAnsi="Times New Roman"/>
                <w:sz w:val="16"/>
              </w:rPr>
              <w:t>TC1: malicious-olmo3-poc</w:t>
            </w:r>
          </w:p>
        </w:tc>
        <w:tc>
          <w:tcPr>
            <w:tcW w:type="dxa" w:w="3375"/>
          </w:tcPr>
          <w:p>
            <w:r>
              <w:rPr>
                <w:rFonts w:ascii="Times New Roman" w:hAnsi="Times New Roman"/>
                <w:sz w:val="16"/>
              </w:rPr>
              <w:t>Pickle</w:t>
            </w:r>
          </w:p>
        </w:tc>
        <w:tc>
          <w:tcPr>
            <w:tcW w:type="dxa" w:w="3375"/>
          </w:tcPr>
          <w:p>
            <w:r>
              <w:rPr>
                <w:rFonts w:ascii="Times New Roman" w:hAnsi="Times New Roman"/>
                <w:sz w:val="16"/>
              </w:rPr>
              <w:t>Not acquired (no extension)</w:t>
            </w:r>
          </w:p>
        </w:tc>
      </w:tr>
      <w:tr>
        <w:tc>
          <w:tcPr>
            <w:tcW w:type="dxa" w:w="3375"/>
          </w:tcPr>
          <w:p>
            <w:r>
              <w:rPr>
                <w:rFonts w:ascii="Times New Roman" w:hAnsi="Times New Roman"/>
                <w:sz w:val="16"/>
              </w:rPr>
              <w:t>TC2: modelscan-h5-bypass</w:t>
            </w:r>
          </w:p>
        </w:tc>
        <w:tc>
          <w:tcPr>
            <w:tcW w:type="dxa" w:w="3375"/>
          </w:tcPr>
          <w:p>
            <w:r>
              <w:rPr>
                <w:rFonts w:ascii="Times New Roman" w:hAnsi="Times New Roman"/>
                <w:sz w:val="16"/>
              </w:rPr>
              <w:t>HDF5</w:t>
            </w:r>
          </w:p>
        </w:tc>
        <w:tc>
          <w:tcPr>
            <w:tcW w:type="dxa" w:w="3375"/>
          </w:tcPr>
          <w:p>
            <w:r>
              <w:rPr>
                <w:rFonts w:ascii="Times New Roman" w:hAnsi="Times New Roman"/>
                <w:sz w:val="16"/>
              </w:rPr>
              <w:t>Clean (HDF5 analyzer pending)</w:t>
            </w:r>
          </w:p>
        </w:tc>
      </w:tr>
      <w:tr>
        <w:tc>
          <w:tcPr>
            <w:tcW w:type="dxa" w:w="3375"/>
          </w:tcPr>
          <w:p>
            <w:r>
              <w:rPr>
                <w:rFonts w:ascii="Times New Roman" w:hAnsi="Times New Roman"/>
                <w:sz w:val="16"/>
              </w:rPr>
              <w:t>TC3: tf-asset-traversal-poc</w:t>
            </w:r>
          </w:p>
        </w:tc>
        <w:tc>
          <w:tcPr>
            <w:tcW w:type="dxa" w:w="3375"/>
          </w:tcPr>
          <w:p>
            <w:r>
              <w:rPr>
                <w:rFonts w:ascii="Times New Roman" w:hAnsi="Times New Roman"/>
                <w:sz w:val="16"/>
              </w:rPr>
              <w:t>Python scripts</w:t>
            </w:r>
          </w:p>
        </w:tc>
        <w:tc>
          <w:tcPr>
            <w:tcW w:type="dxa" w:w="3375"/>
          </w:tcPr>
          <w:p>
            <w:r>
              <w:rPr>
                <w:rFonts w:ascii="Times New Roman" w:hAnsi="Times New Roman"/>
                <w:sz w:val="16"/>
              </w:rPr>
              <w:t>N/A (no model artifact)</w:t>
            </w:r>
          </w:p>
        </w:tc>
      </w:tr>
      <w:tr>
        <w:tc>
          <w:tcPr>
            <w:tcW w:type="dxa" w:w="3375"/>
          </w:tcPr>
          <w:p>
            <w:r>
              <w:rPr>
                <w:rFonts w:ascii="Times New Roman" w:hAnsi="Times New Roman"/>
                <w:sz w:val="16"/>
              </w:rPr>
              <w:t>TC4: tf-savedmodel-bypass</w:t>
            </w:r>
          </w:p>
        </w:tc>
        <w:tc>
          <w:tcPr>
            <w:tcW w:type="dxa" w:w="3375"/>
          </w:tcPr>
          <w:p>
            <w:r>
              <w:rPr>
                <w:rFonts w:ascii="Times New Roman" w:hAnsi="Times New Roman"/>
                <w:sz w:val="16"/>
              </w:rPr>
              <w:t>TF SavedModel</w:t>
            </w:r>
          </w:p>
        </w:tc>
        <w:tc>
          <w:tcPr>
            <w:tcW w:type="dxa" w:w="3375"/>
          </w:tcPr>
          <w:p>
            <w:r>
              <w:rPr>
                <w:rFonts w:ascii="Times New Roman" w:hAnsi="Times New Roman"/>
                <w:sz w:val="16"/>
              </w:rPr>
              <w:t>Detected (TF101–TF103)</w:t>
            </w:r>
          </w:p>
        </w:tc>
      </w:tr>
      <w:tr>
        <w:tc>
          <w:tcPr>
            <w:tcW w:type="dxa" w:w="3375"/>
          </w:tcPr>
          <w:p>
            <w:r>
              <w:rPr>
                <w:rFonts w:ascii="Times New Roman" w:hAnsi="Times New Roman"/>
                <w:sz w:val="16"/>
              </w:rPr>
              <w:t>TC5: keras-dotkeras-zip-dup</w:t>
            </w:r>
          </w:p>
        </w:tc>
        <w:tc>
          <w:tcPr>
            <w:tcW w:type="dxa" w:w="3375"/>
          </w:tcPr>
          <w:p>
            <w:r>
              <w:rPr>
                <w:rFonts w:ascii="Times New Roman" w:hAnsi="Times New Roman"/>
                <w:sz w:val="16"/>
              </w:rPr>
              <w:t>Keras ZIP</w:t>
            </w:r>
          </w:p>
        </w:tc>
        <w:tc>
          <w:tcPr>
            <w:tcW w:type="dxa" w:w="3375"/>
          </w:tcPr>
          <w:p>
            <w:r>
              <w:rPr>
                <w:rFonts w:ascii="Times New Roman" w:hAnsi="Times New Roman"/>
                <w:sz w:val="16"/>
              </w:rPr>
              <w:t>Detected (KR101–KR105)</w:t>
            </w:r>
          </w:p>
        </w:tc>
      </w:tr>
      <w:tr>
        <w:tc>
          <w:tcPr>
            <w:tcW w:type="dxa" w:w="3375"/>
          </w:tcPr>
          <w:p>
            <w:r>
              <w:rPr>
                <w:rFonts w:ascii="Times New Roman" w:hAnsi="Times New Roman"/>
                <w:sz w:val="16"/>
              </w:rPr>
              <w:t>TC6: GGUF models</w:t>
            </w:r>
          </w:p>
        </w:tc>
        <w:tc>
          <w:tcPr>
            <w:tcW w:type="dxa" w:w="3375"/>
          </w:tcPr>
          <w:p>
            <w:r>
              <w:rPr>
                <w:rFonts w:ascii="Times New Roman" w:hAnsi="Times New Roman"/>
                <w:sz w:val="16"/>
              </w:rPr>
              <w:t>GGUF</w:t>
            </w:r>
          </w:p>
        </w:tc>
        <w:tc>
          <w:tcPr>
            <w:tcW w:type="dxa" w:w="3375"/>
          </w:tcPr>
          <w:p>
            <w:r>
              <w:rPr>
                <w:rFonts w:ascii="Times New Roman" w:hAnsi="Times New Roman"/>
                <w:sz w:val="16"/>
              </w:rPr>
              <w:t>Excluded (&gt; 500 MB)</w:t>
            </w:r>
          </w:p>
        </w:tc>
      </w:tr>
      <w:tr>
        <w:tc>
          <w:tcPr>
            <w:tcW w:type="dxa" w:w="3375"/>
          </w:tcPr>
          <w:p>
            <w:r>
              <w:rPr>
                <w:rFonts w:ascii="Times New Roman" w:hAnsi="Times New Roman"/>
                <w:sz w:val="16"/>
              </w:rPr>
              <w:t>TC7: GorynichMix VAE</w:t>
            </w:r>
          </w:p>
        </w:tc>
        <w:tc>
          <w:tcPr>
            <w:tcW w:type="dxa" w:w="3375"/>
          </w:tcPr>
          <w:p>
            <w:r>
              <w:rPr>
                <w:rFonts w:ascii="Times New Roman" w:hAnsi="Times New Roman"/>
                <w:sz w:val="16"/>
              </w:rPr>
              <w:t>PyTorch ZIP</w:t>
            </w:r>
          </w:p>
        </w:tc>
        <w:tc>
          <w:tcPr>
            <w:tcW w:type="dxa" w:w="3375"/>
          </w:tcPr>
          <w:p>
            <w:r>
              <w:rPr>
                <w:rFonts w:ascii="Times New Roman" w:hAnsi="Times New Roman"/>
                <w:sz w:val="16"/>
              </w:rPr>
              <w:t>Clean (benign, 319 MB)</w:t>
            </w:r>
          </w:p>
        </w:tc>
      </w:tr>
    </w:tbl>
    <w:p>
      <w:pPr>
        <w:spacing w:before="40" w:after="80"/>
        <w:jc w:val="both"/>
      </w:pPr>
      <w:r>
        <w:rPr>
          <w:rFonts w:ascii="Times New Roman" w:hAnsi="Times New Roman"/>
          <w:b w:val="0"/>
          <w:i w:val="0"/>
          <w:sz w:val="20"/>
        </w:rPr>
      </w:r>
    </w:p>
    <w:p>
      <w:pPr>
        <w:spacing w:before="0" w:after="60"/>
        <w:jc w:val="both"/>
      </w:pPr>
      <w:r>
        <w:rPr>
          <w:rFonts w:ascii="Times New Roman" w:hAnsi="Times New Roman"/>
          <w:b w:val="0"/>
          <w:i w:val="0"/>
          <w:sz w:val="20"/>
        </w:rPr>
        <w:t>TC4: All four TensorFlow SavedModel payloads triggered rules TF101–TF103 and were classified Medium_Risk or High_Risk, confirming coverage for TensorFlow API abuse [5]. TC5: malicious.keras triggered rules KR101–KR105 and was classified High_Risk, correctly identifying the Lambda configuration and ZIP path-duplication payload [18]. TC1: The extension-less .metadata payload (CVSS 9.6) was not acquired due to the extension allowlist gap (Section VIII). TC7: GorynichMix.vae.pt (319 MB, PyTorch ZIP) received Clean with no P101 or P104 findings, confirming specificity on a real-world benign checkpoint.</w:t>
      </w:r>
    </w:p>
    <w:p>
      <w:pPr>
        <w:spacing w:before="80" w:after="20"/>
        <w:jc w:val="left"/>
      </w:pPr>
      <w:r>
        <w:rPr>
          <w:rFonts w:ascii="Times New Roman" w:hAnsi="Times New Roman"/>
          <w:b/>
          <w:i/>
          <w:sz w:val="20"/>
        </w:rPr>
        <w:t>C.  Comparison with Related Tools</w:t>
      </w:r>
    </w:p>
    <w:p>
      <w:pPr>
        <w:spacing w:before="120" w:after="20"/>
        <w:jc w:val="center"/>
      </w:pPr>
      <w:r>
        <w:rPr>
          <w:rFonts w:ascii="Times New Roman" w:hAnsi="Times New Roman"/>
          <w:b/>
          <w:sz w:val="18"/>
        </w:rPr>
        <w:t>TABLE V.  Tool Capability Comparison (PS = Picklescan, MS = ModelScan)</w:t>
      </w:r>
    </w:p>
    <w:tbl>
      <w:tblPr>
        <w:tblStyle w:val="TableGrid"/>
        <w:tblW w:type="auto" w:w="0"/>
        <w:jc w:val="center"/>
        <w:tblLook w:firstColumn="1" w:firstRow="1" w:lastColumn="0" w:lastRow="0" w:noHBand="0" w:noVBand="1" w:val="04A0"/>
      </w:tblPr>
      <w:tblGrid>
        <w:gridCol w:w="2531"/>
        <w:gridCol w:w="2531"/>
        <w:gridCol w:w="2531"/>
        <w:gridCol w:w="2531"/>
      </w:tblGrid>
      <w:tr>
        <w:tc>
          <w:tcPr>
            <w:tcW w:type="dxa" w:w="2531"/>
          </w:tcPr>
          <w:p>
            <w:pPr>
              <w:jc w:val="center"/>
            </w:pPr>
            <w:r>
              <w:rPr>
                <w:rFonts w:ascii="Times New Roman" w:hAnsi="Times New Roman"/>
                <w:b/>
                <w:sz w:val="16"/>
              </w:rPr>
              <w:t>Capability</w:t>
            </w:r>
          </w:p>
        </w:tc>
        <w:tc>
          <w:tcPr>
            <w:tcW w:type="dxa" w:w="2531"/>
          </w:tcPr>
          <w:p>
            <w:pPr>
              <w:jc w:val="center"/>
            </w:pPr>
            <w:r>
              <w:rPr>
                <w:rFonts w:ascii="Times New Roman" w:hAnsi="Times New Roman"/>
                <w:b/>
                <w:sz w:val="16"/>
              </w:rPr>
              <w:t>Ours</w:t>
            </w:r>
          </w:p>
        </w:tc>
        <w:tc>
          <w:tcPr>
            <w:tcW w:type="dxa" w:w="2531"/>
          </w:tcPr>
          <w:p>
            <w:pPr>
              <w:jc w:val="center"/>
            </w:pPr>
            <w:r>
              <w:rPr>
                <w:rFonts w:ascii="Times New Roman" w:hAnsi="Times New Roman"/>
                <w:b/>
                <w:sz w:val="16"/>
              </w:rPr>
              <w:t>PS</w:t>
            </w:r>
          </w:p>
        </w:tc>
        <w:tc>
          <w:tcPr>
            <w:tcW w:type="dxa" w:w="2531"/>
          </w:tcPr>
          <w:p>
            <w:pPr>
              <w:jc w:val="center"/>
            </w:pPr>
            <w:r>
              <w:rPr>
                <w:rFonts w:ascii="Times New Roman" w:hAnsi="Times New Roman"/>
                <w:b/>
                <w:sz w:val="16"/>
              </w:rPr>
              <w:t>MS</w:t>
            </w:r>
          </w:p>
        </w:tc>
      </w:tr>
      <w:tr>
        <w:tc>
          <w:tcPr>
            <w:tcW w:type="dxa" w:w="2531"/>
          </w:tcPr>
          <w:p>
            <w:r>
              <w:rPr>
                <w:rFonts w:ascii="Times New Roman" w:hAnsi="Times New Roman"/>
                <w:sz w:val="16"/>
              </w:rPr>
              <w:t>Pickle code execution</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w:t>
            </w:r>
          </w:p>
        </w:tc>
      </w:tr>
      <w:tr>
        <w:tc>
          <w:tcPr>
            <w:tcW w:type="dxa" w:w="2531"/>
          </w:tcPr>
          <w:p>
            <w:r>
              <w:rPr>
                <w:rFonts w:ascii="Times New Roman" w:hAnsi="Times New Roman"/>
                <w:sz w:val="16"/>
              </w:rPr>
              <w:t>Structural anomalies</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partial</w:t>
            </w:r>
          </w:p>
        </w:tc>
      </w:tr>
      <w:tr>
        <w:tc>
          <w:tcPr>
            <w:tcW w:type="dxa" w:w="2531"/>
          </w:tcPr>
          <w:p>
            <w:r>
              <w:rPr>
                <w:rFonts w:ascii="Times New Roman" w:hAnsi="Times New Roman"/>
                <w:sz w:val="16"/>
              </w:rPr>
              <w:t>SafeTensors metadata</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partial</w:t>
            </w:r>
          </w:p>
        </w:tc>
      </w:tr>
      <w:tr>
        <w:tc>
          <w:tcPr>
            <w:tcW w:type="dxa" w:w="2531"/>
          </w:tcPr>
          <w:p>
            <w:r>
              <w:rPr>
                <w:rFonts w:ascii="Times New Roman" w:hAnsi="Times New Roman"/>
                <w:sz w:val="16"/>
              </w:rPr>
              <w:t>GGUF coverage</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w:t>
            </w:r>
          </w:p>
        </w:tc>
      </w:tr>
      <w:tr>
        <w:tc>
          <w:tcPr>
            <w:tcW w:type="dxa" w:w="2531"/>
          </w:tcPr>
          <w:p>
            <w:r>
              <w:rPr>
                <w:rFonts w:ascii="Times New Roman" w:hAnsi="Times New Roman"/>
                <w:sz w:val="16"/>
              </w:rPr>
              <w:t>ONNX graph analysis</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w:t>
            </w:r>
          </w:p>
        </w:tc>
      </w:tr>
      <w:tr>
        <w:tc>
          <w:tcPr>
            <w:tcW w:type="dxa" w:w="2531"/>
          </w:tcPr>
          <w:p>
            <w:r>
              <w:rPr>
                <w:rFonts w:ascii="Times New Roman" w:hAnsi="Times New Roman"/>
                <w:sz w:val="16"/>
              </w:rPr>
              <w:t>TF SavedModel ops</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w:t>
            </w:r>
          </w:p>
        </w:tc>
      </w:tr>
      <w:tr>
        <w:tc>
          <w:tcPr>
            <w:tcW w:type="dxa" w:w="2531"/>
          </w:tcPr>
          <w:p>
            <w:r>
              <w:rPr>
                <w:rFonts w:ascii="Times New Roman" w:hAnsi="Times New Roman"/>
                <w:sz w:val="16"/>
              </w:rPr>
              <w:t>Keras archive analysis</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w:t>
            </w:r>
          </w:p>
        </w:tc>
      </w:tr>
      <w:tr>
        <w:tc>
          <w:tcPr>
            <w:tcW w:type="dxa" w:w="2531"/>
          </w:tcPr>
          <w:p>
            <w:r>
              <w:rPr>
                <w:rFonts w:ascii="Times New Roman" w:hAnsi="Times New Roman"/>
                <w:sz w:val="16"/>
              </w:rPr>
              <w:t>Supply-chain config</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partial</w:t>
            </w:r>
          </w:p>
        </w:tc>
      </w:tr>
      <w:tr>
        <w:tc>
          <w:tcPr>
            <w:tcW w:type="dxa" w:w="2531"/>
          </w:tcPr>
          <w:p>
            <w:r>
              <w:rPr>
                <w:rFonts w:ascii="Times New Roman" w:hAnsi="Times New Roman"/>
                <w:sz w:val="16"/>
              </w:rPr>
              <w:t>Cross-signal correlation</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w:t>
            </w:r>
          </w:p>
        </w:tc>
      </w:tr>
      <w:tr>
        <w:tc>
          <w:tcPr>
            <w:tcW w:type="dxa" w:w="2531"/>
          </w:tcPr>
          <w:p>
            <w:r>
              <w:rPr>
                <w:rFonts w:ascii="Times New Roman" w:hAnsi="Times New Roman"/>
                <w:sz w:val="16"/>
              </w:rPr>
              <w:t>Severity-weighted score</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w:t>
            </w:r>
          </w:p>
        </w:tc>
      </w:tr>
      <w:tr>
        <w:tc>
          <w:tcPr>
            <w:tcW w:type="dxa" w:w="2531"/>
          </w:tcPr>
          <w:p>
            <w:r>
              <w:rPr>
                <w:rFonts w:ascii="Times New Roman" w:hAnsi="Times New Roman"/>
                <w:sz w:val="16"/>
              </w:rPr>
              <w:t>Zero execution guarantee</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partial</w:t>
            </w:r>
          </w:p>
        </w:tc>
      </w:tr>
      <w:tr>
        <w:tc>
          <w:tcPr>
            <w:tcW w:type="dxa" w:w="2531"/>
          </w:tcPr>
          <w:p>
            <w:r>
              <w:rPr>
                <w:rFonts w:ascii="Times New Roman" w:hAnsi="Times New Roman"/>
                <w:sz w:val="16"/>
              </w:rPr>
              <w:t>Web-based UI</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w:t>
            </w:r>
          </w:p>
        </w:tc>
      </w:tr>
      <w:tr>
        <w:tc>
          <w:tcPr>
            <w:tcW w:type="dxa" w:w="2531"/>
          </w:tcPr>
          <w:p>
            <w:r>
              <w:rPr>
                <w:rFonts w:ascii="Times New Roman" w:hAnsi="Times New Roman"/>
                <w:sz w:val="16"/>
              </w:rPr>
              <w:t>Zero runtime dependencies</w:t>
            </w:r>
          </w:p>
        </w:tc>
        <w:tc>
          <w:tcPr>
            <w:tcW w:type="dxa" w:w="2531"/>
          </w:tcPr>
          <w:p>
            <w:r>
              <w:rPr>
                <w:rFonts w:ascii="Times New Roman" w:hAnsi="Times New Roman"/>
                <w:sz w:val="16"/>
              </w:rPr>
              <w:t>✓</w:t>
            </w:r>
          </w:p>
        </w:tc>
        <w:tc>
          <w:tcPr>
            <w:tcW w:type="dxa" w:w="2531"/>
          </w:tcPr>
          <w:p>
            <w:r>
              <w:rPr>
                <w:rFonts w:ascii="Times New Roman" w:hAnsi="Times New Roman"/>
                <w:sz w:val="16"/>
              </w:rPr>
              <w:t>–</w:t>
            </w:r>
          </w:p>
        </w:tc>
        <w:tc>
          <w:tcPr>
            <w:tcW w:type="dxa" w:w="2531"/>
          </w:tcPr>
          <w:p>
            <w:r>
              <w:rPr>
                <w:rFonts w:ascii="Times New Roman" w:hAnsi="Times New Roman"/>
                <w:sz w:val="16"/>
              </w:rPr>
              <w:t>–</w:t>
            </w:r>
          </w:p>
        </w:tc>
      </w:tr>
    </w:tbl>
    <w:p>
      <w:pPr>
        <w:spacing w:before="40" w:after="80"/>
        <w:jc w:val="both"/>
      </w:pPr>
      <w:r>
        <w:rPr>
          <w:rFonts w:ascii="Times New Roman" w:hAnsi="Times New Roman"/>
          <w:b w:val="0"/>
          <w:i w:val="0"/>
          <w:sz w:val="20"/>
        </w:rPr>
      </w:r>
    </w:p>
    <w:p>
      <w:pPr>
        <w:spacing w:before="160" w:after="40"/>
        <w:jc w:val="center"/>
      </w:pPr>
      <w:r>
        <w:rPr>
          <w:rFonts w:ascii="Times New Roman" w:hAnsi="Times New Roman"/>
          <w:b/>
          <w:sz w:val="20"/>
        </w:rPr>
        <w:t>VII. RELATED WORK</w:t>
      </w:r>
    </w:p>
    <w:p>
      <w:pPr>
        <w:spacing w:before="80" w:after="20"/>
        <w:jc w:val="left"/>
      </w:pPr>
      <w:r>
        <w:rPr>
          <w:rFonts w:ascii="Times New Roman" w:hAnsi="Times New Roman"/>
          <w:b/>
          <w:i/>
          <w:sz w:val="20"/>
        </w:rPr>
        <w:t>A.  Model Backdoor and Poisoning Attacks</w:t>
      </w:r>
    </w:p>
    <w:p>
      <w:pPr>
        <w:spacing w:before="0" w:after="60"/>
        <w:jc w:val="both"/>
      </w:pPr>
      <w:r>
        <w:rPr>
          <w:rFonts w:ascii="Times New Roman" w:hAnsi="Times New Roman"/>
          <w:b w:val="0"/>
          <w:i w:val="0"/>
          <w:sz w:val="20"/>
        </w:rPr>
        <w:t>BadNets [21] first demonstrated neural network backdoor triggers. Chen et al. [22] showed backdoor transferability across architectures. Shafahi et al. [28] introduced clean-label poisoning. Bagdasaryan and Shmatikov [29] demonstrated attacks surviving robust training defenses. Carlini et al. [30] showed poisoning web-scale datasets is practically feasible. Cinà et al. [24] survey 100+ papers on poisoning attacks and defenses. Our work is orthogonal: we detect supply-chain and deserialization threats through static byte-level inspection, without executing any model code.</w:t>
      </w:r>
    </w:p>
    <w:p>
      <w:pPr>
        <w:spacing w:before="80" w:after="20"/>
        <w:jc w:val="left"/>
      </w:pPr>
      <w:r>
        <w:rPr>
          <w:rFonts w:ascii="Times New Roman" w:hAnsi="Times New Roman"/>
          <w:b/>
          <w:i/>
          <w:sz w:val="20"/>
        </w:rPr>
        <w:t>B.  Static Analysis of Machine Learning Artifacts</w:t>
      </w:r>
    </w:p>
    <w:p>
      <w:pPr>
        <w:spacing w:before="0" w:after="60"/>
        <w:jc w:val="both"/>
      </w:pPr>
      <w:r>
        <w:rPr>
          <w:rFonts w:ascii="Times New Roman" w:hAnsi="Times New Roman"/>
          <w:b w:val="0"/>
          <w:i w:val="0"/>
          <w:sz w:val="20"/>
        </w:rPr>
        <w:t>Zhao et al. [1] formally analyzed the code-poisoning attack surface of model hubs. Wang et al. [2] demonstrated steganographic malware in neural network weights with less than 1% accuracy loss. Zhu et al. [5] showed TensorFlow API abuse can transform AI models into malware. The large-scale study [3] measured supply-chain attack prevalence across Hugging Face. Kellas et al. [31] proposed PickleBall (ACM CCS 2025). David et al. [17] proposed QUACK via static duck typing (NDSS 2024). Liu et al. [4] introduced ShadowPickle attacks evading SOTA scanners. Liu et al. [18] demonstrated stealthy Pickle-based poisoning via auxiliary configuration files (USENIX Security 2026). Ohm et al. [27] catalogued 174 malicious packages across npm, PyPI, and RubyGems. Ladisa et al. [26] provide a language-agnostic supply chain attack taxonomy (IEEE S&amp;P 2023). Jiang et al. [19],[20] characterize security risks and reuse patterns in the pre-trained model supply chain.</w:t>
      </w:r>
    </w:p>
    <w:p>
      <w:pPr>
        <w:spacing w:before="80" w:after="20"/>
        <w:jc w:val="left"/>
      </w:pPr>
      <w:r>
        <w:rPr>
          <w:rFonts w:ascii="Times New Roman" w:hAnsi="Times New Roman"/>
          <w:b/>
          <w:i/>
          <w:sz w:val="20"/>
        </w:rPr>
        <w:t>C.  Supply-Chain and Provenance Security</w:t>
      </w:r>
    </w:p>
    <w:p>
      <w:pPr>
        <w:spacing w:before="0" w:after="60"/>
        <w:jc w:val="both"/>
      </w:pPr>
      <w:r>
        <w:rPr>
          <w:rFonts w:ascii="Times New Roman" w:hAnsi="Times New Roman"/>
          <w:b w:val="0"/>
          <w:i w:val="0"/>
          <w:sz w:val="20"/>
        </w:rPr>
        <w:t>The in-toto framework [11] provides cryptographic supply-chain provenance; our weight integrity rules WI101–WI103 address the analogous integrity gap for model shards. The NIST SSDF [12] prescribes supply-chain security practices; our supply-chain rules SC101–SC109 and SC201–SC204 operationalize these. Zimmermann et al. [10] identified high-risk single points of failure in the npm ecosystem, analogous to the dependency risks targeted by rules SC201–SC204.</w:t>
      </w:r>
    </w:p>
    <w:p>
      <w:pPr>
        <w:spacing w:before="160" w:after="40"/>
        <w:jc w:val="center"/>
      </w:pPr>
      <w:r>
        <w:rPr>
          <w:rFonts w:ascii="Times New Roman" w:hAnsi="Times New Roman"/>
          <w:b/>
          <w:sz w:val="20"/>
        </w:rPr>
        <w:t>VIII. LIMITATIONS AND FUTURE WORK</w:t>
      </w:r>
    </w:p>
    <w:p>
      <w:pPr>
        <w:spacing w:before="0" w:after="60"/>
        <w:jc w:val="both"/>
      </w:pPr>
      <w:r>
        <w:rPr>
          <w:rFonts w:ascii="Times New Roman" w:hAnsi="Times New Roman"/>
          <w:b w:val="0"/>
          <w:i w:val="0"/>
          <w:sz w:val="20"/>
        </w:rPr>
        <w:t>Acquisition gap for extension-less files. Malicious payloads with no file extension (TC1, CVSS 9.6) are not downloaded because the acquisition layer filters by a known-extension allowlist. Future work will introduce magic-byte-first acquisition with a configurable extension override.</w:t>
      </w:r>
    </w:p>
    <w:p>
      <w:pPr>
        <w:spacing w:before="0" w:after="60"/>
        <w:jc w:val="both"/>
      </w:pPr>
      <w:r>
        <w:rPr>
          <w:rFonts w:ascii="Times New Roman" w:hAnsi="Times New Roman"/>
          <w:b w:val="0"/>
          <w:i w:val="0"/>
          <w:sz w:val="20"/>
        </w:rPr>
        <w:t>Synthetic benchmark corpus only. Perfect metrics are on a 27-sample deterministic corpus. Evaluation on a large-scale naturalistic corpus from Hugging Face [20] remains future work.</w:t>
      </w:r>
    </w:p>
    <w:p>
      <w:pPr>
        <w:spacing w:before="0" w:after="60"/>
        <w:jc w:val="both"/>
      </w:pPr>
      <w:r>
        <w:rPr>
          <w:rFonts w:ascii="Times New Roman" w:hAnsi="Times New Roman"/>
          <w:b w:val="0"/>
          <w:i w:val="0"/>
          <w:sz w:val="20"/>
        </w:rPr>
        <w:t>No weight-level behavioral analysis. Backdoor detection via weight statistical analysis [23], activation clustering, or spectral analysis is explicitly out of scope.</w:t>
      </w:r>
    </w:p>
    <w:p>
      <w:pPr>
        <w:spacing w:before="0" w:after="60"/>
        <w:jc w:val="both"/>
      </w:pPr>
      <w:r>
        <w:rPr>
          <w:rFonts w:ascii="Times New Roman" w:hAnsi="Times New Roman"/>
          <w:b w:val="0"/>
          <w:i w:val="0"/>
          <w:sz w:val="20"/>
        </w:rPr>
        <w:t>No cryptographic signature verification. Rules WI101–WI103 detect the absence of shard hash manifests but cannot verify cryptographic signatures. Integration with in-toto [11] or Sigstore is planned.</w:t>
      </w:r>
    </w:p>
    <w:p>
      <w:pPr>
        <w:spacing w:before="0" w:after="60"/>
        <w:jc w:val="both"/>
      </w:pPr>
      <w:r>
        <w:rPr>
          <w:rFonts w:ascii="Times New Roman" w:hAnsi="Times New Roman"/>
          <w:b w:val="0"/>
          <w:i w:val="0"/>
          <w:sz w:val="20"/>
        </w:rPr>
        <w:t>No live CVE or advisory lookups. Rules SC201–SC204 match statically against known-vulnerable version patterns but do not query NVD or OSV in real time.</w:t>
      </w:r>
    </w:p>
    <w:p>
      <w:pPr>
        <w:spacing w:before="0" w:after="60"/>
        <w:jc w:val="both"/>
      </w:pPr>
      <w:r>
        <w:rPr>
          <w:rFonts w:ascii="Times New Roman" w:hAnsi="Times New Roman"/>
          <w:b w:val="0"/>
          <w:i w:val="0"/>
          <w:sz w:val="20"/>
        </w:rPr>
        <w:t>TensorFlow severity ceiling. Rules TF101–TF103 are fixed at MEDIUM severity because static graph analysis cannot confirm which operations execute at inference time, potentially under-communicating risk for attack classes studied in [5].</w:t>
      </w:r>
    </w:p>
    <w:p>
      <w:pPr>
        <w:spacing w:before="160" w:after="40"/>
        <w:jc w:val="center"/>
      </w:pPr>
      <w:r>
        <w:rPr>
          <w:rFonts w:ascii="Times New Roman" w:hAnsi="Times New Roman"/>
          <w:b/>
          <w:sz w:val="20"/>
        </w:rPr>
        <w:t>IX. CONCLUSION</w:t>
      </w:r>
    </w:p>
    <w:p>
      <w:pPr>
        <w:spacing w:before="0" w:after="60"/>
        <w:jc w:val="both"/>
      </w:pPr>
      <w:r>
        <w:rPr>
          <w:rFonts w:ascii="Times New Roman" w:hAnsi="Times New Roman"/>
          <w:b w:val="0"/>
          <w:i w:val="0"/>
          <w:sz w:val="20"/>
        </w:rPr>
        <w:t>We presented ModelScanner, a unified, multi-format static security scanner for pre-trained AI model artifacts. The system enforces strict zero-execution guarantees, inspects seven primary model formats through format-specific binary stream analyzers, and applies 87 detection rules across 14 named families under a three-layer taxonomy (OWASP ML Top Ten [15], CWE [6], and an internal category scheme): Pickle code execution (P101–P107), Pickle/PyTorch ZIP structural anomalies (P201–P211), SafeTensors metadata injection (ST101–ST105), SafeTensors structural anomalies (ST201–ST209), GGUF metadata attacks (GU101–GU106), GGUF structural anomalies (GU201–GU210), cross-format integrity (G001–G006), supply-chain configuration threats (SC101–SC109), dependency security (SC201–SC204), weight integrity (WI101–WI103), ONNX graph exploitation (ON101–ON104), TensorFlow dangerous operations (TF101–TF103), Keras archive exploitation (KR101–KR105), and cross-signal correlated findings (C001–C004). On a 27-sample synthetic benchmark corpus the scanner achieves perfect precision, recall, and F1 at sub-millisecond latency and 0.10 MB peak memory. Real-world validation confirms detection of TensorFlow SavedModel dangerous operations [5], Keras ZIP exploitation [18], and PyTorch checkpoint code injection [1],[4], and documents an acquisition gap for extension-less hidden payloads. The implementation has zero external runtime dependencies and is released under the MIT License. Future work will extend the acquisition layer to support extension-less files, evaluate on large-scale naturalistic corpora [20], integrate live CVE lookups, and explore cryptographic provenance verification via in-toto [11].</w:t>
      </w:r>
    </w:p>
    <w:p>
      <w:pPr>
        <w:spacing w:before="160" w:after="40"/>
        <w:jc w:val="center"/>
      </w:pPr>
      <w:r>
        <w:rPr>
          <w:rFonts w:ascii="Times New Roman" w:hAnsi="Times New Roman"/>
          <w:b/>
          <w:sz w:val="20"/>
        </w:rPr>
        <w:t>REFERENCES</w:t>
      </w:r>
    </w:p>
    <w:p>
      <w:pPr>
        <w:spacing w:before="0" w:after="20"/>
        <w:ind w:left="283" w:hanging="283"/>
        <w:jc w:val="left"/>
      </w:pPr>
      <w:r>
        <w:rPr>
          <w:rFonts w:ascii="Times New Roman" w:hAnsi="Times New Roman"/>
          <w:sz w:val="16"/>
        </w:rPr>
        <w:t>[1]   J. Zhao et al., “Models Are Codes: Towards Measuring Malicious Code Poisoning Attacks on Pre-trained Model Hubs,” in Proc. IEEE/ACM ASE, 2024, doi: 10.1145/3691620.3695271.</w:t>
      </w:r>
    </w:p>
    <w:p>
      <w:pPr>
        <w:spacing w:before="0" w:after="20"/>
        <w:ind w:left="283" w:hanging="283"/>
        <w:jc w:val="left"/>
      </w:pPr>
      <w:r>
        <w:rPr>
          <w:rFonts w:ascii="Times New Roman" w:hAnsi="Times New Roman"/>
          <w:sz w:val="16"/>
        </w:rPr>
        <w:t>[2]   Z. Wang, C. Liu, and X. Cui, “EvilModel: Hiding Malware Inside of Neural Network Models,” in Proc. IEEE ISCC, 2021.</w:t>
      </w:r>
    </w:p>
    <w:p>
      <w:pPr>
        <w:spacing w:before="0" w:after="20"/>
        <w:ind w:left="283" w:hanging="283"/>
        <w:jc w:val="left"/>
      </w:pPr>
      <w:r>
        <w:rPr>
          <w:rFonts w:ascii="Times New Roman" w:hAnsi="Times New Roman"/>
          <w:sz w:val="16"/>
        </w:rPr>
        <w:t>[3]   “A Large-Scale Exploit Instrumentation Study of AI/ML Supply Chain Attacks in Hugging Face Models,” arXiv:2410.04490, 2024.</w:t>
      </w:r>
    </w:p>
    <w:p>
      <w:pPr>
        <w:spacing w:before="0" w:after="20"/>
        <w:ind w:left="283" w:hanging="283"/>
        <w:jc w:val="left"/>
      </w:pPr>
      <w:r>
        <w:rPr>
          <w:rFonts w:ascii="Times New Roman" w:hAnsi="Times New Roman"/>
          <w:sz w:val="16"/>
        </w:rPr>
        <w:t>[4]   “ShadowPickle: Evading Machine Learning Model Scanners via Stealthy Pickle Deserialization Attacks,” arXiv:2607.17503, 2026.</w:t>
      </w:r>
    </w:p>
    <w:p>
      <w:pPr>
        <w:spacing w:before="0" w:after="20"/>
        <w:ind w:left="283" w:hanging="283"/>
        <w:jc w:val="left"/>
      </w:pPr>
      <w:r>
        <w:rPr>
          <w:rFonts w:ascii="Times New Roman" w:hAnsi="Times New Roman"/>
          <w:sz w:val="16"/>
        </w:rPr>
        <w:t>[5]   R. Zhu, G. Chen, W. Shen, X. Xie, and R. Chang, “My Model is Malware to You: Transforming AI Models into Malware by Abusing TensorFlow APIs,” in Proc. IEEE S&amp;P, 2025.</w:t>
      </w:r>
    </w:p>
    <w:p>
      <w:pPr>
        <w:spacing w:before="0" w:after="20"/>
        <w:ind w:left="283" w:hanging="283"/>
        <w:jc w:val="left"/>
      </w:pPr>
      <w:r>
        <w:rPr>
          <w:rFonts w:ascii="Times New Roman" w:hAnsi="Times New Roman"/>
          <w:sz w:val="16"/>
        </w:rPr>
        <w:t>[6]   MITRE, “CWE-502: Deserialization of Untrusted Data,” https://cwe.mitre.org/data/definitions/502.html, 2024.</w:t>
      </w:r>
    </w:p>
    <w:p>
      <w:pPr>
        <w:spacing w:before="0" w:after="20"/>
        <w:ind w:left="283" w:hanging="283"/>
        <w:jc w:val="left"/>
      </w:pPr>
      <w:r>
        <w:rPr>
          <w:rFonts w:ascii="Times New Roman" w:hAnsi="Times New Roman"/>
          <w:sz w:val="16"/>
        </w:rPr>
        <w:t>[7]   “Security Analysis of Python Pickle Deserialization in Machine Learning Model Distribution,” World J. Adv. Res. Rev. (WJARR), WJARR-2024-1394, 2024.</w:t>
      </w:r>
    </w:p>
    <w:p>
      <w:pPr>
        <w:spacing w:before="0" w:after="20"/>
        <w:ind w:left="283" w:hanging="283"/>
        <w:jc w:val="left"/>
      </w:pPr>
      <w:r>
        <w:rPr>
          <w:rFonts w:ascii="Times New Roman" w:hAnsi="Times New Roman"/>
          <w:sz w:val="16"/>
        </w:rPr>
        <w:t>[8]   HuggingFace, “SafeTensors: A Simple, Safe Format for Storing and Distributing Tensors,” https://github.com/huggingface/safetensors, 2022.</w:t>
      </w:r>
    </w:p>
    <w:p>
      <w:pPr>
        <w:spacing w:before="0" w:after="20"/>
        <w:ind w:left="283" w:hanging="283"/>
        <w:jc w:val="left"/>
      </w:pPr>
      <w:r>
        <w:rPr>
          <w:rFonts w:ascii="Times New Roman" w:hAnsi="Times New Roman"/>
          <w:sz w:val="16"/>
        </w:rPr>
        <w:t>[9]   G. Gerganov et al., “GGUF: GPT-Generated Unified Format Specification,” https://github.com/ggerganov/llama.cpp, 2023.</w:t>
      </w:r>
    </w:p>
    <w:p>
      <w:pPr>
        <w:spacing w:before="0" w:after="20"/>
        <w:ind w:left="283" w:hanging="283"/>
        <w:jc w:val="left"/>
      </w:pPr>
      <w:r>
        <w:rPr>
          <w:rFonts w:ascii="Times New Roman" w:hAnsi="Times New Roman"/>
          <w:sz w:val="16"/>
        </w:rPr>
        <w:t>[10]  M. Zimmermann et al., “Small World with High Risks: A Study of Security Threats in the npm Ecosystem,” in Proc. USENIX Security, 2019, pp. 995–1010.</w:t>
      </w:r>
    </w:p>
    <w:p>
      <w:pPr>
        <w:spacing w:before="0" w:after="20"/>
        <w:ind w:left="283" w:hanging="283"/>
        <w:jc w:val="left"/>
      </w:pPr>
      <w:r>
        <w:rPr>
          <w:rFonts w:ascii="Times New Roman" w:hAnsi="Times New Roman"/>
          <w:sz w:val="16"/>
        </w:rPr>
        <w:t>[11]  S. Torres-Arias et al., “in-toto: Providing Farm-to-Table Guarantees for Bits and Bytes,” in Proc. USENIX Security, 2019.</w:t>
      </w:r>
    </w:p>
    <w:p>
      <w:pPr>
        <w:spacing w:before="0" w:after="20"/>
        <w:ind w:left="283" w:hanging="283"/>
        <w:jc w:val="left"/>
      </w:pPr>
      <w:r>
        <w:rPr>
          <w:rFonts w:ascii="Times New Roman" w:hAnsi="Times New Roman"/>
          <w:sz w:val="16"/>
        </w:rPr>
        <w:t>[12]  M. Souppaya, J. Morello, and K. Scarfone, “NIST SP 800-218: Secure Software Development Framework (SSDF), v1.1,” NIST, 2022.</w:t>
      </w:r>
    </w:p>
    <w:p>
      <w:pPr>
        <w:spacing w:before="0" w:after="20"/>
        <w:ind w:left="283" w:hanging="283"/>
        <w:jc w:val="left"/>
      </w:pPr>
      <w:r>
        <w:rPr>
          <w:rFonts w:ascii="Times New Roman" w:hAnsi="Times New Roman"/>
          <w:sz w:val="16"/>
        </w:rPr>
        <w:t>[13]  M. Alberti, “Picklescan: Security Scanner for Python Pickle Files,” https://github.com/mmaitre314/picklescan, 2023.</w:t>
      </w:r>
    </w:p>
    <w:p>
      <w:pPr>
        <w:spacing w:before="0" w:after="20"/>
        <w:ind w:left="283" w:hanging="283"/>
        <w:jc w:val="left"/>
      </w:pPr>
      <w:r>
        <w:rPr>
          <w:rFonts w:ascii="Times New Roman" w:hAnsi="Times New Roman"/>
          <w:sz w:val="16"/>
        </w:rPr>
        <w:t>[14]  ProtectAI, “ModelScan: Open-Source Tool for Scanning ML Models for Vulnerabilities,” https://github.com/protectai/modelscan, 2023.</w:t>
      </w:r>
    </w:p>
    <w:p>
      <w:pPr>
        <w:spacing w:before="0" w:after="20"/>
        <w:ind w:left="283" w:hanging="283"/>
        <w:jc w:val="left"/>
      </w:pPr>
      <w:r>
        <w:rPr>
          <w:rFonts w:ascii="Times New Roman" w:hAnsi="Times New Roman"/>
          <w:sz w:val="16"/>
        </w:rPr>
        <w:t>[15]  OWASP Foundation, “OWASP Machine Learning Security Top Ten 2023,” https://owasp.org/www-project-machine-learning-security-top-10/, 2023.</w:t>
      </w:r>
    </w:p>
    <w:p>
      <w:pPr>
        <w:spacing w:before="0" w:after="20"/>
        <w:ind w:left="283" w:hanging="283"/>
        <w:jc w:val="left"/>
      </w:pPr>
      <w:r>
        <w:rPr>
          <w:rFonts w:ascii="Times New Roman" w:hAnsi="Times New Roman"/>
          <w:sz w:val="16"/>
        </w:rPr>
        <w:t>[16]  MITRE, “MITRE ATT&amp;CK: Adversarial Tactics, Techniques, and Common Knowledge,” https://attack.mitre.org/, 2024.</w:t>
      </w:r>
    </w:p>
    <w:p>
      <w:pPr>
        <w:spacing w:before="0" w:after="20"/>
        <w:ind w:left="283" w:hanging="283"/>
        <w:jc w:val="left"/>
      </w:pPr>
      <w:r>
        <w:rPr>
          <w:rFonts w:ascii="Times New Roman" w:hAnsi="Times New Roman"/>
          <w:sz w:val="16"/>
        </w:rPr>
        <w:t>[17]  Y. David et al., “QUACK: Hindering Deserialization Attacks via Static Duck Typing,” in Proc. NDSS, 2024, doi: 10.14722/ndss.2024.241015.</w:t>
      </w:r>
    </w:p>
    <w:p>
      <w:pPr>
        <w:spacing w:before="0" w:after="20"/>
        <w:ind w:left="283" w:hanging="283"/>
        <w:jc w:val="left"/>
      </w:pPr>
      <w:r>
        <w:rPr>
          <w:rFonts w:ascii="Times New Roman" w:hAnsi="Times New Roman"/>
          <w:sz w:val="16"/>
        </w:rPr>
        <w:t>[18]  T. Liu, G. Meng, P. Zhou, Z. Deng, S. Yao, and K. Chen, “The Art of Hide and Seek: Making Pickle-Based Model Supply Chain Poisoning Stealthy Again,” in Proc. USENIX Security, 2026.</w:t>
      </w:r>
    </w:p>
    <w:p>
      <w:pPr>
        <w:spacing w:before="0" w:after="20"/>
        <w:ind w:left="283" w:hanging="283"/>
        <w:jc w:val="left"/>
      </w:pPr>
      <w:r>
        <w:rPr>
          <w:rFonts w:ascii="Times New Roman" w:hAnsi="Times New Roman"/>
          <w:sz w:val="16"/>
        </w:rPr>
        <w:t>[19]  W. Jiang et al., “An Empirical Study of Artifacts and Security Risks in the Pre-Trained Model Supply Chain,” in Proc. ACM SCORED, 2022.</w:t>
      </w:r>
    </w:p>
    <w:p>
      <w:pPr>
        <w:spacing w:before="0" w:after="20"/>
        <w:ind w:left="283" w:hanging="283"/>
        <w:jc w:val="left"/>
      </w:pPr>
      <w:r>
        <w:rPr>
          <w:rFonts w:ascii="Times New Roman" w:hAnsi="Times New Roman"/>
          <w:sz w:val="16"/>
        </w:rPr>
        <w:t>[20]  W. Jiang et al., “An Empirical Study of Pre-Trained Model Reuse in the Hugging Face Deep Learning Model Registry,” in Proc. IEEE/ACM ICSE, 2023.</w:t>
      </w:r>
    </w:p>
    <w:p>
      <w:pPr>
        <w:spacing w:before="0" w:after="20"/>
        <w:ind w:left="283" w:hanging="283"/>
        <w:jc w:val="left"/>
      </w:pPr>
      <w:r>
        <w:rPr>
          <w:rFonts w:ascii="Times New Roman" w:hAnsi="Times New Roman"/>
          <w:sz w:val="16"/>
        </w:rPr>
        <w:t>[21]  T. Gu, B. Dolan-Gavitt, and S. Garg, “BadNets: Identifying Vulnerabilities in the Machine Learning Model Supply Chain,” arXiv:1708.06733, 2017.</w:t>
      </w:r>
    </w:p>
    <w:p>
      <w:pPr>
        <w:spacing w:before="0" w:after="20"/>
        <w:ind w:left="283" w:hanging="283"/>
        <w:jc w:val="left"/>
      </w:pPr>
      <w:r>
        <w:rPr>
          <w:rFonts w:ascii="Times New Roman" w:hAnsi="Times New Roman"/>
          <w:sz w:val="16"/>
        </w:rPr>
        <w:t>[22]  X. Chen, C. Liu, B. Li, L. Lu, and D. Song, “Targeted Backdoor Attacks on Deep Learning Systems Using Data Poisoning,” arXiv:1712.05526, 2017.</w:t>
      </w:r>
    </w:p>
    <w:p>
      <w:pPr>
        <w:spacing w:before="0" w:after="20"/>
        <w:ind w:left="283" w:hanging="283"/>
        <w:jc w:val="left"/>
      </w:pPr>
      <w:r>
        <w:rPr>
          <w:rFonts w:ascii="Times New Roman" w:hAnsi="Times New Roman"/>
          <w:sz w:val="16"/>
        </w:rPr>
        <w:t>[23]  B. Wang et al., “Neural Cleanse: Identifying and Mitigating Backdoor Attacks in Neural Networks,” in Proc. IEEE S&amp;P, 2019, pp. 707–723.</w:t>
      </w:r>
    </w:p>
    <w:p>
      <w:pPr>
        <w:spacing w:before="0" w:after="20"/>
        <w:ind w:left="283" w:hanging="283"/>
        <w:jc w:val="left"/>
      </w:pPr>
      <w:r>
        <w:rPr>
          <w:rFonts w:ascii="Times New Roman" w:hAnsi="Times New Roman"/>
          <w:sz w:val="16"/>
        </w:rPr>
        <w:t>[24]  A. E. Cinà et al., “Wild Patterns Reloaded: A Survey of ML Security against Training Data Poisoning,” ACM Comput. Surv., vol. 55, no. 13s, 2023.</w:t>
      </w:r>
    </w:p>
    <w:p>
      <w:pPr>
        <w:spacing w:before="0" w:after="20"/>
        <w:ind w:left="283" w:hanging="283"/>
        <w:jc w:val="left"/>
      </w:pPr>
      <w:r>
        <w:rPr>
          <w:rFonts w:ascii="Times New Roman" w:hAnsi="Times New Roman"/>
          <w:sz w:val="16"/>
        </w:rPr>
        <w:t>[25]  M. Goldblum et al., “Dataset Security for Machine Learning: Data Poisoning, Backdoor Attacks, and Defenses,” IEEE Trans. PAMI, vol. 45, no. 2, pp. 1563–1580, 2023.</w:t>
      </w:r>
    </w:p>
    <w:p>
      <w:pPr>
        <w:spacing w:before="0" w:after="20"/>
        <w:ind w:left="283" w:hanging="283"/>
        <w:jc w:val="left"/>
      </w:pPr>
      <w:r>
        <w:rPr>
          <w:rFonts w:ascii="Times New Roman" w:hAnsi="Times New Roman"/>
          <w:sz w:val="16"/>
        </w:rPr>
        <w:t>[26]  P. Ladisa, H. Plate, M. Martinez, and O. Barais, “SoK: Taxonomy of Attacks on Open-Source Software Supply Chains,” in Proc. IEEE S&amp;P, 2023.</w:t>
      </w:r>
    </w:p>
    <w:p>
      <w:pPr>
        <w:spacing w:before="0" w:after="20"/>
        <w:ind w:left="283" w:hanging="283"/>
        <w:jc w:val="left"/>
      </w:pPr>
      <w:r>
        <w:rPr>
          <w:rFonts w:ascii="Times New Roman" w:hAnsi="Times New Roman"/>
          <w:sz w:val="16"/>
        </w:rPr>
        <w:t>[27]  M. Ohm, H. Plate, A. Sykosch, and M. Meier, “Backstabber’s Knife Collection: A Review of Open Source Software Supply Chain Attacks,” in Proc. DIMVA, 2020, pp. 23–43.</w:t>
      </w:r>
    </w:p>
    <w:p>
      <w:pPr>
        <w:spacing w:before="0" w:after="20"/>
        <w:ind w:left="283" w:hanging="283"/>
        <w:jc w:val="left"/>
      </w:pPr>
      <w:r>
        <w:rPr>
          <w:rFonts w:ascii="Times New Roman" w:hAnsi="Times New Roman"/>
          <w:sz w:val="16"/>
        </w:rPr>
        <w:t>[28]  A. Shafahi et al., “Poison Frogs! Targeted Clean-Label Poisoning Attacks on Neural Networks,” in Proc. NeurIPS, 2018, pp. 6106–6116.</w:t>
      </w:r>
    </w:p>
    <w:p>
      <w:pPr>
        <w:spacing w:before="0" w:after="20"/>
        <w:ind w:left="283" w:hanging="283"/>
        <w:jc w:val="left"/>
      </w:pPr>
      <w:r>
        <w:rPr>
          <w:rFonts w:ascii="Times New Roman" w:hAnsi="Times New Roman"/>
          <w:sz w:val="16"/>
        </w:rPr>
        <w:t>[29]  E. Bagdasaryan and V. Shmatikov, “Blind Backdoors in Deep Learning Models,” in Proc. USENIX Security, 2022.</w:t>
      </w:r>
    </w:p>
    <w:p>
      <w:pPr>
        <w:spacing w:before="0" w:after="20"/>
        <w:ind w:left="283" w:hanging="283"/>
        <w:jc w:val="left"/>
      </w:pPr>
      <w:r>
        <w:rPr>
          <w:rFonts w:ascii="Times New Roman" w:hAnsi="Times New Roman"/>
          <w:sz w:val="16"/>
        </w:rPr>
        <w:t>[30]  N. Carlini et al., “Poisoning Web-Scale Training Datasets is Practical,” in Proc. IEEE S&amp;P, 2024.</w:t>
      </w:r>
    </w:p>
    <w:p>
      <w:pPr>
        <w:spacing w:before="0" w:after="20"/>
        <w:ind w:left="283" w:hanging="283"/>
        <w:jc w:val="left"/>
      </w:pPr>
      <w:r>
        <w:rPr>
          <w:rFonts w:ascii="Times New Roman" w:hAnsi="Times New Roman"/>
          <w:sz w:val="16"/>
        </w:rPr>
        <w:t>[31]  A. D. Kellas et al., “PickleBall: Secure Deserialization of Pickle-based Machine Learning Models,” in Proc. ACM CCS, 2025, pp. 3341–3355.</w:t>
      </w:r>
    </w:p>
    <w:sectPr w:rsidR="00FC693F" w:rsidRPr="0006063C" w:rsidSect="00034616">
      <w:pgSz w:w="11906" w:h="16838"/>
      <w:pgMar w:top="1077" w:right="890" w:bottom="1440" w:left="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