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b w:val="1"/>
          <w:sz w:val="28"/>
          <w:szCs w:val="28"/>
          <w:u w:val="single"/>
        </w:rPr>
      </w:pPr>
      <w:bookmarkStart w:colFirst="0" w:colLast="0" w:name="_fgdd154nmkfq" w:id="0"/>
      <w:bookmarkEnd w:id="0"/>
      <w:r w:rsidDel="00000000" w:rsidR="00000000" w:rsidRPr="00000000">
        <w:rPr>
          <w:b w:val="1"/>
          <w:sz w:val="28"/>
          <w:szCs w:val="28"/>
          <w:u w:val="single"/>
          <w:rtl w:val="0"/>
        </w:rPr>
        <w:t xml:space="preserve">Topics: Descriptive Statistics and Probability</w:t>
      </w:r>
    </w:p>
    <w:p w:rsidR="00000000" w:rsidDel="00000000" w:rsidP="00000000" w:rsidRDefault="00000000" w:rsidRPr="00000000" w14:paraId="00000002">
      <w:pPr>
        <w:pageBreakBefore w:val="0"/>
        <w:spacing w:after="0" w:lineRule="auto"/>
        <w:rPr>
          <w:b w:val="1"/>
        </w:rPr>
      </w:pPr>
      <w:r w:rsidDel="00000000" w:rsidR="00000000" w:rsidRPr="00000000">
        <w:rPr>
          <w:rtl w:val="0"/>
        </w:rPr>
      </w:r>
    </w:p>
    <w:p w:rsidR="00000000" w:rsidDel="00000000" w:rsidP="00000000" w:rsidRDefault="00000000" w:rsidRPr="00000000" w14:paraId="00000003">
      <w:pPr>
        <w:pageBreakBefore w:val="0"/>
        <w:spacing w:after="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the data given below. Plot the data, find the outliers and find out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μ, σ,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σ</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26.0" w:type="dxa"/>
        <w:jc w:val="center"/>
        <w:tblLayout w:type="fixed"/>
        <w:tblLook w:val="0400"/>
      </w:tblPr>
      <w:tblGrid>
        <w:gridCol w:w="2476"/>
        <w:gridCol w:w="1350"/>
        <w:tblGridChange w:id="0">
          <w:tblGrid>
            <w:gridCol w:w="2476"/>
            <w:gridCol w:w="13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pageBreakBefore w:val="0"/>
              <w:spacing w:after="0" w:line="240" w:lineRule="auto"/>
              <w:rPr>
                <w:b w:val="1"/>
                <w:color w:val="000000"/>
              </w:rPr>
            </w:pPr>
            <w:r w:rsidDel="00000000" w:rsidR="00000000" w:rsidRPr="00000000">
              <w:rPr>
                <w:b w:val="1"/>
                <w:color w:val="000000"/>
                <w:rtl w:val="0"/>
              </w:rPr>
              <w:t xml:space="preserve">Name of company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7">
            <w:pPr>
              <w:pageBreakBefore w:val="0"/>
              <w:spacing w:after="0" w:line="240" w:lineRule="auto"/>
              <w:jc w:val="right"/>
              <w:rPr>
                <w:b w:val="1"/>
                <w:color w:val="000000"/>
              </w:rPr>
            </w:pPr>
            <w:r w:rsidDel="00000000" w:rsidR="00000000" w:rsidRPr="00000000">
              <w:rPr>
                <w:b w:val="1"/>
                <w:color w:val="000000"/>
                <w:rtl w:val="0"/>
              </w:rPr>
              <w:t xml:space="preserve">Measure X</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pageBreakBefore w:val="0"/>
              <w:spacing w:after="0" w:line="240" w:lineRule="auto"/>
              <w:rPr>
                <w:color w:val="000000"/>
              </w:rPr>
            </w:pPr>
            <w:r w:rsidDel="00000000" w:rsidR="00000000" w:rsidRPr="00000000">
              <w:rPr>
                <w:color w:val="000000"/>
                <w:rtl w:val="0"/>
              </w:rPr>
              <w:t xml:space="preserve">Allied Signal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pageBreakBefore w:val="0"/>
              <w:spacing w:after="0" w:line="240" w:lineRule="auto"/>
              <w:jc w:val="right"/>
              <w:rPr>
                <w:color w:val="000000"/>
              </w:rPr>
            </w:pPr>
            <w:r w:rsidDel="00000000" w:rsidR="00000000" w:rsidRPr="00000000">
              <w:rPr>
                <w:color w:val="000000"/>
                <w:rtl w:val="0"/>
              </w:rPr>
              <w:t xml:space="preserve">24.23%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pageBreakBefore w:val="0"/>
              <w:spacing w:after="0" w:line="240" w:lineRule="auto"/>
              <w:rPr>
                <w:color w:val="000000"/>
              </w:rPr>
            </w:pPr>
            <w:r w:rsidDel="00000000" w:rsidR="00000000" w:rsidRPr="00000000">
              <w:rPr>
                <w:color w:val="000000"/>
                <w:rtl w:val="0"/>
              </w:rPr>
              <w:t xml:space="preserve">Bankers Trust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pageBreakBefore w:val="0"/>
              <w:spacing w:after="0" w:line="240" w:lineRule="auto"/>
              <w:jc w:val="right"/>
              <w:rPr>
                <w:color w:val="000000"/>
              </w:rPr>
            </w:pPr>
            <w:r w:rsidDel="00000000" w:rsidR="00000000" w:rsidRPr="00000000">
              <w:rPr>
                <w:color w:val="000000"/>
                <w:rtl w:val="0"/>
              </w:rPr>
              <w:t xml:space="preserve">25.53%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pageBreakBefore w:val="0"/>
              <w:spacing w:after="0" w:line="240" w:lineRule="auto"/>
              <w:rPr>
                <w:color w:val="000000"/>
              </w:rPr>
            </w:pPr>
            <w:r w:rsidDel="00000000" w:rsidR="00000000" w:rsidRPr="00000000">
              <w:rPr>
                <w:color w:val="000000"/>
                <w:rtl w:val="0"/>
              </w:rPr>
              <w:t xml:space="preserve">General Mills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pageBreakBefore w:val="0"/>
              <w:spacing w:after="0" w:line="240" w:lineRule="auto"/>
              <w:jc w:val="right"/>
              <w:rPr>
                <w:color w:val="000000"/>
              </w:rPr>
            </w:pPr>
            <w:r w:rsidDel="00000000" w:rsidR="00000000" w:rsidRPr="00000000">
              <w:rPr>
                <w:color w:val="000000"/>
                <w:rtl w:val="0"/>
              </w:rPr>
              <w:t xml:space="preserve">25.41%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pageBreakBefore w:val="0"/>
              <w:spacing w:after="0" w:line="240" w:lineRule="auto"/>
              <w:rPr>
                <w:color w:val="000000"/>
              </w:rPr>
            </w:pPr>
            <w:r w:rsidDel="00000000" w:rsidR="00000000" w:rsidRPr="00000000">
              <w:rPr>
                <w:color w:val="000000"/>
                <w:rtl w:val="0"/>
              </w:rPr>
              <w:t xml:space="preserve">ITT Industries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pageBreakBefore w:val="0"/>
              <w:spacing w:after="0" w:line="240" w:lineRule="auto"/>
              <w:jc w:val="right"/>
              <w:rPr>
                <w:color w:val="000000"/>
              </w:rPr>
            </w:pPr>
            <w:r w:rsidDel="00000000" w:rsidR="00000000" w:rsidRPr="00000000">
              <w:rPr>
                <w:color w:val="000000"/>
                <w:rtl w:val="0"/>
              </w:rPr>
              <w:t xml:space="preserve">24.14%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pageBreakBefore w:val="0"/>
              <w:spacing w:after="0" w:line="240" w:lineRule="auto"/>
              <w:rPr>
                <w:color w:val="000000"/>
              </w:rPr>
            </w:pPr>
            <w:r w:rsidDel="00000000" w:rsidR="00000000" w:rsidRPr="00000000">
              <w:rPr>
                <w:color w:val="000000"/>
                <w:rtl w:val="0"/>
              </w:rPr>
              <w:t xml:space="preserve">J.P.Morgan &amp; 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pageBreakBefore w:val="0"/>
              <w:spacing w:after="0" w:line="240" w:lineRule="auto"/>
              <w:jc w:val="right"/>
              <w:rPr>
                <w:color w:val="000000"/>
              </w:rPr>
            </w:pPr>
            <w:r w:rsidDel="00000000" w:rsidR="00000000" w:rsidRPr="00000000">
              <w:rPr>
                <w:color w:val="000000"/>
                <w:rtl w:val="0"/>
              </w:rPr>
              <w:t xml:space="preserve">29.62%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pageBreakBefore w:val="0"/>
              <w:spacing w:after="0" w:line="240" w:lineRule="auto"/>
              <w:rPr>
                <w:color w:val="000000"/>
              </w:rPr>
            </w:pPr>
            <w:r w:rsidDel="00000000" w:rsidR="00000000" w:rsidRPr="00000000">
              <w:rPr>
                <w:color w:val="000000"/>
                <w:rtl w:val="0"/>
              </w:rPr>
              <w:t xml:space="preserve">Lehman Brothers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pageBreakBefore w:val="0"/>
              <w:spacing w:after="0" w:line="240" w:lineRule="auto"/>
              <w:jc w:val="right"/>
              <w:rPr>
                <w:color w:val="000000"/>
              </w:rPr>
            </w:pPr>
            <w:r w:rsidDel="00000000" w:rsidR="00000000" w:rsidRPr="00000000">
              <w:rPr>
                <w:color w:val="000000"/>
                <w:rtl w:val="0"/>
              </w:rPr>
              <w:t xml:space="preserve">28.25%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pageBreakBefore w:val="0"/>
              <w:spacing w:after="0" w:line="240" w:lineRule="auto"/>
              <w:rPr>
                <w:color w:val="000000"/>
              </w:rPr>
            </w:pPr>
            <w:r w:rsidDel="00000000" w:rsidR="00000000" w:rsidRPr="00000000">
              <w:rPr>
                <w:color w:val="000000"/>
                <w:rtl w:val="0"/>
              </w:rPr>
              <w:t xml:space="preserve">Marriott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pageBreakBefore w:val="0"/>
              <w:spacing w:after="0" w:line="240" w:lineRule="auto"/>
              <w:jc w:val="right"/>
              <w:rPr>
                <w:color w:val="000000"/>
              </w:rPr>
            </w:pPr>
            <w:r w:rsidDel="00000000" w:rsidR="00000000" w:rsidRPr="00000000">
              <w:rPr>
                <w:color w:val="000000"/>
                <w:rtl w:val="0"/>
              </w:rPr>
              <w:t xml:space="preserve">25.81%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pageBreakBefore w:val="0"/>
              <w:spacing w:after="0" w:line="240" w:lineRule="auto"/>
              <w:rPr>
                <w:color w:val="000000"/>
              </w:rPr>
            </w:pPr>
            <w:r w:rsidDel="00000000" w:rsidR="00000000" w:rsidRPr="00000000">
              <w:rPr>
                <w:color w:val="000000"/>
                <w:rtl w:val="0"/>
              </w:rPr>
              <w:t xml:space="preserve">MCI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pageBreakBefore w:val="0"/>
              <w:spacing w:after="0" w:line="240" w:lineRule="auto"/>
              <w:jc w:val="right"/>
              <w:rPr>
                <w:color w:val="000000"/>
              </w:rPr>
            </w:pPr>
            <w:r w:rsidDel="00000000" w:rsidR="00000000" w:rsidRPr="00000000">
              <w:rPr>
                <w:color w:val="000000"/>
                <w:rtl w:val="0"/>
              </w:rPr>
              <w:t xml:space="preserve">24.39%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pageBreakBefore w:val="0"/>
              <w:spacing w:after="0" w:line="240" w:lineRule="auto"/>
              <w:rPr>
                <w:color w:val="000000"/>
              </w:rPr>
            </w:pPr>
            <w:r w:rsidDel="00000000" w:rsidR="00000000" w:rsidRPr="00000000">
              <w:rPr>
                <w:color w:val="000000"/>
                <w:rtl w:val="0"/>
              </w:rPr>
              <w:t xml:space="preserve">Merrill Lynch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pageBreakBefore w:val="0"/>
              <w:spacing w:after="0" w:line="240" w:lineRule="auto"/>
              <w:jc w:val="right"/>
              <w:rPr>
                <w:color w:val="000000"/>
              </w:rPr>
            </w:pPr>
            <w:r w:rsidDel="00000000" w:rsidR="00000000" w:rsidRPr="00000000">
              <w:rPr>
                <w:color w:val="000000"/>
                <w:rtl w:val="0"/>
              </w:rPr>
              <w:t xml:space="preserve">40.26%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pageBreakBefore w:val="0"/>
              <w:spacing w:after="0" w:line="240" w:lineRule="auto"/>
              <w:rPr>
                <w:color w:val="000000"/>
              </w:rPr>
            </w:pPr>
            <w:r w:rsidDel="00000000" w:rsidR="00000000" w:rsidRPr="00000000">
              <w:rPr>
                <w:color w:val="000000"/>
                <w:rtl w:val="0"/>
              </w:rPr>
              <w:t xml:space="preserve">Microsoft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pageBreakBefore w:val="0"/>
              <w:spacing w:after="0" w:line="240" w:lineRule="auto"/>
              <w:jc w:val="right"/>
              <w:rPr>
                <w:color w:val="000000"/>
              </w:rPr>
            </w:pPr>
            <w:r w:rsidDel="00000000" w:rsidR="00000000" w:rsidRPr="00000000">
              <w:rPr>
                <w:color w:val="000000"/>
                <w:rtl w:val="0"/>
              </w:rPr>
              <w:t xml:space="preserve">32.95%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pageBreakBefore w:val="0"/>
              <w:spacing w:after="0" w:line="240" w:lineRule="auto"/>
              <w:rPr>
                <w:color w:val="000000"/>
              </w:rPr>
            </w:pPr>
            <w:r w:rsidDel="00000000" w:rsidR="00000000" w:rsidRPr="00000000">
              <w:rPr>
                <w:color w:val="000000"/>
                <w:rtl w:val="0"/>
              </w:rPr>
              <w:t xml:space="preserve">Morgan Stanley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pageBreakBefore w:val="0"/>
              <w:spacing w:after="0" w:line="240" w:lineRule="auto"/>
              <w:jc w:val="right"/>
              <w:rPr>
                <w:color w:val="000000"/>
              </w:rPr>
            </w:pPr>
            <w:r w:rsidDel="00000000" w:rsidR="00000000" w:rsidRPr="00000000">
              <w:rPr>
                <w:color w:val="000000"/>
                <w:rtl w:val="0"/>
              </w:rPr>
              <w:t xml:space="preserve">91.36%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pageBreakBefore w:val="0"/>
              <w:spacing w:after="0" w:line="240" w:lineRule="auto"/>
              <w:rPr>
                <w:color w:val="000000"/>
              </w:rPr>
            </w:pPr>
            <w:r w:rsidDel="00000000" w:rsidR="00000000" w:rsidRPr="00000000">
              <w:rPr>
                <w:color w:val="000000"/>
                <w:rtl w:val="0"/>
              </w:rPr>
              <w:t xml:space="preserve">Sun Microsystems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pageBreakBefore w:val="0"/>
              <w:spacing w:after="0" w:line="240" w:lineRule="auto"/>
              <w:jc w:val="right"/>
              <w:rPr>
                <w:color w:val="000000"/>
              </w:rPr>
            </w:pPr>
            <w:r w:rsidDel="00000000" w:rsidR="00000000" w:rsidRPr="00000000">
              <w:rPr>
                <w:color w:val="000000"/>
                <w:rtl w:val="0"/>
              </w:rPr>
              <w:t xml:space="preserve">25.99%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pageBreakBefore w:val="0"/>
              <w:spacing w:after="0" w:line="240" w:lineRule="auto"/>
              <w:rPr>
                <w:color w:val="000000"/>
              </w:rPr>
            </w:pPr>
            <w:r w:rsidDel="00000000" w:rsidR="00000000" w:rsidRPr="00000000">
              <w:rPr>
                <w:color w:val="000000"/>
                <w:rtl w:val="0"/>
              </w:rPr>
              <w:t xml:space="preserve">Travelers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pageBreakBefore w:val="0"/>
              <w:spacing w:after="0" w:line="240" w:lineRule="auto"/>
              <w:jc w:val="right"/>
              <w:rPr>
                <w:color w:val="000000"/>
              </w:rPr>
            </w:pPr>
            <w:r w:rsidDel="00000000" w:rsidR="00000000" w:rsidRPr="00000000">
              <w:rPr>
                <w:color w:val="000000"/>
                <w:rtl w:val="0"/>
              </w:rPr>
              <w:t xml:space="preserve">39.42%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pageBreakBefore w:val="0"/>
              <w:spacing w:after="0" w:line="240" w:lineRule="auto"/>
              <w:rPr>
                <w:color w:val="000000"/>
              </w:rPr>
            </w:pPr>
            <w:r w:rsidDel="00000000" w:rsidR="00000000" w:rsidRPr="00000000">
              <w:rPr>
                <w:color w:val="000000"/>
                <w:rtl w:val="0"/>
              </w:rPr>
              <w:t xml:space="preserve">US Airways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pageBreakBefore w:val="0"/>
              <w:spacing w:after="0" w:line="240" w:lineRule="auto"/>
              <w:jc w:val="right"/>
              <w:rPr>
                <w:color w:val="000000"/>
              </w:rPr>
            </w:pPr>
            <w:r w:rsidDel="00000000" w:rsidR="00000000" w:rsidRPr="00000000">
              <w:rPr>
                <w:color w:val="000000"/>
                <w:rtl w:val="0"/>
              </w:rPr>
              <w:t xml:space="preserve">26.71%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pageBreakBefore w:val="0"/>
              <w:spacing w:after="0" w:line="240" w:lineRule="auto"/>
              <w:rPr>
                <w:color w:val="000000"/>
              </w:rPr>
            </w:pPr>
            <w:r w:rsidDel="00000000" w:rsidR="00000000" w:rsidRPr="00000000">
              <w:rPr>
                <w:color w:val="000000"/>
                <w:rtl w:val="0"/>
              </w:rPr>
              <w:t xml:space="preserve">Warner-Lambert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pageBreakBefore w:val="0"/>
              <w:spacing w:after="0" w:line="240" w:lineRule="auto"/>
              <w:jc w:val="right"/>
              <w:rPr>
                <w:color w:val="000000"/>
              </w:rPr>
            </w:pPr>
            <w:r w:rsidDel="00000000" w:rsidR="00000000" w:rsidRPr="00000000">
              <w:rPr>
                <w:color w:val="000000"/>
                <w:rtl w:val="0"/>
              </w:rPr>
              <w:t xml:space="preserve">35.00%</w:t>
            </w:r>
          </w:p>
        </w:tc>
      </w:tr>
    </w:tbl>
    <w:p w:rsidR="00000000" w:rsidDel="00000000" w:rsidP="00000000" w:rsidRDefault="00000000" w:rsidRPr="00000000" w14:paraId="00000026">
      <w:pPr>
        <w:pageBreakBefore w:val="0"/>
        <w:spacing w:after="0" w:lineRule="auto"/>
        <w:rPr/>
      </w:pPr>
      <w:r w:rsidDel="00000000" w:rsidR="00000000" w:rsidRPr="00000000">
        <w:rPr>
          <w:rtl w:val="0"/>
        </w:rPr>
      </w:r>
    </w:p>
    <w:p w:rsidR="00000000" w:rsidDel="00000000" w:rsidP="00000000" w:rsidRDefault="00000000" w:rsidRPr="00000000" w14:paraId="00000027">
      <w:pPr>
        <w:pageBreakBefore w:val="0"/>
        <w:spacing w:after="0" w:lineRule="auto"/>
        <w:rPr>
          <w:b w:val="1"/>
        </w:rPr>
      </w:pPr>
      <w:r w:rsidDel="00000000" w:rsidR="00000000" w:rsidRPr="00000000">
        <w:rPr>
          <w:b w:val="1"/>
          <w:rtl w:val="0"/>
        </w:rPr>
        <w:t xml:space="preserve">Ans : </w:t>
      </w:r>
    </w:p>
    <w:p w:rsidR="00000000" w:rsidDel="00000000" w:rsidP="00000000" w:rsidRDefault="00000000" w:rsidRPr="00000000" w14:paraId="00000028">
      <w:pPr>
        <w:pageBreakBefore w:val="0"/>
        <w:spacing w:after="0" w:lineRule="auto"/>
        <w:rPr>
          <w:b w:val="1"/>
        </w:rPr>
      </w:pPr>
      <w:r w:rsidDel="00000000" w:rsidR="00000000" w:rsidRPr="00000000">
        <w:rPr>
          <w:rtl w:val="0"/>
        </w:rPr>
      </w:r>
    </w:p>
    <w:tbl>
      <w:tblPr>
        <w:tblStyle w:val="Table2"/>
        <w:tblW w:w="6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2190"/>
        <w:tblGridChange w:id="0">
          <w:tblGrid>
            <w:gridCol w:w="4230"/>
            <w:gridCol w:w="21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Mean Σ X /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33.27133333</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Standard Deviation </w:t>
            </w:r>
            <m:oMath>
              <m:r>
                <w:rPr>
                  <w:rFonts w:ascii="Arial" w:cs="Arial" w:eastAsia="Arial" w:hAnsi="Arial"/>
                  <w:b w:val="1"/>
                  <w:sz w:val="20"/>
                  <w:szCs w:val="20"/>
                </w:rPr>
                <m:t xml:space="preserve">σ</m:t>
              </m:r>
            </m:oMath>
            <w:r w:rsidDel="00000000" w:rsidR="00000000" w:rsidRPr="00000000">
              <w:rPr>
                <w:rFonts w:ascii="Arial Unicode MS" w:cs="Arial Unicode MS" w:eastAsia="Arial Unicode MS" w:hAnsi="Arial Unicode MS"/>
                <w:b w:val="1"/>
                <w:sz w:val="20"/>
                <w:szCs w:val="20"/>
                <w:rtl w:val="0"/>
              </w:rPr>
              <w:t xml:space="preserve"> = √Σ(X-μ)^2 /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16.37081259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varience </w:t>
            </w:r>
            <m:oMath>
              <m:sSup>
                <m:e>
                  <m:sSup>
                    <m:sSupPr>
                      <m:ctrlPr>
                        <w:rPr>
                          <w:rFonts w:ascii="Arial" w:cs="Arial" w:eastAsia="Arial" w:hAnsi="Arial"/>
                          <w:b w:val="1"/>
                          <w:sz w:val="20"/>
                          <w:szCs w:val="20"/>
                        </w:rPr>
                      </m:ctrlPr>
                    </m:sSupPr>
                    <m:e>
                      <m:r>
                        <w:rPr>
                          <w:rFonts w:ascii="Arial" w:cs="Arial" w:eastAsia="Arial" w:hAnsi="Arial"/>
                          <w:b w:val="1"/>
                          <w:sz w:val="20"/>
                          <w:szCs w:val="20"/>
                        </w:rPr>
                        <m:t xml:space="preserve">σ</m:t>
                      </m:r>
                    </m:e>
                    <m:sup>
                      <m:r>
                        <w:rPr>
                          <w:rFonts w:ascii="Arial" w:cs="Arial" w:eastAsia="Arial" w:hAnsi="Arial"/>
                          <w:b w:val="1"/>
                          <w:sz w:val="20"/>
                          <w:szCs w:val="20"/>
                        </w:rPr>
                        <m:t xml:space="preserve">2 = </m:t>
                      </m:r>
                    </m:sup>
                  </m:sSup>
                </m:e>
                <m:sup/>
              </m:sSup>
            </m:oMath>
            <w:r w:rsidDel="00000000" w:rsidR="00000000" w:rsidRPr="00000000">
              <w:rPr>
                <w:rFonts w:ascii="Arial" w:cs="Arial" w:eastAsia="Arial" w:hAnsi="Arial"/>
                <w:b w:val="1"/>
                <w:sz w:val="20"/>
                <w:szCs w:val="20"/>
                <w:rtl w:val="0"/>
              </w:rPr>
              <w:t xml:space="preserve">Σ(X-μ)^2 /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287.1466124</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943600" cy="229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Outlier - 91.36</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00325"/>
            <wp:effectExtent b="0" l="0" r="0" t="0"/>
            <wp:docPr descr="C:\Users\30644.ISBDOMAIN1\Dropbox\Ours\BA course\Our Era as TA's\Statistical Analysis 1-Estimation and Testing\Practice Problems\Boxplot Q1.jpeg" id="1" name="image2.jpg"/>
            <a:graphic>
              <a:graphicData uri="http://schemas.openxmlformats.org/drawingml/2006/picture">
                <pic:pic>
                  <pic:nvPicPr>
                    <pic:cNvPr descr="C:\Users\30644.ISBDOMAIN1\Dropbox\Ours\BA course\Our Era as TA's\Statistical Analysis 1-Estimation and Testing\Practice Problems\Boxplot Q1.jpeg" id="0" name="image2.jpg"/>
                    <pic:cNvPicPr preferRelativeResize="0"/>
                  </pic:nvPicPr>
                  <pic:blipFill>
                    <a:blip r:embed="rId7"/>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three questions based on the box-plot above.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inter-quartile range of this dataset? (please approximate the numbers) In one line, explain what this value implies.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we say about the skewness of this dataset?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was found that the data point with the value 25 is actually 2.5, how would the new box-plot be affected?</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 - IQR (Inter quartile range) = Q3 - Q1, 25% to 75% (50%) data lies between Q3 to Q1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 12 - 5 = 7 = IQR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 - Skewness tells about the asymmetry in data. In box plot when median is near to Min and whiskers are small at the lower end, then dataset is positively skewed (Mean &gt; Median)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iii - Right most outlier is removed and placed inside between Min &amp; Q1</w:t>
      </w:r>
    </w:p>
    <w:p w:rsidR="00000000" w:rsidDel="00000000" w:rsidP="00000000" w:rsidRDefault="00000000" w:rsidRPr="00000000" w14:paraId="0000004D">
      <w:pPr>
        <w:pageBreakBefore w:val="0"/>
        <w:spacing w:after="0"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1803" cy="4124308"/>
            <wp:effectExtent b="0" l="0" r="0" t="0"/>
            <wp:docPr descr="C:\Users\30644.ISBDOMAIN1\Dropbox\Ours\BA course\Our Era as TA's\Statistical Analysis 1-Estimation and Testing\Practice Problems\Histogram Q2.jpeg" id="3" name="image3.jpg"/>
            <a:graphic>
              <a:graphicData uri="http://schemas.openxmlformats.org/drawingml/2006/picture">
                <pic:pic>
                  <pic:nvPicPr>
                    <pic:cNvPr descr="C:\Users\30644.ISBDOMAIN1\Dropbox\Ours\BA course\Our Era as TA's\Statistical Analysis 1-Estimation and Testing\Practice Problems\Histogram Q2.jpeg" id="0" name="image3.jpg"/>
                    <pic:cNvPicPr preferRelativeResize="0"/>
                  </pic:nvPicPr>
                  <pic:blipFill>
                    <a:blip r:embed="rId8"/>
                    <a:srcRect b="0" l="0" r="0" t="0"/>
                    <a:stretch>
                      <a:fillRect/>
                    </a:stretch>
                  </pic:blipFill>
                  <pic:spPr>
                    <a:xfrm>
                      <a:off x="0" y="0"/>
                      <a:ext cx="5941803" cy="412430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three questions based on the histogram above.</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would the mode of this dataset lie?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on the skewness of the dataset.</w:t>
        <w:tab/>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the above histogram and the box-plot in question 2 are plotted for the same dataset. Explain how these graphs complement each other in providing information about any dataset.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 - Mode is most repeated value in dataset, here it is 20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 - Skewness states the asymmetry in the dataset, 0 is the value for Normally distributed data. Direction of skewness can be seen with the direction of Tail, If the tail is towards right side (or) Mode is less than Mean then it is +vely skewed. I see the above Histogram is +vely skewed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iii - Both shows data spread in the dataset. Histogram is mainly used for continuous data type on X-axis, we can find skewness. Boxplot is used to find outliers and skewness of data. Through histogram we can see how data is grouped, skewed and by boxplot we can identify the outliers and skewness</w:t>
      </w:r>
    </w:p>
    <w:p w:rsidR="00000000" w:rsidDel="00000000" w:rsidP="00000000" w:rsidRDefault="00000000" w:rsidRPr="00000000" w14:paraId="00000059">
      <w:pPr>
        <w:pageBreakBefore w:val="0"/>
        <w:tabs>
          <w:tab w:val="left" w:pos="540"/>
        </w:tabs>
        <w:spacing w:after="0" w:lineRule="auto"/>
        <w:rPr/>
      </w:pPr>
      <w:r w:rsidDel="00000000" w:rsidR="00000000" w:rsidRPr="00000000">
        <w:rPr>
          <w:rtl w:val="0"/>
        </w:rPr>
      </w:r>
    </w:p>
    <w:p w:rsidR="00000000" w:rsidDel="00000000" w:rsidP="00000000" w:rsidRDefault="00000000" w:rsidRPr="00000000" w14:paraId="0000005A">
      <w:pPr>
        <w:pageBreakBefore w:val="0"/>
        <w:spacing w:after="0" w:lineRule="auto"/>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in 200 long distance calls are misdirected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find the probability that atleast 1 in 5 attempted telephone calls reaches wrong number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Probability = Expected events / Total number of events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Total events = 200 P 1 (1 out of 200 reaches wrong number)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Expected events = 5 P 1 (1 reaching WRONG number of 5 calls)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Probability = 5 P 1/ 200 P 1 = 5 / 200 = 1/40 = 0.025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on a certain business venture, to the nearest $1,000, are known to follow the following probability distribution</w:t>
      </w:r>
    </w:p>
    <w:tbl>
      <w:tblPr>
        <w:tblStyle w:val="Table3"/>
        <w:tblW w:w="4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2"/>
        <w:tblGridChange w:id="0">
          <w:tblGrid>
            <w:gridCol w:w="2078"/>
            <w:gridCol w:w="2072"/>
          </w:tblGrid>
        </w:tblGridChange>
      </w:tblGrid>
      <w:tr>
        <w:trPr>
          <w:cantSplit w:val="0"/>
          <w:trHeight w:val="276"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P(x)</w:t>
            </w:r>
          </w:p>
        </w:tc>
      </w:tr>
      <w:tr>
        <w:trPr>
          <w:cantSplit w:val="0"/>
          <w:trHeight w:val="276"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w:t>
            </w:r>
          </w:p>
        </w:tc>
      </w:tr>
      <w:tr>
        <w:trPr>
          <w:cantSplit w:val="0"/>
          <w:trHeight w:val="276"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most likely monetary outcome of the business venture?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venture likely to be successful? Explain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long-term average earning of business ventures of this kind? Explain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good measure of the risk involved in a venture of this kind? Compute this measure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t>
      </w:r>
    </w:p>
    <w:tbl>
      <w:tblPr>
        <w:tblStyle w:val="Table4"/>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P(x)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 * P(x)</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-2,000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2000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3000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w:t>
            </w:r>
          </w:p>
        </w:tc>
      </w:tr>
    </w:tbl>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rFonts w:ascii="Arial" w:cs="Arial" w:eastAsia="Arial" w:hAnsi="Arial"/>
          <w:sz w:val="20"/>
          <w:szCs w:val="20"/>
        </w:rPr>
      </w:pPr>
      <w:r w:rsidDel="00000000" w:rsidR="00000000" w:rsidRPr="00000000">
        <w:rPr>
          <w:rtl w:val="0"/>
        </w:rPr>
        <w:t xml:space="preserve">i - Expected Monetary outcome = Σ (</w:t>
      </w:r>
      <w:r w:rsidDel="00000000" w:rsidR="00000000" w:rsidRPr="00000000">
        <w:rPr>
          <w:rFonts w:ascii="Arial" w:cs="Arial" w:eastAsia="Arial" w:hAnsi="Arial"/>
          <w:sz w:val="20"/>
          <w:szCs w:val="20"/>
          <w:rtl w:val="0"/>
        </w:rPr>
        <w:t xml:space="preserve">x * P(x)) = 800</w:t>
      </w:r>
    </w:p>
    <w:p w:rsidR="00000000" w:rsidDel="00000000" w:rsidP="00000000" w:rsidRDefault="00000000" w:rsidRPr="00000000" w14:paraId="00000094">
      <w:pPr>
        <w:pageBreakBefore w:val="0"/>
        <w:rPr/>
      </w:pPr>
      <w:r w:rsidDel="00000000" w:rsidR="00000000" w:rsidRPr="00000000">
        <w:rPr>
          <w:rFonts w:ascii="Arial" w:cs="Arial" w:eastAsia="Arial" w:hAnsi="Arial"/>
          <w:sz w:val="20"/>
          <w:szCs w:val="20"/>
          <w:rtl w:val="0"/>
        </w:rPr>
        <w:t xml:space="preserve">ii - </w:t>
      </w:r>
      <w:r w:rsidDel="00000000" w:rsidR="00000000" w:rsidRPr="00000000">
        <w:rPr>
          <w:rtl w:val="0"/>
        </w:rPr>
        <w:t xml:space="preserve"> YES , because prob(x&gt;=0) is higher than prob(x&lt; 0) , that means business is more likely                          to get profit.</w:t>
      </w:r>
    </w:p>
    <w:p w:rsidR="00000000" w:rsidDel="00000000" w:rsidP="00000000" w:rsidRDefault="00000000" w:rsidRPr="00000000" w14:paraId="00000095">
      <w:pPr>
        <w:pageBreakBefore w:val="0"/>
        <w:rPr/>
      </w:pPr>
      <w:r w:rsidDel="00000000" w:rsidR="00000000" w:rsidRPr="00000000">
        <w:rPr>
          <w:rFonts w:ascii="Arial" w:cs="Arial" w:eastAsia="Arial" w:hAnsi="Arial"/>
          <w:sz w:val="20"/>
          <w:szCs w:val="20"/>
          <w:rtl w:val="0"/>
        </w:rPr>
        <w:t xml:space="preserve">iii - </w:t>
      </w:r>
      <w:r w:rsidDel="00000000" w:rsidR="00000000" w:rsidRPr="00000000">
        <w:rPr>
          <w:rtl w:val="0"/>
        </w:rPr>
        <w:t xml:space="preserve">long-term avg. means to count for every every probability value, E(x) = $800</w:t>
      </w:r>
    </w:p>
    <w:p w:rsidR="00000000" w:rsidDel="00000000" w:rsidP="00000000" w:rsidRDefault="00000000" w:rsidRPr="00000000" w14:paraId="00000096">
      <w:pPr>
        <w:pageBreakBefore w:val="0"/>
        <w:rPr/>
      </w:pPr>
      <w:r w:rsidDel="00000000" w:rsidR="00000000" w:rsidRPr="00000000">
        <w:rPr>
          <w:rtl w:val="0"/>
        </w:rPr>
        <w:t xml:space="preserve">iv - prob(x&gt;=0) = prob(0) + prob(1000) + prob(2000) + prob(3000) </w:t>
      </w:r>
    </w:p>
    <w:p w:rsidR="00000000" w:rsidDel="00000000" w:rsidP="00000000" w:rsidRDefault="00000000" w:rsidRPr="00000000" w14:paraId="00000097">
      <w:pPr>
        <w:spacing w:after="0" w:lineRule="auto"/>
        <w:ind w:left="360" w:firstLine="0"/>
        <w:rPr/>
      </w:pPr>
      <w:r w:rsidDel="00000000" w:rsidR="00000000" w:rsidRPr="00000000">
        <w:rPr>
          <w:rtl w:val="0"/>
        </w:rPr>
        <w:t xml:space="preserve">                                          = 0.2 + 0.2 + 0.3 + 0.1</w:t>
      </w:r>
    </w:p>
    <w:p w:rsidR="00000000" w:rsidDel="00000000" w:rsidP="00000000" w:rsidRDefault="00000000" w:rsidRPr="00000000" w14:paraId="00000098">
      <w:pPr>
        <w:spacing w:after="0" w:lineRule="auto"/>
        <w:ind w:left="360" w:firstLine="0"/>
        <w:rPr/>
      </w:pPr>
      <w:r w:rsidDel="00000000" w:rsidR="00000000" w:rsidRPr="00000000">
        <w:rPr>
          <w:rtl w:val="0"/>
        </w:rPr>
        <w:t xml:space="preserve">                                          = 0.8</w:t>
      </w:r>
    </w:p>
    <w:p w:rsidR="00000000" w:rsidDel="00000000" w:rsidP="00000000" w:rsidRDefault="00000000" w:rsidRPr="00000000" w14:paraId="00000099">
      <w:pPr>
        <w:pageBreakBefore w:val="0"/>
        <w:rPr/>
      </w:pPr>
      <w:r w:rsidDel="00000000" w:rsidR="00000000" w:rsidRPr="00000000">
        <w:rPr>
          <w:rtl w:val="0"/>
        </w:rPr>
      </w:r>
    </w:p>
    <w:sectPr>
      <w:footerReference r:id="rId9" w:type="default"/>
      <w:pgSz w:h="15840" w:w="12240" w:orient="portrait"/>
      <w:pgMar w:bottom="990" w:top="90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6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 referred to from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Aczel A., Sounderpandian J., Complete Business Statistics (7ed.)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