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待人工确认的孤立内容</w:t>
      </w:r>
    </w:p>
    <w:p>
      <w:r>
        <w:t>日期：2026年8月31日</w:t>
      </w:r>
    </w:p>
    <w:p>
      <w:r>
        <w:t>分类一：高频商务词汇</w:t>
      </w:r>
    </w:p>
    <w:p>
      <w:r>
        <w:t>知识点：negotiate with a supplier</w:t>
      </w:r>
    </w:p>
    <w:p>
      <w:r>
        <w:t>备注：优先建立直接反应。</w:t>
      </w:r>
    </w:p>
    <w:p>
      <w:r>
        <w:t>分类2：固定搭配</w:t>
      </w:r>
    </w:p>
    <w:p>
      <w:r>
        <w:t>知识点：</w:t>
      </w:r>
    </w:p>
    <w:tbl>
      <w:tblGrid>
        <w:gridCol/>
        <w:gridCol/>
      </w:tblGrid>
      <w:tr>
        <w:tc>
          <w:tcPr>
            <w:gridSpan w:val="2"/>
          </w:tcPr>
          <w:p>
            <w:r>
              <w:t>结果表达</w:t>
            </w:r>
          </w:p>
        </w:tc>
      </w:tr>
      <w:tr>
        <w:tc>
          <w:tcPr>
            <w:vMerge w:val="restart"/>
          </w:tcPr>
          <w:p>
            <w:r>
              <w:t>as a result</w:t>
            </w:r>
          </w:p>
        </w:tc>
        <w:tc>
          <w:p>
            <w:r>
              <w:t>therefore</w:t>
            </w:r>
          </w:p>
        </w:tc>
      </w:tr>
      <w:tr>
        <w:tc>
          <w:tcPr>
            <w:vMerge/>
          </w:tcPr>
          <w:p/>
        </w:tc>
        <w:tc>
          <w:p>
            <w:r>
              <w:t>因此</w:t>
            </w:r>
          </w:p>
        </w:tc>
      </w:tr>
    </w:tbl>
    <w:p>
      <w:r>
        <w:t>日期：2026年9月1日</w:t>
      </w:r>
    </w:p>
    <w:p>
      <w:r>
        <w:t>分类三：动词 + 名词搭配</w:t>
      </w:r>
    </w:p>
    <w:p>
      <w:r>
        <w:t>3．知识点：make a reservation</w:t>
      </w:r>
    </w:p>
    <w:sectPr/>
  </w:body>
</w:document>
</file>