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1E2E"/>
          <w:sz w:val="52"/>
        </w:rPr>
        <w:t>Accessories Tracking System</w:t>
      </w:r>
    </w:p>
    <w:p>
      <w:pPr>
        <w:jc w:val="center"/>
      </w:pPr>
      <w:r>
        <w:rPr>
          <w:b/>
          <w:color w:val="6366F1"/>
          <w:sz w:val="30"/>
        </w:rPr>
        <w:t>Commercial Officer — User Guide</w:t>
      </w:r>
    </w:p>
    <w:p/>
    <w:p>
      <w:pPr>
        <w:jc w:val="center"/>
      </w:pPr>
      <w:r>
        <w:rPr>
          <w:i/>
          <w:color w:val="64748B"/>
          <w:sz w:val="22"/>
        </w:rPr>
        <w:t>Handles all export documentation from PI through to final forwarding.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6366F1"/>
                <w:sz w:val="20"/>
              </w:rPr>
              <w:t xml:space="preserve">Email:  </w:t>
            </w:r>
            <w:r>
              <w:rPr>
                <w:color w:val="1E1E2E"/>
                <w:sz w:val="20"/>
              </w:rPr>
              <w:t>commercial@zzal.com</w:t>
            </w:r>
          </w:p>
        </w:tc>
        <w:tc>
          <w:tcPr>
            <w:tcW w:type="dxa" w:w="4873"/>
          </w:tcPr>
          <w:p>
            <w:r>
              <w:rPr>
                <w:b/>
                <w:color w:val="6366F1"/>
                <w:sz w:val="20"/>
              </w:rPr>
              <w:t xml:space="preserve">Password:  </w:t>
            </w:r>
            <w:r>
              <w:rPr>
                <w:color w:val="1E1E2E"/>
                <w:sz w:val="20"/>
              </w:rPr>
              <w:t>comm@123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6366F1"/>
                <w:sz w:val="20"/>
              </w:rPr>
              <w:t xml:space="preserve">Role:  </w:t>
            </w:r>
            <w:r>
              <w:rPr>
                <w:color w:val="1E1E2E"/>
                <w:sz w:val="20"/>
              </w:rPr>
              <w:t>Commercial Officer</w:t>
            </w:r>
          </w:p>
        </w:tc>
        <w:tc>
          <w:tcPr>
            <w:tcW w:type="dxa" w:w="4873"/>
          </w:tcPr>
          <w:p>
            <w:r>
              <w:rPr>
                <w:b/>
                <w:color w:val="6366F1"/>
                <w:sz w:val="20"/>
              </w:rPr>
              <w:t xml:space="preserve">Pages:  </w:t>
            </w:r>
            <w:r>
              <w:rPr>
                <w:color w:val="1E1E2E"/>
                <w:sz w:val="20"/>
              </w:rPr>
              <w:t>10 page(s)</w:t>
            </w:r>
          </w:p>
        </w:tc>
      </w:tr>
    </w:tbl>
    <w:p>
      <w:pPr>
        <w:spacing w:before="320"/>
        <w:jc w:val="center"/>
      </w:pPr>
      <w:r>
        <w:rPr>
          <w:color w:val="94A3B8"/>
          <w:sz w:val="18"/>
        </w:rPr>
        <w:t>Prepared: 12 August 2026</w:t>
      </w:r>
    </w:p>
    <w:p>
      <w:r>
        <w:br w:type="page"/>
      </w:r>
    </w:p>
    <w:p>
      <w:pPr>
        <w:spacing w:after="120" w:before="200"/>
      </w:pPr>
      <w:r>
        <w:rPr>
          <w:b/>
          <w:color w:val="6366F1"/>
          <w:sz w:val="32"/>
        </w:rPr>
        <w:t>About This Guide</w:t>
      </w:r>
    </w:p>
    <w:p>
      <w:pPr>
        <w:spacing w:after="120" w:before="0"/>
        <w:jc w:val="left"/>
      </w:pPr>
      <w:r>
        <w:rPr>
          <w:b/>
          <w:i w:val="0"/>
          <w:color w:val="1E1E2E"/>
          <w:sz w:val="24"/>
        </w:rPr>
        <w:t>Handles all export documentation from PI through to final forwarding.</w:t>
      </w:r>
    </w:p>
    <w:p/>
    <w:p>
      <w:pPr>
        <w:spacing w:after="120" w:before="0"/>
        <w:jc w:val="left"/>
      </w:pPr>
      <w:r>
        <w:rPr>
          <w:b w:val="0"/>
          <w:i w:val="0"/>
          <w:color w:val="475569"/>
          <w:sz w:val="22"/>
        </w:rPr>
        <w:t>This guide shows every screen the Commercial Officer can access in the Accessories Tracking System. Each page is shown with a live order loaded so you can see exactly what data appears.</w:t>
      </w:r>
    </w:p>
    <w:p/>
    <w:p>
      <w:pPr>
        <w:spacing w:after="120" w:before="80"/>
      </w:pPr>
      <w:r>
        <w:rPr>
          <w:b/>
          <w:color w:val="6366F1"/>
          <w:sz w:val="26"/>
        </w:rPr>
        <w:t>Your Pages at a Glance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PI — Proforma Invoice — </w:t>
      </w:r>
      <w:r>
        <w:rPr>
          <w:color w:val="475569"/>
          <w:sz w:val="22"/>
        </w:rPr>
        <w:t>Search the ERP for the matching sales order, import PO line items, and generate the Proforma Invoice.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Letter of Credit — </w:t>
      </w:r>
      <w:r>
        <w:rPr>
          <w:color w:val="475569"/>
          <w:sz w:val="22"/>
        </w:rPr>
        <w:t>Record the LC details received from the buyer's bank — LC number, date, payment terms, amount, advising bank, and consignee bank.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Bill of Exchange — </w:t>
      </w:r>
      <w:r>
        <w:rPr>
          <w:color w:val="475569"/>
          <w:sz w:val="22"/>
        </w:rPr>
        <w:t>Enter applicant codes (IRC, TIN, VAT/BIN, Bank BIN, Bond License), HS Code, export sales contract, and carrier info.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Commercial Invoice — </w:t>
      </w:r>
      <w:r>
        <w:rPr>
          <w:color w:val="475569"/>
          <w:sz w:val="22"/>
        </w:rPr>
        <w:t>Auto-populated invoice with beneficiary, consignee, LC details, and the full item table with quantities, unit prices, and totals.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Packing List — </w:t>
      </w:r>
      <w:r>
        <w:rPr>
          <w:color w:val="475569"/>
          <w:sz w:val="22"/>
        </w:rPr>
        <w:t>Auto-filled packing list showing all items, quantities, and ply.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Delivery Challan — </w:t>
      </w:r>
      <w:r>
        <w:rPr>
          <w:color w:val="475569"/>
          <w:sz w:val="22"/>
        </w:rPr>
        <w:t>Dispatch document auto-filled from PI items, LC, exchange, and commercial data with all reference numbers.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Truck Challan — </w:t>
      </w:r>
      <w:r>
        <w:rPr>
          <w:color w:val="475569"/>
          <w:sz w:val="22"/>
        </w:rPr>
        <w:t>Transport document for truck dispatch with buyer name, item list, and all LC/contract references.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Certificate of Origin — </w:t>
      </w:r>
      <w:r>
        <w:rPr>
          <w:color w:val="475569"/>
          <w:sz w:val="22"/>
        </w:rPr>
        <w:t>Records country of origin, manufacturer details and the certifying signature.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Beneficiary Certificate — </w:t>
      </w:r>
      <w:r>
        <w:rPr>
          <w:color w:val="475569"/>
          <w:sz w:val="22"/>
        </w:rPr>
        <w:t>Confirms that goods match the LC terms — auto-populated with consignee and LC details.</w:t>
      </w:r>
    </w:p>
    <w:p>
      <w:pPr>
        <w:pStyle w:val="ListNumber"/>
        <w:spacing w:after="100"/>
      </w:pPr>
      <w:r>
        <w:rPr>
          <w:b/>
          <w:color w:val="6366F1"/>
          <w:sz w:val="22"/>
        </w:rPr>
        <w:t xml:space="preserve">Forwarding — </w:t>
      </w:r>
      <w:r>
        <w:rPr>
          <w:color w:val="475569"/>
          <w:sz w:val="22"/>
        </w:rPr>
        <w:t>Final freight and forwarding document capturing shipping details and freight forwarder information.</w:t>
      </w:r>
    </w:p>
    <w:p/>
    <w:p>
      <w:pPr>
        <w:spacing w:after="120" w:before="80"/>
      </w:pPr>
      <w:r>
        <w:rPr>
          <w:b/>
          <w:color w:val="16A34A"/>
          <w:sz w:val="26"/>
        </w:rPr>
        <w:t>What's New</w:t>
      </w:r>
    </w:p>
    <w:p>
      <w:pPr>
        <w:pStyle w:val="ListBullet"/>
        <w:spacing w:after="80"/>
      </w:pPr>
      <w:r>
        <w:rPr>
          <w:b/>
          <w:color w:val="16A34A"/>
          <w:sz w:val="18"/>
        </w:rPr>
        <w:t xml:space="preserve">NEW  </w:t>
      </w:r>
      <w:r>
        <w:rPr>
          <w:color w:val="475569"/>
          <w:sz w:val="22"/>
        </w:rPr>
        <w:t>You can now create an order directly from the PI page — click "+ New Order" and the order starts right there, no need to go through Marketing Intake first.</w:t>
      </w:r>
    </w:p>
    <w:p>
      <w:pPr>
        <w:pStyle w:val="ListBullet"/>
        <w:spacing w:after="80"/>
      </w:pPr>
      <w:r>
        <w:rPr>
          <w:b/>
          <w:color w:val="16A34A"/>
          <w:sz w:val="18"/>
        </w:rPr>
        <w:t xml:space="preserve">NEW  </w:t>
      </w:r>
      <w:r>
        <w:rPr>
          <w:color w:val="475569"/>
          <w:sz w:val="22"/>
        </w:rPr>
        <w:t>The Customer field is now a single searchable box — just start typing the customer name and matching companies appear instantly.</w:t>
      </w:r>
    </w:p>
    <w:p>
      <w:pPr>
        <w:pStyle w:val="ListBullet"/>
        <w:spacing w:after="80"/>
      </w:pPr>
      <w:r>
        <w:rPr>
          <w:b/>
          <w:color w:val="16A34A"/>
          <w:sz w:val="18"/>
        </w:rPr>
        <w:t xml:space="preserve">NEW  </w:t>
      </w:r>
      <w:r>
        <w:rPr>
          <w:color w:val="475569"/>
          <w:sz w:val="22"/>
        </w:rPr>
        <w:t>Loading a PO now auto-fills the Customer (TO) from the ERP, so the customer flows through to the order and the dashboard.</w:t>
      </w:r>
    </w:p>
    <w:p>
      <w:pPr>
        <w:pStyle w:val="ListBullet"/>
        <w:spacing w:after="80"/>
      </w:pPr>
      <w:r>
        <w:rPr>
          <w:b/>
          <w:color w:val="16A34A"/>
          <w:sz w:val="18"/>
        </w:rPr>
        <w:t xml:space="preserve">NEW  </w:t>
      </w:r>
      <w:r>
        <w:rPr>
          <w:color w:val="475569"/>
          <w:sz w:val="22"/>
        </w:rPr>
        <w:t>Submitting a PI now records the customer, buyer and PO on the order, so the Order Tracking Dashboard shows PO, buyer and item count instead of blanks.</w:t>
      </w:r>
    </w:p>
    <w:p>
      <w:pPr>
        <w:pStyle w:val="ListBullet"/>
        <w:spacing w:after="80"/>
      </w:pPr>
      <w:r>
        <w:rPr>
          <w:b/>
          <w:color w:val="16A34A"/>
          <w:sz w:val="18"/>
        </w:rPr>
        <w:t xml:space="preserve">NEW  </w:t>
      </w:r>
      <w:r>
        <w:rPr>
          <w:color w:val="475569"/>
          <w:sz w:val="22"/>
        </w:rPr>
        <w:t>Workflow after the PI: once the PI is submitted the order goes to Marketing for approval; after Marketing approves, it comes back to the LC step for you to record the Letter of Credit.</w:t>
      </w:r>
    </w:p>
    <w:p>
      <w:r>
        <w:br w:type="page"/>
      </w:r>
    </w:p>
    <w:p>
      <w:pPr>
        <w:spacing w:after="120" w:before="200"/>
      </w:pPr>
      <w:r>
        <w:rPr>
          <w:b/>
          <w:color w:val="6366F1"/>
          <w:sz w:val="32"/>
        </w:rPr>
        <w:t>Page Screenshots</w:t>
      </w:r>
    </w:p>
    <w:p>
      <w:pPr>
        <w:spacing w:after="320" w:before="0"/>
        <w:jc w:val="left"/>
      </w:pPr>
      <w:r>
        <w:rPr>
          <w:b w:val="0"/>
          <w:i/>
          <w:color w:val="94A3B8"/>
          <w:sz w:val="22"/>
        </w:rPr>
        <w:t>The following pages show each screen with a real order loaded.</w:t>
      </w:r>
    </w:p>
    <w:p>
      <w:pPr>
        <w:spacing w:after="80" w:before="160"/>
      </w:pPr>
      <w:r>
        <w:rPr>
          <w:b/>
          <w:color w:val="6366F1"/>
          <w:sz w:val="28"/>
        </w:rPr>
        <w:t>PI — Proforma Invoice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Search the ERP for the matching sales order, import PO line items, and generate the Proforma Invoice. Mark as Master PI when confirmed.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Letter of Credit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Record the LC details received from the buyer's bank — LC number, date, payment terms, amount, advising bank, and consignee bank.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6618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1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Bill of Exchange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Enter applicant codes (IRC, TIN, VAT/BIN, Bank BIN, Bond License), HS Code, export sales contract, and carrier info. These auto-fill all downstream documents.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7207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0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Commercial Invoice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Auto-populated invoice with beneficiary, consignee, LC details, and the full item table with quantities, unit prices, and totals.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846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6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Packing List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Auto-filled packing list showing all items, quantities, and ply. Includes signature slots for the authorized representative and consignee.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77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Delivery Challan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Dispatch document auto-filled from PI items, LC, exchange, and commercial data with all reference numbers.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67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6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Truck Challan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Transport document for truck dispatch with buyer name, item list, and all LC/contract references.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105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Certificate of Origin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Records country of origin, manufacturer details and the certifying signature.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Beneficiary Certificate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Confirms that goods match the LC terms — auto-populated with consignee and LC details.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ci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pPr>
        <w:spacing w:after="80" w:before="160"/>
      </w:pPr>
      <w:r>
        <w:rPr>
          <w:b/>
          <w:color w:val="6366F1"/>
          <w:sz w:val="28"/>
        </w:rPr>
        <w:t>Forwarding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Final freight and forwarding document capturing shipping details and freight forwarder information.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007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0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color w:val="94A3B8"/>
          <w:sz w:val="20"/>
        </w:rPr>
        <w:t>Accessories Tracking System  ·  Zaber &amp; Zubair Accessories Ltd.</w:t>
      </w:r>
    </w:p>
    <w:p>
      <w:pPr>
        <w:jc w:val="center"/>
      </w:pPr>
      <w:r>
        <w:rPr>
          <w:i/>
          <w:color w:val="C8C8D2"/>
          <w:sz w:val="18"/>
        </w:rPr>
        <w:t>For: Commercial Officer  ·  12 August 2026  ·  Confidential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